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rFonts w:ascii="Times New Roman" w:cs="Times New Roman" w:eastAsia="Times New Roman" w:hAnsi="Times New Roman"/>
          <w:b/>
          <w:bCs/>
          <w:sz w:val="30"/>
          <w:szCs w:val="30"/>
        </w:rPr>
        <w:t xml:space="preserve">INFORME DE EJECUCIÓN PRELIMINAR</w:t>
      </w:r>
    </w:p>
    <w:p>
      <w:pPr>
        <w:spacing w:after="300"/>
        <w:jc w:val="center"/>
      </w:pPr>
      <w:r>
        <w:rPr>
          <w:rFonts w:ascii="Times New Roman" w:cs="Times New Roman" w:eastAsia="Times New Roman" w:hAnsi="Times New Roman"/>
          <w:i/>
          <w:iCs/>
          <w:sz w:val="22"/>
          <w:szCs w:val="22"/>
        </w:rPr>
        <w:t xml:space="preserve">Chatbot de Atención Ciudadana MPSR — Seminario de Tesis II, 2026-II</w:t>
      </w:r>
    </w:p>
    <w:p>
      <w:pPr>
        <w:spacing w:after="160" w:line="360" w:lineRule="auto"/>
      </w:pPr>
      <w:r>
        <w:rPr>
          <w:rFonts w:ascii="Times New Roman" w:cs="Times New Roman" w:eastAsia="Times New Roman" w:hAnsi="Times New Roman"/>
          <w:i/>
          <w:iCs/>
          <w:color w:val="000000"/>
          <w:sz w:val="22"/>
          <w:szCs w:val="22"/>
        </w:rPr>
        <w:t xml:space="preserve">Este informe demuestra que el pipeline técnico y estadístico definido en el Protocolo V1.1 funciona correctamente, de principio a fin. Se divide en dos partes claramente diferenciadas: una ejecución REAL sobre el corpus actual (Parte I) y una SIMULACIÓN ilustrativa del análisis estadístico del piloto (Parte II), ya que este último requiere trabajo de campo que excede el alcance temporal de este curso.</w:t>
      </w:r>
    </w:p>
    <w:p>
      <w:pPr>
        <w:pStyle w:val="Heading1"/>
        <w:spacing w:after="150" w:before="300"/>
        <w:jc w:val="left"/>
      </w:pPr>
      <w:r>
        <w:rPr>
          <w:rFonts w:ascii="Times New Roman" w:cs="Times New Roman" w:eastAsia="Times New Roman" w:hAnsi="Times New Roman"/>
          <w:b/>
          <w:bCs/>
          <w:color w:val="000000"/>
          <w:sz w:val="28"/>
          <w:szCs w:val="28"/>
        </w:rPr>
        <w:t xml:space="preserve">PARTE I — Ejecución real (P07): Baseline TF-IDF + SVM</w:t>
      </w:r>
    </w:p>
    <w:p>
      <w:pPr>
        <w:spacing w:after="160" w:line="360" w:lineRule="auto"/>
      </w:pPr>
      <w:r>
        <w:rPr>
          <w:rFonts w:ascii="Times New Roman" w:cs="Times New Roman" w:eastAsia="Times New Roman" w:hAnsi="Times New Roman"/>
          <w:color w:val="000000"/>
          <w:sz w:val="22"/>
          <w:szCs w:val="22"/>
        </w:rPr>
        <w:t xml:space="preserve">Corpus utilizado: corpus_metadata.csv (324 utterances, 54 intenciones, 9 categorías). Partición: train=162, validation=81, test=81 (semilla=42). Vectorizador: TF-IDF (max_features=5000, ngram_range=[1,2]).</w:t>
      </w:r>
    </w:p>
    <w:p>
      <w:pPr>
        <w:pStyle w:val="Heading2"/>
        <w:spacing w:after="100" w:before="200"/>
      </w:pPr>
      <w:r>
        <w:rPr>
          <w:rFonts w:ascii="Times New Roman" w:cs="Times New Roman" w:eastAsia="Times New Roman" w:hAnsi="Times New Roman"/>
          <w:b/>
          <w:bCs/>
          <w:color w:val="000000"/>
          <w:sz w:val="24"/>
          <w:szCs w:val="24"/>
        </w:rPr>
        <w:t xml:space="preserve">Grilla de hiperparámetros evaluada en validación</w:t>
      </w: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tblGrid>
      <w:tr>
        <w:trPr>
          <w:tblHeader/>
        </w:trPr>
        <w:tc>
          <w:tcPr>
            <w:tcW w:type="dxa" w:w="3000"/>
            <w:shd w:fill="404040" w:val="clear"/>
            <w:tcMar>
              <w:top w:type="dxa" w:w="60"/>
              <w:left w:type="dxa" w:w="80"/>
              <w:bottom w:type="dxa" w:w="60"/>
              <w:right w:type="dxa" w:w="80"/>
            </w:tcMar>
            <w:vAlign w:val="center"/>
          </w:tcPr>
          <w:p>
            <w:pPr>
              <w:jc w:val="center"/>
            </w:pPr>
            <w:r>
              <w:rPr>
                <w:rFonts w:ascii="Times New Roman" w:cs="Times New Roman" w:eastAsia="Times New Roman" w:hAnsi="Times New Roman"/>
                <w:b/>
                <w:bCs/>
                <w:color w:val="FFFFFF"/>
                <w:sz w:val="20"/>
                <w:szCs w:val="20"/>
              </w:rPr>
              <w:t xml:space="preserve">C (SVM)</w:t>
            </w:r>
          </w:p>
        </w:tc>
        <w:tc>
          <w:tcPr>
            <w:tcW w:type="dxa" w:w="3000"/>
            <w:shd w:fill="404040" w:val="clear"/>
            <w:tcMar>
              <w:top w:type="dxa" w:w="60"/>
              <w:left w:type="dxa" w:w="80"/>
              <w:bottom w:type="dxa" w:w="60"/>
              <w:right w:type="dxa" w:w="80"/>
            </w:tcMar>
            <w:vAlign w:val="center"/>
          </w:tcPr>
          <w:p>
            <w:pPr>
              <w:jc w:val="center"/>
            </w:pPr>
            <w:r>
              <w:rPr>
                <w:rFonts w:ascii="Times New Roman" w:cs="Times New Roman" w:eastAsia="Times New Roman" w:hAnsi="Times New Roman"/>
                <w:b/>
                <w:bCs/>
                <w:color w:val="FFFFFF"/>
                <w:sz w:val="20"/>
                <w:szCs w:val="20"/>
              </w:rPr>
              <w:t xml:space="preserve">F1-macro (validación)</w:t>
            </w:r>
          </w:p>
        </w:tc>
      </w:tr>
      <w:tr>
        <w:tc>
          <w:tcPr>
            <w:tcW w:type="dxa" w:w="3000"/>
            <w:shd w:fill="FFFFFF" w:val="clear"/>
            <w:tcMar>
              <w:top w:type="dxa" w:w="60"/>
              <w:left w:type="dxa" w:w="80"/>
              <w:bottom w:type="dxa" w:w="60"/>
              <w:right w:type="dxa" w:w="80"/>
            </w:tcMar>
            <w:vAlign w:val="center"/>
          </w:tcPr>
          <w:p>
            <w:pPr>
              <w:jc w:val="left"/>
            </w:pPr>
            <w:r>
              <w:rPr>
                <w:rFonts w:ascii="Times New Roman" w:cs="Times New Roman" w:eastAsia="Times New Roman" w:hAnsi="Times New Roman"/>
                <w:b w:val="false"/>
                <w:bCs w:val="false"/>
                <w:color w:val="000000"/>
                <w:sz w:val="20"/>
                <w:szCs w:val="20"/>
              </w:rPr>
              <w:t xml:space="preserve">0.1</w:t>
            </w:r>
          </w:p>
        </w:tc>
        <w:tc>
          <w:tcPr>
            <w:tcW w:type="dxa" w:w="3000"/>
            <w:shd w:fill="FFFFFF" w:val="clear"/>
            <w:tcMar>
              <w:top w:type="dxa" w:w="60"/>
              <w:left w:type="dxa" w:w="80"/>
              <w:bottom w:type="dxa" w:w="60"/>
              <w:right w:type="dxa" w:w="80"/>
            </w:tcMar>
            <w:vAlign w:val="center"/>
          </w:tcPr>
          <w:p>
            <w:pPr>
              <w:jc w:val="center"/>
            </w:pPr>
            <w:r>
              <w:rPr>
                <w:rFonts w:ascii="Times New Roman" w:cs="Times New Roman" w:eastAsia="Times New Roman" w:hAnsi="Times New Roman"/>
                <w:b w:val="false"/>
                <w:bCs w:val="false"/>
                <w:color w:val="000000"/>
                <w:sz w:val="20"/>
                <w:szCs w:val="20"/>
              </w:rPr>
              <w:t xml:space="preserve">0.288</w:t>
            </w:r>
          </w:p>
        </w:tc>
      </w:tr>
      <w:tr>
        <w:tc>
          <w:tcPr>
            <w:tcW w:type="dxa" w:w="3000"/>
            <w:shd w:fill="F2F2F2" w:val="clear"/>
            <w:tcMar>
              <w:top w:type="dxa" w:w="60"/>
              <w:left w:type="dxa" w:w="80"/>
              <w:bottom w:type="dxa" w:w="60"/>
              <w:right w:type="dxa" w:w="80"/>
            </w:tcMar>
            <w:vAlign w:val="center"/>
          </w:tcPr>
          <w:p>
            <w:pPr>
              <w:jc w:val="left"/>
            </w:pPr>
            <w:r>
              <w:rPr>
                <w:rFonts w:ascii="Times New Roman" w:cs="Times New Roman" w:eastAsia="Times New Roman" w:hAnsi="Times New Roman"/>
                <w:b/>
                <w:bCs/>
                <w:color w:val="000000"/>
                <w:sz w:val="20"/>
                <w:szCs w:val="20"/>
              </w:rPr>
              <w:t xml:space="preserve">1  (seleccionado)</w:t>
            </w:r>
          </w:p>
        </w:tc>
        <w:tc>
          <w:tcPr>
            <w:tcW w:type="dxa" w:w="3000"/>
            <w:shd w:fill="F2F2F2" w:val="clear"/>
            <w:tcMar>
              <w:top w:type="dxa" w:w="60"/>
              <w:left w:type="dxa" w:w="80"/>
              <w:bottom w:type="dxa" w:w="60"/>
              <w:right w:type="dxa" w:w="80"/>
            </w:tcMar>
            <w:vAlign w:val="center"/>
          </w:tcPr>
          <w:p>
            <w:pPr>
              <w:jc w:val="center"/>
            </w:pPr>
            <w:r>
              <w:rPr>
                <w:rFonts w:ascii="Times New Roman" w:cs="Times New Roman" w:eastAsia="Times New Roman" w:hAnsi="Times New Roman"/>
                <w:b/>
                <w:bCs/>
                <w:color w:val="000000"/>
                <w:sz w:val="20"/>
                <w:szCs w:val="20"/>
              </w:rPr>
              <w:t xml:space="preserve">0.2986</w:t>
            </w:r>
          </w:p>
        </w:tc>
      </w:tr>
      <w:tr>
        <w:tc>
          <w:tcPr>
            <w:tcW w:type="dxa" w:w="3000"/>
            <w:shd w:fill="FFFFFF" w:val="clear"/>
            <w:tcMar>
              <w:top w:type="dxa" w:w="60"/>
              <w:left w:type="dxa" w:w="80"/>
              <w:bottom w:type="dxa" w:w="60"/>
              <w:right w:type="dxa" w:w="80"/>
            </w:tcMar>
            <w:vAlign w:val="center"/>
          </w:tcPr>
          <w:p>
            <w:pPr>
              <w:jc w:val="left"/>
            </w:pPr>
            <w:r>
              <w:rPr>
                <w:rFonts w:ascii="Times New Roman" w:cs="Times New Roman" w:eastAsia="Times New Roman" w:hAnsi="Times New Roman"/>
                <w:b w:val="false"/>
                <w:bCs w:val="false"/>
                <w:color w:val="000000"/>
                <w:sz w:val="20"/>
                <w:szCs w:val="20"/>
              </w:rPr>
              <w:t xml:space="preserve">10</w:t>
            </w:r>
          </w:p>
        </w:tc>
        <w:tc>
          <w:tcPr>
            <w:tcW w:type="dxa" w:w="3000"/>
            <w:shd w:fill="FFFFFF" w:val="clear"/>
            <w:tcMar>
              <w:top w:type="dxa" w:w="60"/>
              <w:left w:type="dxa" w:w="80"/>
              <w:bottom w:type="dxa" w:w="60"/>
              <w:right w:type="dxa" w:w="80"/>
            </w:tcMar>
            <w:vAlign w:val="center"/>
          </w:tcPr>
          <w:p>
            <w:pPr>
              <w:jc w:val="center"/>
            </w:pPr>
            <w:r>
              <w:rPr>
                <w:rFonts w:ascii="Times New Roman" w:cs="Times New Roman" w:eastAsia="Times New Roman" w:hAnsi="Times New Roman"/>
                <w:b w:val="false"/>
                <w:bCs w:val="false"/>
                <w:color w:val="000000"/>
                <w:sz w:val="20"/>
                <w:szCs w:val="20"/>
              </w:rPr>
              <w:t xml:space="preserve">0.2923</w:t>
            </w:r>
          </w:p>
        </w:tc>
      </w:tr>
    </w:tbl>
    <w:p>
      <w:r>
        <w:br/>
        <w:t xml:space="preserve"/>
      </w:r>
    </w:p>
    <w:p>
      <w:pPr>
        <w:spacing w:after="160" w:line="360" w:lineRule="auto"/>
      </w:pPr>
      <w:r>
        <w:rPr>
          <w:rFonts w:ascii="Times New Roman" w:cs="Times New Roman" w:eastAsia="Times New Roman" w:hAnsi="Times New Roman"/>
          <w:color w:val="000000"/>
          <w:sz w:val="22"/>
          <w:szCs w:val="22"/>
        </w:rPr>
        <w:t xml:space="preserve">Alternativa de regresión logística (C=1.0): F1-macro en validación = 0.3074.</w:t>
      </w:r>
    </w:p>
    <w:p>
      <w:pPr>
        <w:pStyle w:val="Heading2"/>
        <w:spacing w:after="100" w:before="200"/>
      </w:pPr>
      <w:r>
        <w:rPr>
          <w:rFonts w:ascii="Times New Roman" w:cs="Times New Roman" w:eastAsia="Times New Roman" w:hAnsi="Times New Roman"/>
          <w:b/>
          <w:bCs/>
          <w:color w:val="000000"/>
          <w:sz w:val="24"/>
          <w:szCs w:val="24"/>
        </w:rPr>
        <w:t xml:space="preserve">Métricas finales sobre el conjunto de prueba (test)</w:t>
      </w: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3400"/>
        <w:gridCol w:w="2600"/>
      </w:tblGrid>
      <w:tr>
        <w:trPr>
          <w:tblHeader/>
        </w:trPr>
        <w:tc>
          <w:tcPr>
            <w:tcW w:type="dxa" w:w="3400"/>
            <w:shd w:fill="404040" w:val="clear"/>
            <w:tcMar>
              <w:top w:type="dxa" w:w="60"/>
              <w:left w:type="dxa" w:w="80"/>
              <w:bottom w:type="dxa" w:w="60"/>
              <w:right w:type="dxa" w:w="80"/>
            </w:tcMar>
            <w:vAlign w:val="center"/>
          </w:tcPr>
          <w:p>
            <w:pPr>
              <w:jc w:val="center"/>
            </w:pPr>
            <w:r>
              <w:rPr>
                <w:rFonts w:ascii="Times New Roman" w:cs="Times New Roman" w:eastAsia="Times New Roman" w:hAnsi="Times New Roman"/>
                <w:b/>
                <w:bCs/>
                <w:color w:val="FFFFFF"/>
                <w:sz w:val="20"/>
                <w:szCs w:val="20"/>
              </w:rPr>
              <w:t xml:space="preserve">Métrica</w:t>
            </w:r>
          </w:p>
        </w:tc>
        <w:tc>
          <w:tcPr>
            <w:tcW w:type="dxa" w:w="2600"/>
            <w:shd w:fill="404040" w:val="clear"/>
            <w:tcMar>
              <w:top w:type="dxa" w:w="60"/>
              <w:left w:type="dxa" w:w="80"/>
              <w:bottom w:type="dxa" w:w="60"/>
              <w:right w:type="dxa" w:w="80"/>
            </w:tcMar>
            <w:vAlign w:val="center"/>
          </w:tcPr>
          <w:p>
            <w:pPr>
              <w:jc w:val="center"/>
            </w:pPr>
            <w:r>
              <w:rPr>
                <w:rFonts w:ascii="Times New Roman" w:cs="Times New Roman" w:eastAsia="Times New Roman" w:hAnsi="Times New Roman"/>
                <w:b/>
                <w:bCs/>
                <w:color w:val="FFFFFF"/>
                <w:sz w:val="20"/>
                <w:szCs w:val="20"/>
              </w:rPr>
              <w:t xml:space="preserve">Valor (test)</w:t>
            </w:r>
          </w:p>
        </w:tc>
      </w:tr>
      <w:tr>
        <w:tc>
          <w:tcPr>
            <w:tcW w:type="dxa" w:w="3400"/>
            <w:shd w:fill="FFFFFF" w:val="clear"/>
            <w:tcMar>
              <w:top w:type="dxa" w:w="60"/>
              <w:left w:type="dxa" w:w="80"/>
              <w:bottom w:type="dxa" w:w="60"/>
              <w:right w:type="dxa" w:w="80"/>
            </w:tcMar>
            <w:vAlign w:val="center"/>
          </w:tcPr>
          <w:p>
            <w:pPr>
              <w:jc w:val="left"/>
            </w:pPr>
            <w:r>
              <w:rPr>
                <w:rFonts w:ascii="Times New Roman" w:cs="Times New Roman" w:eastAsia="Times New Roman" w:hAnsi="Times New Roman"/>
                <w:b w:val="false"/>
                <w:bCs w:val="false"/>
                <w:color w:val="000000"/>
                <w:sz w:val="20"/>
                <w:szCs w:val="20"/>
              </w:rPr>
              <w:t xml:space="preserve">Accuracy</w:t>
            </w:r>
          </w:p>
        </w:tc>
        <w:tc>
          <w:tcPr>
            <w:tcW w:type="dxa" w:w="2600"/>
            <w:shd w:fill="FFFFFF" w:val="clear"/>
            <w:tcMar>
              <w:top w:type="dxa" w:w="60"/>
              <w:left w:type="dxa" w:w="80"/>
              <w:bottom w:type="dxa" w:w="60"/>
              <w:right w:type="dxa" w:w="80"/>
            </w:tcMar>
            <w:vAlign w:val="center"/>
          </w:tcPr>
          <w:p>
            <w:pPr>
              <w:jc w:val="center"/>
            </w:pPr>
            <w:r>
              <w:rPr>
                <w:rFonts w:ascii="Times New Roman" w:cs="Times New Roman" w:eastAsia="Times New Roman" w:hAnsi="Times New Roman"/>
                <w:b/>
                <w:bCs/>
                <w:color w:val="000000"/>
                <w:sz w:val="20"/>
                <w:szCs w:val="20"/>
              </w:rPr>
              <w:t xml:space="preserve">0.3827</w:t>
            </w:r>
          </w:p>
        </w:tc>
      </w:tr>
      <w:tr>
        <w:tc>
          <w:tcPr>
            <w:tcW w:type="dxa" w:w="3400"/>
            <w:shd w:fill="F2F2F2" w:val="clear"/>
            <w:tcMar>
              <w:top w:type="dxa" w:w="60"/>
              <w:left w:type="dxa" w:w="80"/>
              <w:bottom w:type="dxa" w:w="60"/>
              <w:right w:type="dxa" w:w="80"/>
            </w:tcMar>
            <w:vAlign w:val="center"/>
          </w:tcPr>
          <w:p>
            <w:pPr>
              <w:jc w:val="left"/>
            </w:pPr>
            <w:r>
              <w:rPr>
                <w:rFonts w:ascii="Times New Roman" w:cs="Times New Roman" w:eastAsia="Times New Roman" w:hAnsi="Times New Roman"/>
                <w:b w:val="false"/>
                <w:bCs w:val="false"/>
                <w:color w:val="000000"/>
                <w:sz w:val="20"/>
                <w:szCs w:val="20"/>
              </w:rPr>
              <w:t xml:space="preserve">Precision macro</w:t>
            </w:r>
          </w:p>
        </w:tc>
        <w:tc>
          <w:tcPr>
            <w:tcW w:type="dxa" w:w="2600"/>
            <w:shd w:fill="F2F2F2" w:val="clear"/>
            <w:tcMar>
              <w:top w:type="dxa" w:w="60"/>
              <w:left w:type="dxa" w:w="80"/>
              <w:bottom w:type="dxa" w:w="60"/>
              <w:right w:type="dxa" w:w="80"/>
            </w:tcMar>
            <w:vAlign w:val="center"/>
          </w:tcPr>
          <w:p>
            <w:pPr>
              <w:jc w:val="center"/>
            </w:pPr>
            <w:r>
              <w:rPr>
                <w:rFonts w:ascii="Times New Roman" w:cs="Times New Roman" w:eastAsia="Times New Roman" w:hAnsi="Times New Roman"/>
                <w:b/>
                <w:bCs/>
                <w:color w:val="000000"/>
                <w:sz w:val="20"/>
                <w:szCs w:val="20"/>
              </w:rPr>
              <w:t xml:space="preserve">0.3559</w:t>
            </w:r>
          </w:p>
        </w:tc>
      </w:tr>
      <w:tr>
        <w:tc>
          <w:tcPr>
            <w:tcW w:type="dxa" w:w="3400"/>
            <w:shd w:fill="FFFFFF" w:val="clear"/>
            <w:tcMar>
              <w:top w:type="dxa" w:w="60"/>
              <w:left w:type="dxa" w:w="80"/>
              <w:bottom w:type="dxa" w:w="60"/>
              <w:right w:type="dxa" w:w="80"/>
            </w:tcMar>
            <w:vAlign w:val="center"/>
          </w:tcPr>
          <w:p>
            <w:pPr>
              <w:jc w:val="left"/>
            </w:pPr>
            <w:r>
              <w:rPr>
                <w:rFonts w:ascii="Times New Roman" w:cs="Times New Roman" w:eastAsia="Times New Roman" w:hAnsi="Times New Roman"/>
                <w:b w:val="false"/>
                <w:bCs w:val="false"/>
                <w:color w:val="000000"/>
                <w:sz w:val="20"/>
                <w:szCs w:val="20"/>
              </w:rPr>
              <w:t xml:space="preserve">Recall macro</w:t>
            </w:r>
          </w:p>
        </w:tc>
        <w:tc>
          <w:tcPr>
            <w:tcW w:type="dxa" w:w="2600"/>
            <w:shd w:fill="FFFFFF" w:val="clear"/>
            <w:tcMar>
              <w:top w:type="dxa" w:w="60"/>
              <w:left w:type="dxa" w:w="80"/>
              <w:bottom w:type="dxa" w:w="60"/>
              <w:right w:type="dxa" w:w="80"/>
            </w:tcMar>
            <w:vAlign w:val="center"/>
          </w:tcPr>
          <w:p>
            <w:pPr>
              <w:jc w:val="center"/>
            </w:pPr>
            <w:r>
              <w:rPr>
                <w:rFonts w:ascii="Times New Roman" w:cs="Times New Roman" w:eastAsia="Times New Roman" w:hAnsi="Times New Roman"/>
                <w:b/>
                <w:bCs/>
                <w:color w:val="000000"/>
                <w:sz w:val="20"/>
                <w:szCs w:val="20"/>
              </w:rPr>
              <w:t xml:space="preserve">0.2793</w:t>
            </w:r>
          </w:p>
        </w:tc>
      </w:tr>
      <w:tr>
        <w:tc>
          <w:tcPr>
            <w:tcW w:type="dxa" w:w="3400"/>
            <w:shd w:fill="F2F2F2" w:val="clear"/>
            <w:tcMar>
              <w:top w:type="dxa" w:w="60"/>
              <w:left w:type="dxa" w:w="80"/>
              <w:bottom w:type="dxa" w:w="60"/>
              <w:right w:type="dxa" w:w="80"/>
            </w:tcMar>
            <w:vAlign w:val="center"/>
          </w:tcPr>
          <w:p>
            <w:pPr>
              <w:jc w:val="left"/>
            </w:pPr>
            <w:r>
              <w:rPr>
                <w:rFonts w:ascii="Times New Roman" w:cs="Times New Roman" w:eastAsia="Times New Roman" w:hAnsi="Times New Roman"/>
                <w:b w:val="false"/>
                <w:bCs w:val="false"/>
                <w:color w:val="000000"/>
                <w:sz w:val="20"/>
                <w:szCs w:val="20"/>
              </w:rPr>
              <w:t xml:space="preserve">F1 macro</w:t>
            </w:r>
          </w:p>
        </w:tc>
        <w:tc>
          <w:tcPr>
            <w:tcW w:type="dxa" w:w="2600"/>
            <w:shd w:fill="F2F2F2" w:val="clear"/>
            <w:tcMar>
              <w:top w:type="dxa" w:w="60"/>
              <w:left w:type="dxa" w:w="80"/>
              <w:bottom w:type="dxa" w:w="60"/>
              <w:right w:type="dxa" w:w="80"/>
            </w:tcMar>
            <w:vAlign w:val="center"/>
          </w:tcPr>
          <w:p>
            <w:pPr>
              <w:jc w:val="center"/>
            </w:pPr>
            <w:r>
              <w:rPr>
                <w:rFonts w:ascii="Times New Roman" w:cs="Times New Roman" w:eastAsia="Times New Roman" w:hAnsi="Times New Roman"/>
                <w:b/>
                <w:bCs/>
                <w:color w:val="000000"/>
                <w:sz w:val="20"/>
                <w:szCs w:val="20"/>
              </w:rPr>
              <w:t xml:space="preserve">0.2975</w:t>
            </w:r>
          </w:p>
        </w:tc>
      </w:tr>
      <w:tr>
        <w:tc>
          <w:tcPr>
            <w:tcW w:type="dxa" w:w="3400"/>
            <w:shd w:fill="FFFFFF" w:val="clear"/>
            <w:tcMar>
              <w:top w:type="dxa" w:w="60"/>
              <w:left w:type="dxa" w:w="80"/>
              <w:bottom w:type="dxa" w:w="60"/>
              <w:right w:type="dxa" w:w="80"/>
            </w:tcMar>
            <w:vAlign w:val="center"/>
          </w:tcPr>
          <w:p>
            <w:pPr>
              <w:jc w:val="left"/>
            </w:pPr>
            <w:r>
              <w:rPr>
                <w:rFonts w:ascii="Times New Roman" w:cs="Times New Roman" w:eastAsia="Times New Roman" w:hAnsi="Times New Roman"/>
                <w:b w:val="false"/>
                <w:bCs w:val="false"/>
                <w:color w:val="000000"/>
                <w:sz w:val="20"/>
                <w:szCs w:val="20"/>
              </w:rPr>
              <w:t xml:space="preserve">Balanced Accuracy</w:t>
            </w:r>
          </w:p>
        </w:tc>
        <w:tc>
          <w:tcPr>
            <w:tcW w:type="dxa" w:w="2600"/>
            <w:shd w:fill="FFFFFF" w:val="clear"/>
            <w:tcMar>
              <w:top w:type="dxa" w:w="60"/>
              <w:left w:type="dxa" w:w="80"/>
              <w:bottom w:type="dxa" w:w="60"/>
              <w:right w:type="dxa" w:w="80"/>
            </w:tcMar>
            <w:vAlign w:val="center"/>
          </w:tcPr>
          <w:p>
            <w:pPr>
              <w:jc w:val="center"/>
            </w:pPr>
            <w:r>
              <w:rPr>
                <w:rFonts w:ascii="Times New Roman" w:cs="Times New Roman" w:eastAsia="Times New Roman" w:hAnsi="Times New Roman"/>
                <w:b/>
                <w:bCs/>
                <w:color w:val="000000"/>
                <w:sz w:val="20"/>
                <w:szCs w:val="20"/>
              </w:rPr>
              <w:t xml:space="preserve">0.3827</w:t>
            </w:r>
          </w:p>
        </w:tc>
      </w:tr>
    </w:tbl>
    <w:p>
      <w:r>
        <w:br/>
        <w:t xml:space="preserve"/>
      </w:r>
    </w:p>
    <w:p>
      <w:pPr>
        <w:pStyle w:val="Heading2"/>
        <w:spacing w:after="100" w:before="200"/>
      </w:pPr>
      <w:r>
        <w:rPr>
          <w:rFonts w:ascii="Times New Roman" w:cs="Times New Roman" w:eastAsia="Times New Roman" w:hAnsi="Times New Roman"/>
          <w:b/>
          <w:bCs/>
          <w:color w:val="000000"/>
          <w:sz w:val="24"/>
          <w:szCs w:val="24"/>
        </w:rPr>
        <w:t xml:space="preserve">Interpretación honesta del resultado</w:t>
      </w:r>
    </w:p>
    <w:p>
      <w:pPr>
        <w:spacing w:after="160" w:line="360" w:lineRule="auto"/>
      </w:pPr>
      <w:r>
        <w:rPr>
          <w:rFonts w:ascii="Times New Roman" w:cs="Times New Roman" w:eastAsia="Times New Roman" w:hAnsi="Times New Roman"/>
          <w:color w:val="000000"/>
          <w:sz w:val="22"/>
          <w:szCs w:val="22"/>
        </w:rPr>
        <w:t xml:space="preserve">El F1-macro obtenido (0.2975) está muy por debajo de la meta del protocolo (F1 ≥ 0.85). Esto es un resultado real y esperado dado que el corpus actual es un corpus de arranque: solo 2 grupos de paráfrasis por intención (≈3 ejemplos de entrenamiento por intención en promedio), insuficiente para que un clasificador aprenda a distinguir 54 categorías. Este hallazgo valida precisamente la limitación ya documentada en la Sección 2.4 del protocolo: antes del entrenamiento final se requiere ampliar el corpus con más ejemplos reales por intención (contrastados con el TUPA oficial de la MPSR). El pipeline de extracción de características, entrenamiento, selección por validación y evaluación en test — que es lo que este curso pide demostrar — funciona correctamente de principio a fin.</w:t>
      </w:r>
    </w:p>
    <w:p>
      <w:pPr>
        <w:pStyle w:val="Heading1"/>
        <w:spacing w:after="150" w:before="300"/>
        <w:jc w:val="left"/>
      </w:pPr>
      <w:r>
        <w:rPr>
          <w:rFonts w:ascii="Times New Roman" w:cs="Times New Roman" w:eastAsia="Times New Roman" w:hAnsi="Times New Roman"/>
          <w:b/>
          <w:bCs/>
          <w:color w:val="000000"/>
          <w:sz w:val="28"/>
          <w:szCs w:val="28"/>
        </w:rPr>
        <w:t xml:space="preserve">PARTE II — Simulación ilustrativa (P14): Análisis estadístico del piloto</w:t>
      </w:r>
    </w:p>
    <w:p>
      <w:pPr>
        <w:pBdr>
          <w:top w:val="single" w:color="C00000" w:sz="12"/>
          <w:bottom w:val="single" w:color="C00000" w:sz="12"/>
          <w:left w:val="single" w:color="C00000" w:sz="12"/>
          <w:right w:val="single" w:color="C00000" w:sz="12"/>
        </w:pBdr>
        <w:shd w:fill="FFF2CC" w:val="clear"/>
        <w:spacing w:after="150" w:before="150"/>
      </w:pPr>
      <w:r>
        <w:rPr>
          <w:rFonts w:ascii="Times New Roman" w:cs="Times New Roman" w:eastAsia="Times New Roman" w:hAnsi="Times New Roman"/>
          <w:b/>
          <w:bCs/>
          <w:color w:val="C00000"/>
          <w:sz w:val="22"/>
          <w:szCs w:val="22"/>
        </w:rPr>
        <w:t xml:space="preserve">⚠ ADVERTENCIA: La línea base (pre) de esta sección proviene de Encuestas_simuladas_TramiFacil_MPSR_120_v2.xlsx, un archivo generado por el propio tesista para esta demostración del curso — NO es trabajo de campo real con ciudadanos. El post-test (chatbot) es además completamente SIMULADO por el script, pareado por ID con la línea base. Se incluyen únicamente para demostrar que el pipeline de análisis estadístico (Shapiro-Wilk → t de Student pareada / Wilcoxon) definido en el protocolo funciona correctamente de principio a fin, incluyendo la selección automática entre ambas pruebas según el resultado de normalidad. Estos valores deben reemplazarse por datos reales antes de reportarse como hallazgos de la tesis.</w:t>
      </w:r>
    </w:p>
    <w:p>
      <w:pPr>
        <w:spacing w:after="160" w:line="360" w:lineRule="auto"/>
      </w:pPr>
      <w:r>
        <w:rPr>
          <w:rFonts w:ascii="Times New Roman" w:cs="Times New Roman" w:eastAsia="Times New Roman" w:hAnsi="Times New Roman"/>
          <w:color w:val="000000"/>
          <w:sz w:val="22"/>
          <w:szCs w:val="22"/>
        </w:rPr>
        <w:t xml:space="preserve">Muestra: n = 119 (pareada, mismo sujeto antes/después; línea base tomada del archivo de P01, 1 caso excluido por dato faltante en P10), semilla = 42.</w:t>
      </w:r>
    </w:p>
    <w:p>
      <w:pPr>
        <w:pStyle w:val="Heading2"/>
        <w:spacing w:after="100" w:before="200"/>
      </w:pPr>
      <w:r>
        <w:rPr>
          <w:rFonts w:ascii="Times New Roman" w:cs="Times New Roman" w:eastAsia="Times New Roman" w:hAnsi="Times New Roman"/>
          <w:b/>
          <w:bCs/>
          <w:color w:val="000000"/>
          <w:sz w:val="24"/>
          <w:szCs w:val="24"/>
        </w:rPr>
        <w:t xml:space="preserve">Variable: Tiempo de atención (minutos)</w:t>
      </w: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3400"/>
        <w:gridCol w:w="2600"/>
      </w:tblGrid>
      <w:tr>
        <w:trPr>
          <w:tblHeader/>
        </w:trPr>
        <w:tc>
          <w:tcPr>
            <w:tcW w:type="dxa" w:w="3400"/>
            <w:shd w:fill="8E7CC3" w:val="clear"/>
            <w:tcMar>
              <w:top w:type="dxa" w:w="60"/>
              <w:left w:type="dxa" w:w="80"/>
              <w:bottom w:type="dxa" w:w="60"/>
              <w:right w:type="dxa" w:w="80"/>
            </w:tcMar>
            <w:vAlign w:val="center"/>
          </w:tcPr>
          <w:p>
            <w:pPr>
              <w:jc w:val="center"/>
            </w:pPr>
            <w:r>
              <w:rPr>
                <w:rFonts w:ascii="Times New Roman" w:cs="Times New Roman" w:eastAsia="Times New Roman" w:hAnsi="Times New Roman"/>
                <w:b/>
                <w:bCs/>
                <w:color w:val="FFFFFF"/>
                <w:sz w:val="20"/>
                <w:szCs w:val="20"/>
              </w:rPr>
              <w:t xml:space="preserve">Estadístico</w:t>
            </w:r>
          </w:p>
        </w:tc>
        <w:tc>
          <w:tcPr>
            <w:tcW w:type="dxa" w:w="2600"/>
            <w:shd w:fill="8E7CC3" w:val="clear"/>
            <w:tcMar>
              <w:top w:type="dxa" w:w="60"/>
              <w:left w:type="dxa" w:w="80"/>
              <w:bottom w:type="dxa" w:w="60"/>
              <w:right w:type="dxa" w:w="80"/>
            </w:tcMar>
            <w:vAlign w:val="center"/>
          </w:tcPr>
          <w:p>
            <w:pPr>
              <w:jc w:val="center"/>
            </w:pPr>
            <w:r>
              <w:rPr>
                <w:rFonts w:ascii="Times New Roman" w:cs="Times New Roman" w:eastAsia="Times New Roman" w:hAnsi="Times New Roman"/>
                <w:b/>
                <w:bCs/>
                <w:color w:val="FFFFFF"/>
                <w:sz w:val="20"/>
                <w:szCs w:val="20"/>
              </w:rPr>
              <w:t xml:space="preserve">Valor</w:t>
            </w:r>
          </w:p>
        </w:tc>
      </w:tr>
      <w:tr>
        <w:tc>
          <w:tcPr>
            <w:tcW w:type="dxa" w:w="3400"/>
            <w:shd w:fill="FFFFFF" w:val="clear"/>
            <w:tcMar>
              <w:top w:type="dxa" w:w="60"/>
              <w:left w:type="dxa" w:w="80"/>
              <w:bottom w:type="dxa" w:w="60"/>
              <w:right w:type="dxa" w:w="80"/>
            </w:tcMar>
            <w:vAlign w:val="center"/>
          </w:tcPr>
          <w:p>
            <w:pPr>
              <w:jc w:val="left"/>
            </w:pPr>
            <w:r>
              <w:rPr>
                <w:rFonts w:ascii="Times New Roman" w:cs="Times New Roman" w:eastAsia="Times New Roman" w:hAnsi="Times New Roman"/>
                <w:b w:val="false"/>
                <w:bCs w:val="false"/>
                <w:color w:val="000000"/>
                <w:sz w:val="20"/>
                <w:szCs w:val="20"/>
              </w:rPr>
              <w:t xml:space="preserve">n</w:t>
            </w:r>
          </w:p>
        </w:tc>
        <w:tc>
          <w:tcPr>
            <w:tcW w:type="dxa" w:w="2600"/>
            <w:shd w:fill="FFFFFF" w:val="clear"/>
            <w:tcMar>
              <w:top w:type="dxa" w:w="60"/>
              <w:left w:type="dxa" w:w="80"/>
              <w:bottom w:type="dxa" w:w="60"/>
              <w:right w:type="dxa" w:w="80"/>
            </w:tcMar>
            <w:vAlign w:val="center"/>
          </w:tcPr>
          <w:p>
            <w:pPr>
              <w:jc w:val="center"/>
            </w:pPr>
            <w:r>
              <w:rPr>
                <w:rFonts w:ascii="Times New Roman" w:cs="Times New Roman" w:eastAsia="Times New Roman" w:hAnsi="Times New Roman"/>
                <w:b w:val="false"/>
                <w:bCs w:val="false"/>
                <w:color w:val="000000"/>
                <w:sz w:val="20"/>
                <w:szCs w:val="20"/>
              </w:rPr>
              <w:t xml:space="preserve">119</w:t>
            </w:r>
          </w:p>
        </w:tc>
      </w:tr>
      <w:tr>
        <w:tc>
          <w:tcPr>
            <w:tcW w:type="dxa" w:w="3400"/>
            <w:shd w:fill="F2F2F2" w:val="clear"/>
            <w:tcMar>
              <w:top w:type="dxa" w:w="60"/>
              <w:left w:type="dxa" w:w="80"/>
              <w:bottom w:type="dxa" w:w="60"/>
              <w:right w:type="dxa" w:w="80"/>
            </w:tcMar>
            <w:vAlign w:val="center"/>
          </w:tcPr>
          <w:p>
            <w:pPr>
              <w:jc w:val="left"/>
            </w:pPr>
            <w:r>
              <w:rPr>
                <w:rFonts w:ascii="Times New Roman" w:cs="Times New Roman" w:eastAsia="Times New Roman" w:hAnsi="Times New Roman"/>
                <w:b w:val="false"/>
                <w:bCs w:val="false"/>
                <w:color w:val="000000"/>
                <w:sz w:val="20"/>
                <w:szCs w:val="20"/>
              </w:rPr>
              <w:t xml:space="preserve">Media pre</w:t>
            </w:r>
          </w:p>
        </w:tc>
        <w:tc>
          <w:tcPr>
            <w:tcW w:type="dxa" w:w="2600"/>
            <w:shd w:fill="F2F2F2" w:val="clear"/>
            <w:tcMar>
              <w:top w:type="dxa" w:w="60"/>
              <w:left w:type="dxa" w:w="80"/>
              <w:bottom w:type="dxa" w:w="60"/>
              <w:right w:type="dxa" w:w="80"/>
            </w:tcMar>
            <w:vAlign w:val="center"/>
          </w:tcPr>
          <w:p>
            <w:pPr>
              <w:jc w:val="center"/>
            </w:pPr>
            <w:r>
              <w:rPr>
                <w:rFonts w:ascii="Times New Roman" w:cs="Times New Roman" w:eastAsia="Times New Roman" w:hAnsi="Times New Roman"/>
                <w:b w:val="false"/>
                <w:bCs w:val="false"/>
                <w:color w:val="000000"/>
                <w:sz w:val="20"/>
                <w:szCs w:val="20"/>
              </w:rPr>
              <w:t xml:space="preserve">88.97</w:t>
            </w:r>
          </w:p>
        </w:tc>
      </w:tr>
      <w:tr>
        <w:tc>
          <w:tcPr>
            <w:tcW w:type="dxa" w:w="3400"/>
            <w:shd w:fill="FFFFFF" w:val="clear"/>
            <w:tcMar>
              <w:top w:type="dxa" w:w="60"/>
              <w:left w:type="dxa" w:w="80"/>
              <w:bottom w:type="dxa" w:w="60"/>
              <w:right w:type="dxa" w:w="80"/>
            </w:tcMar>
            <w:vAlign w:val="center"/>
          </w:tcPr>
          <w:p>
            <w:pPr>
              <w:jc w:val="left"/>
            </w:pPr>
            <w:r>
              <w:rPr>
                <w:rFonts w:ascii="Times New Roman" w:cs="Times New Roman" w:eastAsia="Times New Roman" w:hAnsi="Times New Roman"/>
                <w:b w:val="false"/>
                <w:bCs w:val="false"/>
                <w:color w:val="000000"/>
                <w:sz w:val="20"/>
                <w:szCs w:val="20"/>
              </w:rPr>
              <w:t xml:space="preserve">Media post</w:t>
            </w:r>
          </w:p>
        </w:tc>
        <w:tc>
          <w:tcPr>
            <w:tcW w:type="dxa" w:w="2600"/>
            <w:shd w:fill="FFFFFF" w:val="clear"/>
            <w:tcMar>
              <w:top w:type="dxa" w:w="60"/>
              <w:left w:type="dxa" w:w="80"/>
              <w:bottom w:type="dxa" w:w="60"/>
              <w:right w:type="dxa" w:w="80"/>
            </w:tcMar>
            <w:vAlign w:val="center"/>
          </w:tcPr>
          <w:p>
            <w:pPr>
              <w:jc w:val="center"/>
            </w:pPr>
            <w:r>
              <w:rPr>
                <w:rFonts w:ascii="Times New Roman" w:cs="Times New Roman" w:eastAsia="Times New Roman" w:hAnsi="Times New Roman"/>
                <w:b w:val="false"/>
                <w:bCs w:val="false"/>
                <w:color w:val="000000"/>
                <w:sz w:val="20"/>
                <w:szCs w:val="20"/>
              </w:rPr>
              <w:t xml:space="preserve">33.26</w:t>
            </w:r>
          </w:p>
        </w:tc>
      </w:tr>
      <w:tr>
        <w:tc>
          <w:tcPr>
            <w:tcW w:type="dxa" w:w="3400"/>
            <w:shd w:fill="F2F2F2" w:val="clear"/>
            <w:tcMar>
              <w:top w:type="dxa" w:w="60"/>
              <w:left w:type="dxa" w:w="80"/>
              <w:bottom w:type="dxa" w:w="60"/>
              <w:right w:type="dxa" w:w="80"/>
            </w:tcMar>
            <w:vAlign w:val="center"/>
          </w:tcPr>
          <w:p>
            <w:pPr>
              <w:jc w:val="left"/>
            </w:pPr>
            <w:r>
              <w:rPr>
                <w:rFonts w:ascii="Times New Roman" w:cs="Times New Roman" w:eastAsia="Times New Roman" w:hAnsi="Times New Roman"/>
                <w:b w:val="false"/>
                <w:bCs w:val="false"/>
                <w:color w:val="000000"/>
                <w:sz w:val="20"/>
                <w:szCs w:val="20"/>
              </w:rPr>
              <w:t xml:space="preserve">Diferencia media</w:t>
            </w:r>
          </w:p>
        </w:tc>
        <w:tc>
          <w:tcPr>
            <w:tcW w:type="dxa" w:w="2600"/>
            <w:shd w:fill="F2F2F2" w:val="clear"/>
            <w:tcMar>
              <w:top w:type="dxa" w:w="60"/>
              <w:left w:type="dxa" w:w="80"/>
              <w:bottom w:type="dxa" w:w="60"/>
              <w:right w:type="dxa" w:w="80"/>
            </w:tcMar>
            <w:vAlign w:val="center"/>
          </w:tcPr>
          <w:p>
            <w:pPr>
              <w:jc w:val="center"/>
            </w:pPr>
            <w:r>
              <w:rPr>
                <w:rFonts w:ascii="Times New Roman" w:cs="Times New Roman" w:eastAsia="Times New Roman" w:hAnsi="Times New Roman"/>
                <w:b w:val="false"/>
                <w:bCs w:val="false"/>
                <w:color w:val="000000"/>
                <w:sz w:val="20"/>
                <w:szCs w:val="20"/>
              </w:rPr>
              <w:t xml:space="preserve">-55.71</w:t>
            </w:r>
          </w:p>
        </w:tc>
      </w:tr>
      <w:tr>
        <w:tc>
          <w:tcPr>
            <w:tcW w:type="dxa" w:w="3400"/>
            <w:shd w:fill="FFFFFF" w:val="clear"/>
            <w:tcMar>
              <w:top w:type="dxa" w:w="60"/>
              <w:left w:type="dxa" w:w="80"/>
              <w:bottom w:type="dxa" w:w="60"/>
              <w:right w:type="dxa" w:w="80"/>
            </w:tcMar>
            <w:vAlign w:val="center"/>
          </w:tcPr>
          <w:p>
            <w:pPr>
              <w:jc w:val="left"/>
            </w:pPr>
            <w:r>
              <w:rPr>
                <w:rFonts w:ascii="Times New Roman" w:cs="Times New Roman" w:eastAsia="Times New Roman" w:hAnsi="Times New Roman"/>
                <w:b w:val="false"/>
                <w:bCs w:val="false"/>
                <w:color w:val="000000"/>
                <w:sz w:val="20"/>
                <w:szCs w:val="20"/>
              </w:rPr>
              <w:t xml:space="preserve">Shapiro-Wilk (p)</w:t>
            </w:r>
          </w:p>
        </w:tc>
        <w:tc>
          <w:tcPr>
            <w:tcW w:type="dxa" w:w="2600"/>
            <w:shd w:fill="FFFFFF" w:val="clear"/>
            <w:tcMar>
              <w:top w:type="dxa" w:w="60"/>
              <w:left w:type="dxa" w:w="80"/>
              <w:bottom w:type="dxa" w:w="60"/>
              <w:right w:type="dxa" w:w="80"/>
            </w:tcMar>
            <w:vAlign w:val="center"/>
          </w:tcPr>
          <w:p>
            <w:pPr>
              <w:jc w:val="center"/>
            </w:pPr>
            <w:r>
              <w:rPr>
                <w:rFonts w:ascii="Times New Roman" w:cs="Times New Roman" w:eastAsia="Times New Roman" w:hAnsi="Times New Roman"/>
                <w:b w:val="false"/>
                <w:bCs w:val="false"/>
                <w:color w:val="000000"/>
                <w:sz w:val="20"/>
                <w:szCs w:val="20"/>
              </w:rPr>
              <w:t xml:space="preserve">0</w:t>
            </w:r>
          </w:p>
        </w:tc>
      </w:tr>
      <w:tr>
        <w:tc>
          <w:tcPr>
            <w:tcW w:type="dxa" w:w="3400"/>
            <w:shd w:fill="F2F2F2" w:val="clear"/>
            <w:tcMar>
              <w:top w:type="dxa" w:w="60"/>
              <w:left w:type="dxa" w:w="80"/>
              <w:bottom w:type="dxa" w:w="60"/>
              <w:right w:type="dxa" w:w="80"/>
            </w:tcMar>
            <w:vAlign w:val="center"/>
          </w:tcPr>
          <w:p>
            <w:pPr>
              <w:jc w:val="left"/>
            </w:pPr>
            <w:r>
              <w:rPr>
                <w:rFonts w:ascii="Times New Roman" w:cs="Times New Roman" w:eastAsia="Times New Roman" w:hAnsi="Times New Roman"/>
                <w:b w:val="false"/>
                <w:bCs w:val="false"/>
                <w:color w:val="000000"/>
                <w:sz w:val="20"/>
                <w:szCs w:val="20"/>
              </w:rPr>
              <w:t xml:space="preserve">¿Normalidad cumplida?</w:t>
            </w:r>
          </w:p>
        </w:tc>
        <w:tc>
          <w:tcPr>
            <w:tcW w:type="dxa" w:w="2600"/>
            <w:shd w:fill="F2F2F2" w:val="clear"/>
            <w:tcMar>
              <w:top w:type="dxa" w:w="60"/>
              <w:left w:type="dxa" w:w="80"/>
              <w:bottom w:type="dxa" w:w="60"/>
              <w:right w:type="dxa" w:w="80"/>
            </w:tcMar>
            <w:vAlign w:val="center"/>
          </w:tcPr>
          <w:p>
            <w:pPr>
              <w:jc w:val="center"/>
            </w:pPr>
            <w:r>
              <w:rPr>
                <w:rFonts w:ascii="Times New Roman" w:cs="Times New Roman" w:eastAsia="Times New Roman" w:hAnsi="Times New Roman"/>
                <w:b w:val="false"/>
                <w:bCs w:val="false"/>
                <w:color w:val="000000"/>
                <w:sz w:val="20"/>
                <w:szCs w:val="20"/>
              </w:rPr>
              <w:t xml:space="preserve">No</w:t>
            </w:r>
          </w:p>
        </w:tc>
      </w:tr>
      <w:tr>
        <w:tc>
          <w:tcPr>
            <w:tcW w:type="dxa" w:w="3400"/>
            <w:shd w:fill="FFFFFF" w:val="clear"/>
            <w:tcMar>
              <w:top w:type="dxa" w:w="60"/>
              <w:left w:type="dxa" w:w="80"/>
              <w:bottom w:type="dxa" w:w="60"/>
              <w:right w:type="dxa" w:w="80"/>
            </w:tcMar>
            <w:vAlign w:val="center"/>
          </w:tcPr>
          <w:p>
            <w:pPr>
              <w:jc w:val="left"/>
            </w:pPr>
            <w:r>
              <w:rPr>
                <w:rFonts w:ascii="Times New Roman" w:cs="Times New Roman" w:eastAsia="Times New Roman" w:hAnsi="Times New Roman"/>
                <w:b w:val="false"/>
                <w:bCs w:val="false"/>
                <w:color w:val="000000"/>
                <w:sz w:val="20"/>
                <w:szCs w:val="20"/>
              </w:rPr>
              <w:t xml:space="preserve">Prueba aplicada</w:t>
            </w:r>
          </w:p>
        </w:tc>
        <w:tc>
          <w:tcPr>
            <w:tcW w:type="dxa" w:w="2600"/>
            <w:shd w:fill="FFFFFF" w:val="clear"/>
            <w:tcMar>
              <w:top w:type="dxa" w:w="60"/>
              <w:left w:type="dxa" w:w="80"/>
              <w:bottom w:type="dxa" w:w="60"/>
              <w:right w:type="dxa" w:w="80"/>
            </w:tcMar>
            <w:vAlign w:val="center"/>
          </w:tcPr>
          <w:p>
            <w:pPr>
              <w:jc w:val="center"/>
            </w:pPr>
            <w:r>
              <w:rPr>
                <w:rFonts w:ascii="Times New Roman" w:cs="Times New Roman" w:eastAsia="Times New Roman" w:hAnsi="Times New Roman"/>
                <w:b w:val="false"/>
                <w:bCs w:val="false"/>
                <w:color w:val="000000"/>
                <w:sz w:val="20"/>
                <w:szCs w:val="20"/>
              </w:rPr>
              <w:t xml:space="preserve">Wilcoxon (rangos con signo)</w:t>
            </w:r>
          </w:p>
        </w:tc>
      </w:tr>
      <w:tr>
        <w:tc>
          <w:tcPr>
            <w:tcW w:type="dxa" w:w="3400"/>
            <w:shd w:fill="F2F2F2" w:val="clear"/>
            <w:tcMar>
              <w:top w:type="dxa" w:w="60"/>
              <w:left w:type="dxa" w:w="80"/>
              <w:bottom w:type="dxa" w:w="60"/>
              <w:right w:type="dxa" w:w="80"/>
            </w:tcMar>
            <w:vAlign w:val="center"/>
          </w:tcPr>
          <w:p>
            <w:pPr>
              <w:jc w:val="left"/>
            </w:pPr>
            <w:r>
              <w:rPr>
                <w:rFonts w:ascii="Times New Roman" w:cs="Times New Roman" w:eastAsia="Times New Roman" w:hAnsi="Times New Roman"/>
                <w:b w:val="false"/>
                <w:bCs w:val="false"/>
                <w:color w:val="000000"/>
                <w:sz w:val="20"/>
                <w:szCs w:val="20"/>
              </w:rPr>
              <w:t xml:space="preserve">Estadístico</w:t>
            </w:r>
          </w:p>
        </w:tc>
        <w:tc>
          <w:tcPr>
            <w:tcW w:type="dxa" w:w="2600"/>
            <w:shd w:fill="F2F2F2" w:val="clear"/>
            <w:tcMar>
              <w:top w:type="dxa" w:w="60"/>
              <w:left w:type="dxa" w:w="80"/>
              <w:bottom w:type="dxa" w:w="60"/>
              <w:right w:type="dxa" w:w="80"/>
            </w:tcMar>
            <w:vAlign w:val="center"/>
          </w:tcPr>
          <w:p>
            <w:pPr>
              <w:jc w:val="center"/>
            </w:pPr>
            <w:r>
              <w:rPr>
                <w:rFonts w:ascii="Times New Roman" w:cs="Times New Roman" w:eastAsia="Times New Roman" w:hAnsi="Times New Roman"/>
                <w:b w:val="false"/>
                <w:bCs w:val="false"/>
                <w:color w:val="000000"/>
                <w:sz w:val="20"/>
                <w:szCs w:val="20"/>
              </w:rPr>
              <w:t xml:space="preserve">0</w:t>
            </w:r>
          </w:p>
        </w:tc>
      </w:tr>
      <w:tr>
        <w:tc>
          <w:tcPr>
            <w:tcW w:type="dxa" w:w="3400"/>
            <w:shd w:fill="FFFFFF" w:val="clear"/>
            <w:tcMar>
              <w:top w:type="dxa" w:w="60"/>
              <w:left w:type="dxa" w:w="80"/>
              <w:bottom w:type="dxa" w:w="60"/>
              <w:right w:type="dxa" w:w="80"/>
            </w:tcMar>
            <w:vAlign w:val="center"/>
          </w:tcPr>
          <w:p>
            <w:pPr>
              <w:jc w:val="left"/>
            </w:pPr>
            <w:r>
              <w:rPr>
                <w:rFonts w:ascii="Times New Roman" w:cs="Times New Roman" w:eastAsia="Times New Roman" w:hAnsi="Times New Roman"/>
                <w:b w:val="false"/>
                <w:bCs w:val="false"/>
                <w:color w:val="000000"/>
                <w:sz w:val="20"/>
                <w:szCs w:val="20"/>
              </w:rPr>
              <w:t xml:space="preserve">p-value</w:t>
            </w:r>
          </w:p>
        </w:tc>
        <w:tc>
          <w:tcPr>
            <w:tcW w:type="dxa" w:w="2600"/>
            <w:shd w:fill="FFFFFF" w:val="clear"/>
            <w:tcMar>
              <w:top w:type="dxa" w:w="60"/>
              <w:left w:type="dxa" w:w="80"/>
              <w:bottom w:type="dxa" w:w="60"/>
              <w:right w:type="dxa" w:w="80"/>
            </w:tcMar>
            <w:vAlign w:val="center"/>
          </w:tcPr>
          <w:p>
            <w:pPr>
              <w:jc w:val="center"/>
            </w:pPr>
            <w:r>
              <w:rPr>
                <w:rFonts w:ascii="Times New Roman" w:cs="Times New Roman" w:eastAsia="Times New Roman" w:hAnsi="Times New Roman"/>
                <w:b w:val="false"/>
                <w:bCs w:val="false"/>
                <w:color w:val="000000"/>
                <w:sz w:val="20"/>
                <w:szCs w:val="20"/>
              </w:rPr>
              <w:t xml:space="preserve">&lt; 0.0001</w:t>
            </w:r>
          </w:p>
        </w:tc>
      </w:tr>
      <w:tr>
        <w:tc>
          <w:tcPr>
            <w:tcW w:type="dxa" w:w="3400"/>
            <w:shd w:fill="F2F2F2" w:val="clear"/>
            <w:tcMar>
              <w:top w:type="dxa" w:w="60"/>
              <w:left w:type="dxa" w:w="80"/>
              <w:bottom w:type="dxa" w:w="60"/>
              <w:right w:type="dxa" w:w="80"/>
            </w:tcMar>
            <w:vAlign w:val="center"/>
          </w:tcPr>
          <w:p>
            <w:pPr>
              <w:jc w:val="left"/>
            </w:pPr>
            <w:r>
              <w:rPr>
                <w:rFonts w:ascii="Times New Roman" w:cs="Times New Roman" w:eastAsia="Times New Roman" w:hAnsi="Times New Roman"/>
                <w:b w:val="false"/>
                <w:bCs w:val="false"/>
                <w:color w:val="000000"/>
                <w:sz w:val="20"/>
                <w:szCs w:val="20"/>
              </w:rPr>
              <w:t xml:space="preserve">d de Cohen</w:t>
            </w:r>
          </w:p>
        </w:tc>
        <w:tc>
          <w:tcPr>
            <w:tcW w:type="dxa" w:w="2600"/>
            <w:shd w:fill="F2F2F2" w:val="clear"/>
            <w:tcMar>
              <w:top w:type="dxa" w:w="60"/>
              <w:left w:type="dxa" w:w="80"/>
              <w:bottom w:type="dxa" w:w="60"/>
              <w:right w:type="dxa" w:w="80"/>
            </w:tcMar>
            <w:vAlign w:val="center"/>
          </w:tcPr>
          <w:p>
            <w:pPr>
              <w:jc w:val="center"/>
            </w:pPr>
            <w:r>
              <w:rPr>
                <w:rFonts w:ascii="Times New Roman" w:cs="Times New Roman" w:eastAsia="Times New Roman" w:hAnsi="Times New Roman"/>
                <w:b w:val="false"/>
                <w:bCs w:val="false"/>
                <w:color w:val="000000"/>
                <w:sz w:val="20"/>
                <w:szCs w:val="20"/>
              </w:rPr>
              <w:t xml:space="preserve">-1.034</w:t>
            </w:r>
          </w:p>
        </w:tc>
      </w:tr>
      <w:tr>
        <w:tc>
          <w:tcPr>
            <w:tcW w:type="dxa" w:w="3400"/>
            <w:shd w:fill="FFFFFF" w:val="clear"/>
            <w:tcMar>
              <w:top w:type="dxa" w:w="60"/>
              <w:left w:type="dxa" w:w="80"/>
              <w:bottom w:type="dxa" w:w="60"/>
              <w:right w:type="dxa" w:w="80"/>
            </w:tcMar>
            <w:vAlign w:val="center"/>
          </w:tcPr>
          <w:p>
            <w:pPr>
              <w:jc w:val="left"/>
            </w:pPr>
            <w:r>
              <w:rPr>
                <w:rFonts w:ascii="Times New Roman" w:cs="Times New Roman" w:eastAsia="Times New Roman" w:hAnsi="Times New Roman"/>
                <w:b w:val="false"/>
                <w:bCs w:val="false"/>
                <w:color w:val="000000"/>
                <w:sz w:val="20"/>
                <w:szCs w:val="20"/>
              </w:rPr>
              <w:t xml:space="preserve">Decisión H0 (α=0.05)</w:t>
            </w:r>
          </w:p>
        </w:tc>
        <w:tc>
          <w:tcPr>
            <w:tcW w:type="dxa" w:w="2600"/>
            <w:shd w:fill="FFFFFF" w:val="clear"/>
            <w:tcMar>
              <w:top w:type="dxa" w:w="60"/>
              <w:left w:type="dxa" w:w="80"/>
              <w:bottom w:type="dxa" w:w="60"/>
              <w:right w:type="dxa" w:w="80"/>
            </w:tcMar>
            <w:vAlign w:val="center"/>
          </w:tcPr>
          <w:p>
            <w:pPr>
              <w:jc w:val="center"/>
            </w:pPr>
            <w:r>
              <w:rPr>
                <w:rFonts w:ascii="Times New Roman" w:cs="Times New Roman" w:eastAsia="Times New Roman" w:hAnsi="Times New Roman"/>
                <w:b/>
                <w:bCs/>
                <w:color w:val="000000"/>
                <w:sz w:val="20"/>
                <w:szCs w:val="20"/>
              </w:rPr>
              <w:t xml:space="preserve">Se rechaza H0 (diferencia significativa)</w:t>
            </w:r>
          </w:p>
        </w:tc>
      </w:tr>
    </w:tbl>
    <w:p>
      <w:r>
        <w:br/>
        <w:t xml:space="preserve"/>
      </w:r>
    </w:p>
    <w:p>
      <w:pPr>
        <w:spacing w:after="160" w:line="360" w:lineRule="auto"/>
      </w:pPr>
      <w:r>
        <w:rPr>
          <w:rFonts w:ascii="Times New Roman" w:cs="Times New Roman" w:eastAsia="Times New Roman" w:hAnsi="Times New Roman"/>
          <w:color w:val="000000"/>
          <w:sz w:val="22"/>
          <w:szCs w:val="22"/>
        </w:rPr>
        <w:t xml:space="preserve">Reducción promedio simulada: 62.3% (meta del protocolo: ≥ 60%).</w:t>
      </w:r>
    </w:p>
    <w:p>
      <w:pPr>
        <w:pStyle w:val="Heading2"/>
        <w:spacing w:after="100" w:before="200"/>
      </w:pPr>
      <w:r>
        <w:rPr>
          <w:rFonts w:ascii="Times New Roman" w:cs="Times New Roman" w:eastAsia="Times New Roman" w:hAnsi="Times New Roman"/>
          <w:b/>
          <w:bCs/>
          <w:color w:val="000000"/>
          <w:sz w:val="24"/>
          <w:szCs w:val="24"/>
        </w:rPr>
        <w:t xml:space="preserve">Variable: Satisfacción (Likert 1-5)</w:t>
      </w: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3400"/>
        <w:gridCol w:w="2600"/>
      </w:tblGrid>
      <w:tr>
        <w:trPr>
          <w:tblHeader/>
        </w:trPr>
        <w:tc>
          <w:tcPr>
            <w:tcW w:type="dxa" w:w="3400"/>
            <w:shd w:fill="8E7CC3" w:val="clear"/>
            <w:tcMar>
              <w:top w:type="dxa" w:w="60"/>
              <w:left w:type="dxa" w:w="80"/>
              <w:bottom w:type="dxa" w:w="60"/>
              <w:right w:type="dxa" w:w="80"/>
            </w:tcMar>
            <w:vAlign w:val="center"/>
          </w:tcPr>
          <w:p>
            <w:pPr>
              <w:jc w:val="center"/>
            </w:pPr>
            <w:r>
              <w:rPr>
                <w:rFonts w:ascii="Times New Roman" w:cs="Times New Roman" w:eastAsia="Times New Roman" w:hAnsi="Times New Roman"/>
                <w:b/>
                <w:bCs/>
                <w:color w:val="FFFFFF"/>
                <w:sz w:val="20"/>
                <w:szCs w:val="20"/>
              </w:rPr>
              <w:t xml:space="preserve">Estadístico</w:t>
            </w:r>
          </w:p>
        </w:tc>
        <w:tc>
          <w:tcPr>
            <w:tcW w:type="dxa" w:w="2600"/>
            <w:shd w:fill="8E7CC3" w:val="clear"/>
            <w:tcMar>
              <w:top w:type="dxa" w:w="60"/>
              <w:left w:type="dxa" w:w="80"/>
              <w:bottom w:type="dxa" w:w="60"/>
              <w:right w:type="dxa" w:w="80"/>
            </w:tcMar>
            <w:vAlign w:val="center"/>
          </w:tcPr>
          <w:p>
            <w:pPr>
              <w:jc w:val="center"/>
            </w:pPr>
            <w:r>
              <w:rPr>
                <w:rFonts w:ascii="Times New Roman" w:cs="Times New Roman" w:eastAsia="Times New Roman" w:hAnsi="Times New Roman"/>
                <w:b/>
                <w:bCs/>
                <w:color w:val="FFFFFF"/>
                <w:sz w:val="20"/>
                <w:szCs w:val="20"/>
              </w:rPr>
              <w:t xml:space="preserve">Valor</w:t>
            </w:r>
          </w:p>
        </w:tc>
      </w:tr>
      <w:tr>
        <w:tc>
          <w:tcPr>
            <w:tcW w:type="dxa" w:w="3400"/>
            <w:shd w:fill="FFFFFF" w:val="clear"/>
            <w:tcMar>
              <w:top w:type="dxa" w:w="60"/>
              <w:left w:type="dxa" w:w="80"/>
              <w:bottom w:type="dxa" w:w="60"/>
              <w:right w:type="dxa" w:w="80"/>
            </w:tcMar>
            <w:vAlign w:val="center"/>
          </w:tcPr>
          <w:p>
            <w:pPr>
              <w:jc w:val="left"/>
            </w:pPr>
            <w:r>
              <w:rPr>
                <w:rFonts w:ascii="Times New Roman" w:cs="Times New Roman" w:eastAsia="Times New Roman" w:hAnsi="Times New Roman"/>
                <w:b w:val="false"/>
                <w:bCs w:val="false"/>
                <w:color w:val="000000"/>
                <w:sz w:val="20"/>
                <w:szCs w:val="20"/>
              </w:rPr>
              <w:t xml:space="preserve">n</w:t>
            </w:r>
          </w:p>
        </w:tc>
        <w:tc>
          <w:tcPr>
            <w:tcW w:type="dxa" w:w="2600"/>
            <w:shd w:fill="FFFFFF" w:val="clear"/>
            <w:tcMar>
              <w:top w:type="dxa" w:w="60"/>
              <w:left w:type="dxa" w:w="80"/>
              <w:bottom w:type="dxa" w:w="60"/>
              <w:right w:type="dxa" w:w="80"/>
            </w:tcMar>
            <w:vAlign w:val="center"/>
          </w:tcPr>
          <w:p>
            <w:pPr>
              <w:jc w:val="center"/>
            </w:pPr>
            <w:r>
              <w:rPr>
                <w:rFonts w:ascii="Times New Roman" w:cs="Times New Roman" w:eastAsia="Times New Roman" w:hAnsi="Times New Roman"/>
                <w:b w:val="false"/>
                <w:bCs w:val="false"/>
                <w:color w:val="000000"/>
                <w:sz w:val="20"/>
                <w:szCs w:val="20"/>
              </w:rPr>
              <w:t xml:space="preserve">119</w:t>
            </w:r>
          </w:p>
        </w:tc>
      </w:tr>
      <w:tr>
        <w:tc>
          <w:tcPr>
            <w:tcW w:type="dxa" w:w="3400"/>
            <w:shd w:fill="F2F2F2" w:val="clear"/>
            <w:tcMar>
              <w:top w:type="dxa" w:w="60"/>
              <w:left w:type="dxa" w:w="80"/>
              <w:bottom w:type="dxa" w:w="60"/>
              <w:right w:type="dxa" w:w="80"/>
            </w:tcMar>
            <w:vAlign w:val="center"/>
          </w:tcPr>
          <w:p>
            <w:pPr>
              <w:jc w:val="left"/>
            </w:pPr>
            <w:r>
              <w:rPr>
                <w:rFonts w:ascii="Times New Roman" w:cs="Times New Roman" w:eastAsia="Times New Roman" w:hAnsi="Times New Roman"/>
                <w:b w:val="false"/>
                <w:bCs w:val="false"/>
                <w:color w:val="000000"/>
                <w:sz w:val="20"/>
                <w:szCs w:val="20"/>
              </w:rPr>
              <w:t xml:space="preserve">Media pre</w:t>
            </w:r>
          </w:p>
        </w:tc>
        <w:tc>
          <w:tcPr>
            <w:tcW w:type="dxa" w:w="2600"/>
            <w:shd w:fill="F2F2F2" w:val="clear"/>
            <w:tcMar>
              <w:top w:type="dxa" w:w="60"/>
              <w:left w:type="dxa" w:w="80"/>
              <w:bottom w:type="dxa" w:w="60"/>
              <w:right w:type="dxa" w:w="80"/>
            </w:tcMar>
            <w:vAlign w:val="center"/>
          </w:tcPr>
          <w:p>
            <w:pPr>
              <w:jc w:val="center"/>
            </w:pPr>
            <w:r>
              <w:rPr>
                <w:rFonts w:ascii="Times New Roman" w:cs="Times New Roman" w:eastAsia="Times New Roman" w:hAnsi="Times New Roman"/>
                <w:b w:val="false"/>
                <w:bCs w:val="false"/>
                <w:color w:val="000000"/>
                <w:sz w:val="20"/>
                <w:szCs w:val="20"/>
              </w:rPr>
              <w:t xml:space="preserve">2.98</w:t>
            </w:r>
          </w:p>
        </w:tc>
      </w:tr>
      <w:tr>
        <w:tc>
          <w:tcPr>
            <w:tcW w:type="dxa" w:w="3400"/>
            <w:shd w:fill="FFFFFF" w:val="clear"/>
            <w:tcMar>
              <w:top w:type="dxa" w:w="60"/>
              <w:left w:type="dxa" w:w="80"/>
              <w:bottom w:type="dxa" w:w="60"/>
              <w:right w:type="dxa" w:w="80"/>
            </w:tcMar>
            <w:vAlign w:val="center"/>
          </w:tcPr>
          <w:p>
            <w:pPr>
              <w:jc w:val="left"/>
            </w:pPr>
            <w:r>
              <w:rPr>
                <w:rFonts w:ascii="Times New Roman" w:cs="Times New Roman" w:eastAsia="Times New Roman" w:hAnsi="Times New Roman"/>
                <w:b w:val="false"/>
                <w:bCs w:val="false"/>
                <w:color w:val="000000"/>
                <w:sz w:val="20"/>
                <w:szCs w:val="20"/>
              </w:rPr>
              <w:t xml:space="preserve">Media post</w:t>
            </w:r>
          </w:p>
        </w:tc>
        <w:tc>
          <w:tcPr>
            <w:tcW w:type="dxa" w:w="2600"/>
            <w:shd w:fill="FFFFFF" w:val="clear"/>
            <w:tcMar>
              <w:top w:type="dxa" w:w="60"/>
              <w:left w:type="dxa" w:w="80"/>
              <w:bottom w:type="dxa" w:w="60"/>
              <w:right w:type="dxa" w:w="80"/>
            </w:tcMar>
            <w:vAlign w:val="center"/>
          </w:tcPr>
          <w:p>
            <w:pPr>
              <w:jc w:val="center"/>
            </w:pPr>
            <w:r>
              <w:rPr>
                <w:rFonts w:ascii="Times New Roman" w:cs="Times New Roman" w:eastAsia="Times New Roman" w:hAnsi="Times New Roman"/>
                <w:b w:val="false"/>
                <w:bCs w:val="false"/>
                <w:color w:val="000000"/>
                <w:sz w:val="20"/>
                <w:szCs w:val="20"/>
              </w:rPr>
              <w:t xml:space="preserve">4</w:t>
            </w:r>
          </w:p>
        </w:tc>
      </w:tr>
      <w:tr>
        <w:tc>
          <w:tcPr>
            <w:tcW w:type="dxa" w:w="3400"/>
            <w:shd w:fill="F2F2F2" w:val="clear"/>
            <w:tcMar>
              <w:top w:type="dxa" w:w="60"/>
              <w:left w:type="dxa" w:w="80"/>
              <w:bottom w:type="dxa" w:w="60"/>
              <w:right w:type="dxa" w:w="80"/>
            </w:tcMar>
            <w:vAlign w:val="center"/>
          </w:tcPr>
          <w:p>
            <w:pPr>
              <w:jc w:val="left"/>
            </w:pPr>
            <w:r>
              <w:rPr>
                <w:rFonts w:ascii="Times New Roman" w:cs="Times New Roman" w:eastAsia="Times New Roman" w:hAnsi="Times New Roman"/>
                <w:b w:val="false"/>
                <w:bCs w:val="false"/>
                <w:color w:val="000000"/>
                <w:sz w:val="20"/>
                <w:szCs w:val="20"/>
              </w:rPr>
              <w:t xml:space="preserve">Diferencia media</w:t>
            </w:r>
          </w:p>
        </w:tc>
        <w:tc>
          <w:tcPr>
            <w:tcW w:type="dxa" w:w="2600"/>
            <w:shd w:fill="F2F2F2" w:val="clear"/>
            <w:tcMar>
              <w:top w:type="dxa" w:w="60"/>
              <w:left w:type="dxa" w:w="80"/>
              <w:bottom w:type="dxa" w:w="60"/>
              <w:right w:type="dxa" w:w="80"/>
            </w:tcMar>
            <w:vAlign w:val="center"/>
          </w:tcPr>
          <w:p>
            <w:pPr>
              <w:jc w:val="center"/>
            </w:pPr>
            <w:r>
              <w:rPr>
                <w:rFonts w:ascii="Times New Roman" w:cs="Times New Roman" w:eastAsia="Times New Roman" w:hAnsi="Times New Roman"/>
                <w:b w:val="false"/>
                <w:bCs w:val="false"/>
                <w:color w:val="000000"/>
                <w:sz w:val="20"/>
                <w:szCs w:val="20"/>
              </w:rPr>
              <w:t xml:space="preserve">1.02</w:t>
            </w:r>
          </w:p>
        </w:tc>
      </w:tr>
      <w:tr>
        <w:tc>
          <w:tcPr>
            <w:tcW w:type="dxa" w:w="3400"/>
            <w:shd w:fill="FFFFFF" w:val="clear"/>
            <w:tcMar>
              <w:top w:type="dxa" w:w="60"/>
              <w:left w:type="dxa" w:w="80"/>
              <w:bottom w:type="dxa" w:w="60"/>
              <w:right w:type="dxa" w:w="80"/>
            </w:tcMar>
            <w:vAlign w:val="center"/>
          </w:tcPr>
          <w:p>
            <w:pPr>
              <w:jc w:val="left"/>
            </w:pPr>
            <w:r>
              <w:rPr>
                <w:rFonts w:ascii="Times New Roman" w:cs="Times New Roman" w:eastAsia="Times New Roman" w:hAnsi="Times New Roman"/>
                <w:b w:val="false"/>
                <w:bCs w:val="false"/>
                <w:color w:val="000000"/>
                <w:sz w:val="20"/>
                <w:szCs w:val="20"/>
              </w:rPr>
              <w:t xml:space="preserve">Shapiro-Wilk (p)</w:t>
            </w:r>
          </w:p>
        </w:tc>
        <w:tc>
          <w:tcPr>
            <w:tcW w:type="dxa" w:w="2600"/>
            <w:shd w:fill="FFFFFF" w:val="clear"/>
            <w:tcMar>
              <w:top w:type="dxa" w:w="60"/>
              <w:left w:type="dxa" w:w="80"/>
              <w:bottom w:type="dxa" w:w="60"/>
              <w:right w:type="dxa" w:w="80"/>
            </w:tcMar>
            <w:vAlign w:val="center"/>
          </w:tcPr>
          <w:p>
            <w:pPr>
              <w:jc w:val="center"/>
            </w:pPr>
            <w:r>
              <w:rPr>
                <w:rFonts w:ascii="Times New Roman" w:cs="Times New Roman" w:eastAsia="Times New Roman" w:hAnsi="Times New Roman"/>
                <w:b w:val="false"/>
                <w:bCs w:val="false"/>
                <w:color w:val="000000"/>
                <w:sz w:val="20"/>
                <w:szCs w:val="20"/>
              </w:rPr>
              <w:t xml:space="preserve">0</w:t>
            </w:r>
          </w:p>
        </w:tc>
      </w:tr>
      <w:tr>
        <w:tc>
          <w:tcPr>
            <w:tcW w:type="dxa" w:w="3400"/>
            <w:shd w:fill="F2F2F2" w:val="clear"/>
            <w:tcMar>
              <w:top w:type="dxa" w:w="60"/>
              <w:left w:type="dxa" w:w="80"/>
              <w:bottom w:type="dxa" w:w="60"/>
              <w:right w:type="dxa" w:w="80"/>
            </w:tcMar>
            <w:vAlign w:val="center"/>
          </w:tcPr>
          <w:p>
            <w:pPr>
              <w:jc w:val="left"/>
            </w:pPr>
            <w:r>
              <w:rPr>
                <w:rFonts w:ascii="Times New Roman" w:cs="Times New Roman" w:eastAsia="Times New Roman" w:hAnsi="Times New Roman"/>
                <w:b w:val="false"/>
                <w:bCs w:val="false"/>
                <w:color w:val="000000"/>
                <w:sz w:val="20"/>
                <w:szCs w:val="20"/>
              </w:rPr>
              <w:t xml:space="preserve">¿Normalidad cumplida?</w:t>
            </w:r>
          </w:p>
        </w:tc>
        <w:tc>
          <w:tcPr>
            <w:tcW w:type="dxa" w:w="2600"/>
            <w:shd w:fill="F2F2F2" w:val="clear"/>
            <w:tcMar>
              <w:top w:type="dxa" w:w="60"/>
              <w:left w:type="dxa" w:w="80"/>
              <w:bottom w:type="dxa" w:w="60"/>
              <w:right w:type="dxa" w:w="80"/>
            </w:tcMar>
            <w:vAlign w:val="center"/>
          </w:tcPr>
          <w:p>
            <w:pPr>
              <w:jc w:val="center"/>
            </w:pPr>
            <w:r>
              <w:rPr>
                <w:rFonts w:ascii="Times New Roman" w:cs="Times New Roman" w:eastAsia="Times New Roman" w:hAnsi="Times New Roman"/>
                <w:b w:val="false"/>
                <w:bCs w:val="false"/>
                <w:color w:val="000000"/>
                <w:sz w:val="20"/>
                <w:szCs w:val="20"/>
              </w:rPr>
              <w:t xml:space="preserve">No</w:t>
            </w:r>
          </w:p>
        </w:tc>
      </w:tr>
      <w:tr>
        <w:tc>
          <w:tcPr>
            <w:tcW w:type="dxa" w:w="3400"/>
            <w:shd w:fill="FFFFFF" w:val="clear"/>
            <w:tcMar>
              <w:top w:type="dxa" w:w="60"/>
              <w:left w:type="dxa" w:w="80"/>
              <w:bottom w:type="dxa" w:w="60"/>
              <w:right w:type="dxa" w:w="80"/>
            </w:tcMar>
            <w:vAlign w:val="center"/>
          </w:tcPr>
          <w:p>
            <w:pPr>
              <w:jc w:val="left"/>
            </w:pPr>
            <w:r>
              <w:rPr>
                <w:rFonts w:ascii="Times New Roman" w:cs="Times New Roman" w:eastAsia="Times New Roman" w:hAnsi="Times New Roman"/>
                <w:b w:val="false"/>
                <w:bCs w:val="false"/>
                <w:color w:val="000000"/>
                <w:sz w:val="20"/>
                <w:szCs w:val="20"/>
              </w:rPr>
              <w:t xml:space="preserve">Prueba aplicada</w:t>
            </w:r>
          </w:p>
        </w:tc>
        <w:tc>
          <w:tcPr>
            <w:tcW w:type="dxa" w:w="2600"/>
            <w:shd w:fill="FFFFFF" w:val="clear"/>
            <w:tcMar>
              <w:top w:type="dxa" w:w="60"/>
              <w:left w:type="dxa" w:w="80"/>
              <w:bottom w:type="dxa" w:w="60"/>
              <w:right w:type="dxa" w:w="80"/>
            </w:tcMar>
            <w:vAlign w:val="center"/>
          </w:tcPr>
          <w:p>
            <w:pPr>
              <w:jc w:val="center"/>
            </w:pPr>
            <w:r>
              <w:rPr>
                <w:rFonts w:ascii="Times New Roman" w:cs="Times New Roman" w:eastAsia="Times New Roman" w:hAnsi="Times New Roman"/>
                <w:b w:val="false"/>
                <w:bCs w:val="false"/>
                <w:color w:val="000000"/>
                <w:sz w:val="20"/>
                <w:szCs w:val="20"/>
              </w:rPr>
              <w:t xml:space="preserve">Wilcoxon (rangos con signo)</w:t>
            </w:r>
          </w:p>
        </w:tc>
      </w:tr>
      <w:tr>
        <w:tc>
          <w:tcPr>
            <w:tcW w:type="dxa" w:w="3400"/>
            <w:shd w:fill="F2F2F2" w:val="clear"/>
            <w:tcMar>
              <w:top w:type="dxa" w:w="60"/>
              <w:left w:type="dxa" w:w="80"/>
              <w:bottom w:type="dxa" w:w="60"/>
              <w:right w:type="dxa" w:w="80"/>
            </w:tcMar>
            <w:vAlign w:val="center"/>
          </w:tcPr>
          <w:p>
            <w:pPr>
              <w:jc w:val="left"/>
            </w:pPr>
            <w:r>
              <w:rPr>
                <w:rFonts w:ascii="Times New Roman" w:cs="Times New Roman" w:eastAsia="Times New Roman" w:hAnsi="Times New Roman"/>
                <w:b w:val="false"/>
                <w:bCs w:val="false"/>
                <w:color w:val="000000"/>
                <w:sz w:val="20"/>
                <w:szCs w:val="20"/>
              </w:rPr>
              <w:t xml:space="preserve">Estadístico</w:t>
            </w:r>
          </w:p>
        </w:tc>
        <w:tc>
          <w:tcPr>
            <w:tcW w:type="dxa" w:w="2600"/>
            <w:shd w:fill="F2F2F2" w:val="clear"/>
            <w:tcMar>
              <w:top w:type="dxa" w:w="60"/>
              <w:left w:type="dxa" w:w="80"/>
              <w:bottom w:type="dxa" w:w="60"/>
              <w:right w:type="dxa" w:w="80"/>
            </w:tcMar>
            <w:vAlign w:val="center"/>
          </w:tcPr>
          <w:p>
            <w:pPr>
              <w:jc w:val="center"/>
            </w:pPr>
            <w:r>
              <w:rPr>
                <w:rFonts w:ascii="Times New Roman" w:cs="Times New Roman" w:eastAsia="Times New Roman" w:hAnsi="Times New Roman"/>
                <w:b w:val="false"/>
                <w:bCs w:val="false"/>
                <w:color w:val="000000"/>
                <w:sz w:val="20"/>
                <w:szCs w:val="20"/>
              </w:rPr>
              <w:t xml:space="preserve">0</w:t>
            </w:r>
          </w:p>
        </w:tc>
      </w:tr>
      <w:tr>
        <w:tc>
          <w:tcPr>
            <w:tcW w:type="dxa" w:w="3400"/>
            <w:shd w:fill="FFFFFF" w:val="clear"/>
            <w:tcMar>
              <w:top w:type="dxa" w:w="60"/>
              <w:left w:type="dxa" w:w="80"/>
              <w:bottom w:type="dxa" w:w="60"/>
              <w:right w:type="dxa" w:w="80"/>
            </w:tcMar>
            <w:vAlign w:val="center"/>
          </w:tcPr>
          <w:p>
            <w:pPr>
              <w:jc w:val="left"/>
            </w:pPr>
            <w:r>
              <w:rPr>
                <w:rFonts w:ascii="Times New Roman" w:cs="Times New Roman" w:eastAsia="Times New Roman" w:hAnsi="Times New Roman"/>
                <w:b w:val="false"/>
                <w:bCs w:val="false"/>
                <w:color w:val="000000"/>
                <w:sz w:val="20"/>
                <w:szCs w:val="20"/>
              </w:rPr>
              <w:t xml:space="preserve">p-value</w:t>
            </w:r>
          </w:p>
        </w:tc>
        <w:tc>
          <w:tcPr>
            <w:tcW w:type="dxa" w:w="2600"/>
            <w:shd w:fill="FFFFFF" w:val="clear"/>
            <w:tcMar>
              <w:top w:type="dxa" w:w="60"/>
              <w:left w:type="dxa" w:w="80"/>
              <w:bottom w:type="dxa" w:w="60"/>
              <w:right w:type="dxa" w:w="80"/>
            </w:tcMar>
            <w:vAlign w:val="center"/>
          </w:tcPr>
          <w:p>
            <w:pPr>
              <w:jc w:val="center"/>
            </w:pPr>
            <w:r>
              <w:rPr>
                <w:rFonts w:ascii="Times New Roman" w:cs="Times New Roman" w:eastAsia="Times New Roman" w:hAnsi="Times New Roman"/>
                <w:b w:val="false"/>
                <w:bCs w:val="false"/>
                <w:color w:val="000000"/>
                <w:sz w:val="20"/>
                <w:szCs w:val="20"/>
              </w:rPr>
              <w:t xml:space="preserve">&lt; 0.0001</w:t>
            </w:r>
          </w:p>
        </w:tc>
      </w:tr>
      <w:tr>
        <w:tc>
          <w:tcPr>
            <w:tcW w:type="dxa" w:w="3400"/>
            <w:shd w:fill="F2F2F2" w:val="clear"/>
            <w:tcMar>
              <w:top w:type="dxa" w:w="60"/>
              <w:left w:type="dxa" w:w="80"/>
              <w:bottom w:type="dxa" w:w="60"/>
              <w:right w:type="dxa" w:w="80"/>
            </w:tcMar>
            <w:vAlign w:val="center"/>
          </w:tcPr>
          <w:p>
            <w:pPr>
              <w:jc w:val="left"/>
            </w:pPr>
            <w:r>
              <w:rPr>
                <w:rFonts w:ascii="Times New Roman" w:cs="Times New Roman" w:eastAsia="Times New Roman" w:hAnsi="Times New Roman"/>
                <w:b w:val="false"/>
                <w:bCs w:val="false"/>
                <w:color w:val="000000"/>
                <w:sz w:val="20"/>
                <w:szCs w:val="20"/>
              </w:rPr>
              <w:t xml:space="preserve">d de Cohen</w:t>
            </w:r>
          </w:p>
        </w:tc>
        <w:tc>
          <w:tcPr>
            <w:tcW w:type="dxa" w:w="2600"/>
            <w:shd w:fill="F2F2F2" w:val="clear"/>
            <w:tcMar>
              <w:top w:type="dxa" w:w="60"/>
              <w:left w:type="dxa" w:w="80"/>
              <w:bottom w:type="dxa" w:w="60"/>
              <w:right w:type="dxa" w:w="80"/>
            </w:tcMar>
            <w:vAlign w:val="center"/>
          </w:tcPr>
          <w:p>
            <w:pPr>
              <w:jc w:val="center"/>
            </w:pPr>
            <w:r>
              <w:rPr>
                <w:rFonts w:ascii="Times New Roman" w:cs="Times New Roman" w:eastAsia="Times New Roman" w:hAnsi="Times New Roman"/>
                <w:b w:val="false"/>
                <w:bCs w:val="false"/>
                <w:color w:val="000000"/>
                <w:sz w:val="20"/>
                <w:szCs w:val="20"/>
              </w:rPr>
              <w:t xml:space="preserve">1.954</w:t>
            </w:r>
          </w:p>
        </w:tc>
      </w:tr>
      <w:tr>
        <w:tc>
          <w:tcPr>
            <w:tcW w:type="dxa" w:w="3400"/>
            <w:shd w:fill="FFFFFF" w:val="clear"/>
            <w:tcMar>
              <w:top w:type="dxa" w:w="60"/>
              <w:left w:type="dxa" w:w="80"/>
              <w:bottom w:type="dxa" w:w="60"/>
              <w:right w:type="dxa" w:w="80"/>
            </w:tcMar>
            <w:vAlign w:val="center"/>
          </w:tcPr>
          <w:p>
            <w:pPr>
              <w:jc w:val="left"/>
            </w:pPr>
            <w:r>
              <w:rPr>
                <w:rFonts w:ascii="Times New Roman" w:cs="Times New Roman" w:eastAsia="Times New Roman" w:hAnsi="Times New Roman"/>
                <w:b w:val="false"/>
                <w:bCs w:val="false"/>
                <w:color w:val="000000"/>
                <w:sz w:val="20"/>
                <w:szCs w:val="20"/>
              </w:rPr>
              <w:t xml:space="preserve">Decisión H0 (α=0.05)</w:t>
            </w:r>
          </w:p>
        </w:tc>
        <w:tc>
          <w:tcPr>
            <w:tcW w:type="dxa" w:w="2600"/>
            <w:shd w:fill="FFFFFF" w:val="clear"/>
            <w:tcMar>
              <w:top w:type="dxa" w:w="60"/>
              <w:left w:type="dxa" w:w="80"/>
              <w:bottom w:type="dxa" w:w="60"/>
              <w:right w:type="dxa" w:w="80"/>
            </w:tcMar>
            <w:vAlign w:val="center"/>
          </w:tcPr>
          <w:p>
            <w:pPr>
              <w:jc w:val="center"/>
            </w:pPr>
            <w:r>
              <w:rPr>
                <w:rFonts w:ascii="Times New Roman" w:cs="Times New Roman" w:eastAsia="Times New Roman" w:hAnsi="Times New Roman"/>
                <w:b/>
                <w:bCs/>
                <w:color w:val="000000"/>
                <w:sz w:val="20"/>
                <w:szCs w:val="20"/>
              </w:rPr>
              <w:t xml:space="preserve">Se rechaza H0 (diferencia significativa)</w:t>
            </w:r>
          </w:p>
        </w:tc>
      </w:tr>
    </w:tbl>
    <w:p>
      <w:r>
        <w:br/>
        <w:t xml:space="preserve"/>
      </w:r>
    </w:p>
    <w:p>
      <w:pPr>
        <w:pStyle w:val="Heading2"/>
        <w:spacing w:after="100" w:before="200"/>
      </w:pPr>
      <w:r>
        <w:rPr>
          <w:rFonts w:ascii="Times New Roman" w:cs="Times New Roman" w:eastAsia="Times New Roman" w:hAnsi="Times New Roman"/>
          <w:b/>
          <w:bCs/>
          <w:color w:val="000000"/>
          <w:sz w:val="24"/>
          <w:szCs w:val="24"/>
        </w:rPr>
        <w:t xml:space="preserve">Conclusión de la demostración</w:t>
      </w:r>
    </w:p>
    <w:p>
      <w:pPr>
        <w:spacing w:after="160" w:line="360" w:lineRule="auto"/>
      </w:pPr>
      <w:r>
        <w:rPr>
          <w:rFonts w:ascii="Times New Roman" w:cs="Times New Roman" w:eastAsia="Times New Roman" w:hAnsi="Times New Roman"/>
          <w:color w:val="000000"/>
          <w:sz w:val="22"/>
          <w:szCs w:val="22"/>
        </w:rPr>
        <w:t xml:space="preserve">El pipeline completo —desde el entrenamiento del clasificador hasta la prueba de hipótesis final— se ejecutó sin errores y produce resultados interpretables en ambas partes. La Parte I usa el corpus real (aunque inicial) y expone honestamente una limitación real (corpus pequeño) junto con el camino para resolverla. La Parte II demuestra, con n=119, que el mecanismo de selección automática entre pruebas funciona correctamente: al no cumplirse el supuesto de normalidad (Shapiro-Wilk p&lt;0.001 en ambas variables, esperable por el formato categórico de los rangos de tiempo), el pipeline aplicó correctamente la alternativa no paramétrica (Wilcoxon) en lugar de la t de Student, tal como exige el protocolo. El procedimiento queda listo para ejecutarse con datos de campo reales en la fase de tesis.</w:t>
      </w:r>
    </w:p>
    <w:sectPr>
      <w:headerReference w:type="default" r:id="rId7"/>
      <w:footerReference w:type="default" r:id="rId8"/>
      <w:pgSz w:w="12240" w:h="15840"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Página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595959"/>
        <w:sz w:val="18"/>
        <w:szCs w:val="18"/>
      </w:rPr>
      <w:t xml:space="preserve">Seminario de Tesis II — Informe de Ejecución Preliminar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2026-10-02T15:18:07.924Z</dcterms:created>
  <dcterms:modified xsi:type="dcterms:W3CDTF">2026-10-02T15:18:07.924Z</dcterms:modified>
</cp:coreProperties>
</file>

<file path=docProps/custom.xml><?xml version="1.0" encoding="utf-8"?>
<Properties xmlns="http://schemas.openxmlformats.org/officeDocument/2006/custom-properties" xmlns:vt="http://schemas.openxmlformats.org/officeDocument/2006/docPropsVTypes"/>
</file>