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60E" w:rsidRPr="00EF0AC4" w:rsidRDefault="00E0360E" w:rsidP="0095344C">
      <w:pPr>
        <w:spacing w:before="100" w:beforeAutospacing="1" w:after="100" w:afterAutospacing="1" w:line="240" w:lineRule="auto"/>
        <w:rPr>
          <w:rFonts w:ascii="Arial Narrow" w:eastAsia="Times New Roman" w:hAnsi="Arial Narrow" w:cs="Times New Roman"/>
          <w:b/>
          <w:color w:val="FF0066"/>
          <w:sz w:val="72"/>
          <w:szCs w:val="72"/>
          <w:lang w:eastAsia="fr-FR"/>
        </w:rPr>
      </w:pPr>
      <w:r w:rsidRPr="00EF0AC4">
        <w:rPr>
          <w:rFonts w:ascii="Arial Narrow" w:eastAsia="Times New Roman" w:hAnsi="Arial Narrow" w:cs="Times New Roman"/>
          <w:b/>
          <w:color w:val="FF0066"/>
          <w:sz w:val="72"/>
          <w:szCs w:val="72"/>
          <w:lang w:eastAsia="fr-FR"/>
        </w:rPr>
        <w:t>KEYNOTES COMPAS 2019</w:t>
      </w:r>
    </w:p>
    <w:p w:rsidR="00E0360E" w:rsidRDefault="00E0360E" w:rsidP="0095344C">
      <w:pPr>
        <w:spacing w:before="100" w:beforeAutospacing="1" w:after="100" w:afterAutospacing="1" w:line="240" w:lineRule="auto"/>
        <w:rPr>
          <w:rFonts w:ascii="Arial Narrow" w:eastAsia="Times New Roman" w:hAnsi="Arial Narrow" w:cs="Times New Roman"/>
          <w:b/>
          <w:sz w:val="20"/>
          <w:szCs w:val="20"/>
          <w:lang w:eastAsia="fr-FR"/>
        </w:rPr>
      </w:pPr>
    </w:p>
    <w:p w:rsidR="0095344C" w:rsidRPr="0095344C" w:rsidRDefault="00F879FA"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Nom</w:t>
      </w:r>
      <w:r w:rsidRPr="0095344C">
        <w:rPr>
          <w:rFonts w:ascii="Arial Narrow" w:eastAsia="Times New Roman" w:hAnsi="Arial Narrow" w:cs="Times New Roman"/>
          <w:sz w:val="20"/>
          <w:szCs w:val="20"/>
          <w:lang w:eastAsia="fr-FR"/>
        </w:rPr>
        <w:t xml:space="preserve"> :</w:t>
      </w:r>
      <w:r w:rsidR="00936340">
        <w:rPr>
          <w:rFonts w:ascii="Arial Narrow" w:eastAsia="Times New Roman" w:hAnsi="Arial Narrow" w:cs="Times New Roman"/>
          <w:sz w:val="20"/>
          <w:szCs w:val="20"/>
          <w:lang w:eastAsia="fr-FR"/>
        </w:rPr>
        <w:t xml:space="preserve"> Henri-Pierre Charles</w:t>
      </w:r>
      <w:bookmarkStart w:id="0" w:name="_GoBack"/>
      <w:bookmarkEnd w:id="0"/>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Affiliation</w:t>
      </w:r>
      <w:r w:rsidRPr="0095344C">
        <w:rPr>
          <w:rFonts w:ascii="Arial Narrow" w:eastAsia="Times New Roman" w:hAnsi="Arial Narrow" w:cs="Times New Roman"/>
          <w:sz w:val="20"/>
          <w:szCs w:val="20"/>
          <w:lang w:eastAsia="fr-FR"/>
        </w:rPr>
        <w:t xml:space="preserve"> : CEA</w:t>
      </w: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val="en-US" w:eastAsia="fr-FR"/>
        </w:rPr>
      </w:pPr>
      <w:proofErr w:type="spellStart"/>
      <w:proofErr w:type="gramStart"/>
      <w:r w:rsidRPr="0095344C">
        <w:rPr>
          <w:rFonts w:ascii="Arial Narrow" w:eastAsia="Times New Roman" w:hAnsi="Arial Narrow" w:cs="Times New Roman"/>
          <w:b/>
          <w:sz w:val="20"/>
          <w:szCs w:val="20"/>
          <w:lang w:val="en-US" w:eastAsia="fr-FR"/>
        </w:rPr>
        <w:t>Titre</w:t>
      </w:r>
      <w:proofErr w:type="spellEnd"/>
      <w:r w:rsidRPr="0095344C">
        <w:rPr>
          <w:rFonts w:ascii="Arial Narrow" w:eastAsia="Times New Roman" w:hAnsi="Arial Narrow" w:cs="Times New Roman"/>
          <w:sz w:val="20"/>
          <w:szCs w:val="20"/>
          <w:lang w:val="en-US" w:eastAsia="fr-FR"/>
        </w:rPr>
        <w:t xml:space="preserve"> :</w:t>
      </w:r>
      <w:proofErr w:type="gramEnd"/>
      <w:r w:rsidRPr="0095344C">
        <w:rPr>
          <w:rFonts w:ascii="Arial Narrow" w:eastAsia="Times New Roman" w:hAnsi="Arial Narrow" w:cs="Times New Roman"/>
          <w:sz w:val="20"/>
          <w:szCs w:val="20"/>
          <w:lang w:val="en-US" w:eastAsia="fr-FR"/>
        </w:rPr>
        <w:t xml:space="preserve"> If Memory Serves" : can we use memory for computing ?</w:t>
      </w:r>
    </w:p>
    <w:p w:rsidR="0095344C" w:rsidRDefault="00F879FA" w:rsidP="0095344C">
      <w:pPr>
        <w:pBdr>
          <w:bottom w:val="double" w:sz="6" w:space="1" w:color="auto"/>
        </w:pBd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Résumé</w:t>
      </w:r>
      <w:r w:rsidRPr="0095344C">
        <w:rPr>
          <w:rFonts w:ascii="Arial Narrow" w:eastAsia="Times New Roman" w:hAnsi="Arial Narrow" w:cs="Times New Roman"/>
          <w:sz w:val="20"/>
          <w:szCs w:val="20"/>
          <w:lang w:eastAsia="fr-FR"/>
        </w:rPr>
        <w:t xml:space="preserve"> :</w:t>
      </w:r>
      <w:r w:rsidR="0095344C" w:rsidRPr="0095344C">
        <w:rPr>
          <w:rFonts w:ascii="Arial Narrow" w:eastAsia="Times New Roman" w:hAnsi="Arial Narrow" w:cs="Times New Roman"/>
          <w:sz w:val="20"/>
          <w:szCs w:val="20"/>
          <w:lang w:eastAsia="fr-FR"/>
        </w:rPr>
        <w:t xml:space="preserve"> Cette </w:t>
      </w:r>
      <w:proofErr w:type="spellStart"/>
      <w:r w:rsidR="0095344C" w:rsidRPr="0095344C">
        <w:rPr>
          <w:rFonts w:ascii="Arial Narrow" w:eastAsia="Times New Roman" w:hAnsi="Arial Narrow" w:cs="Times New Roman"/>
          <w:sz w:val="20"/>
          <w:szCs w:val="20"/>
          <w:lang w:eastAsia="fr-FR"/>
        </w:rPr>
        <w:t>keynote</w:t>
      </w:r>
      <w:proofErr w:type="spellEnd"/>
      <w:r w:rsidR="0095344C" w:rsidRPr="0095344C">
        <w:rPr>
          <w:rFonts w:ascii="Arial Narrow" w:eastAsia="Times New Roman" w:hAnsi="Arial Narrow" w:cs="Times New Roman"/>
          <w:sz w:val="20"/>
          <w:szCs w:val="20"/>
          <w:lang w:eastAsia="fr-FR"/>
        </w:rPr>
        <w:t xml:space="preserve"> présentera un historique des modèles de programmation en lien avec la mémoire et les pistes qui ont été suivies dans le passé pour intriquer calcul et mémorisation.</w:t>
      </w:r>
      <w:r w:rsidR="0095344C">
        <w:rPr>
          <w:rFonts w:ascii="Arial Narrow" w:eastAsia="Times New Roman" w:hAnsi="Arial Narrow" w:cs="Times New Roman"/>
          <w:sz w:val="20"/>
          <w:szCs w:val="20"/>
          <w:lang w:eastAsia="fr-FR"/>
        </w:rPr>
        <w:t xml:space="preserve"> </w:t>
      </w:r>
      <w:r w:rsidR="0095344C" w:rsidRPr="0095344C">
        <w:rPr>
          <w:rFonts w:ascii="Arial Narrow" w:eastAsia="Times New Roman" w:hAnsi="Arial Narrow" w:cs="Times New Roman"/>
          <w:sz w:val="20"/>
          <w:szCs w:val="20"/>
          <w:lang w:eastAsia="fr-FR"/>
        </w:rPr>
        <w:t>Le temps et l'énergie, nécessaire pour accéder aux données, devenant prédominant dans les applications haute performance, de nouvelles solutions émergent afin de réduire la "distance" entre unités de calcul et la mémoire. Nous verrons certaines de ces solutions.</w:t>
      </w:r>
      <w:r w:rsidR="0095344C">
        <w:rPr>
          <w:rFonts w:ascii="Arial Narrow" w:eastAsia="Times New Roman" w:hAnsi="Arial Narrow" w:cs="Times New Roman"/>
          <w:sz w:val="20"/>
          <w:szCs w:val="20"/>
          <w:lang w:eastAsia="fr-FR"/>
        </w:rPr>
        <w:t xml:space="preserve"> </w:t>
      </w:r>
      <w:r w:rsidR="0095344C" w:rsidRPr="0095344C">
        <w:rPr>
          <w:rFonts w:ascii="Arial Narrow" w:eastAsia="Times New Roman" w:hAnsi="Arial Narrow" w:cs="Times New Roman"/>
          <w:sz w:val="20"/>
          <w:szCs w:val="20"/>
          <w:lang w:eastAsia="fr-FR"/>
        </w:rPr>
        <w:t>Ces différentes approches se heurtent très souvent à la difficulté de rendre ces architectures facilement programmables. Là encore, de multiples essais plus ou moins concluants ont été réalisés et/ou industrialisés. Nous verrons certaines de ces approches.</w:t>
      </w:r>
      <w:r w:rsidR="0095344C">
        <w:rPr>
          <w:rFonts w:ascii="Arial Narrow" w:eastAsia="Times New Roman" w:hAnsi="Arial Narrow" w:cs="Times New Roman"/>
          <w:sz w:val="20"/>
          <w:szCs w:val="20"/>
          <w:lang w:eastAsia="fr-FR"/>
        </w:rPr>
        <w:t xml:space="preserve"> </w:t>
      </w:r>
      <w:r w:rsidR="0095344C" w:rsidRPr="0095344C">
        <w:rPr>
          <w:rFonts w:ascii="Arial Narrow" w:eastAsia="Times New Roman" w:hAnsi="Arial Narrow" w:cs="Times New Roman"/>
          <w:sz w:val="20"/>
          <w:szCs w:val="20"/>
          <w:lang w:eastAsia="fr-FR"/>
        </w:rPr>
        <w:t xml:space="preserve">Cette </w:t>
      </w:r>
      <w:proofErr w:type="spellStart"/>
      <w:r w:rsidR="0095344C" w:rsidRPr="0095344C">
        <w:rPr>
          <w:rFonts w:ascii="Arial Narrow" w:eastAsia="Times New Roman" w:hAnsi="Arial Narrow" w:cs="Times New Roman"/>
          <w:sz w:val="20"/>
          <w:szCs w:val="20"/>
          <w:lang w:eastAsia="fr-FR"/>
        </w:rPr>
        <w:t>keynote</w:t>
      </w:r>
      <w:proofErr w:type="spellEnd"/>
      <w:r w:rsidR="0095344C" w:rsidRPr="0095344C">
        <w:rPr>
          <w:rFonts w:ascii="Arial Narrow" w:eastAsia="Times New Roman" w:hAnsi="Arial Narrow" w:cs="Times New Roman"/>
          <w:sz w:val="20"/>
          <w:szCs w:val="20"/>
          <w:lang w:eastAsia="fr-FR"/>
        </w:rPr>
        <w:t xml:space="preserve"> détaillera enfin les activités autour du projet CSRAM du CEA Grenoble (</w:t>
      </w:r>
      <w:proofErr w:type="spellStart"/>
      <w:r w:rsidR="0095344C" w:rsidRPr="0095344C">
        <w:rPr>
          <w:rFonts w:ascii="Arial Narrow" w:eastAsia="Times New Roman" w:hAnsi="Arial Narrow" w:cs="Times New Roman"/>
          <w:sz w:val="20"/>
          <w:szCs w:val="20"/>
          <w:lang w:eastAsia="fr-FR"/>
        </w:rPr>
        <w:t>Computing</w:t>
      </w:r>
      <w:proofErr w:type="spellEnd"/>
      <w:r w:rsidR="0095344C" w:rsidRPr="0095344C">
        <w:rPr>
          <w:rFonts w:ascii="Arial Narrow" w:eastAsia="Times New Roman" w:hAnsi="Arial Narrow" w:cs="Times New Roman"/>
          <w:sz w:val="20"/>
          <w:szCs w:val="20"/>
          <w:lang w:eastAsia="fr-FR"/>
        </w:rPr>
        <w:t xml:space="preserve"> SRAM), les choix architecturaux que nous avons pris et nos premiers résultats au niveau silicium et simulation.</w:t>
      </w:r>
    </w:p>
    <w:p w:rsidR="00F879FA" w:rsidRPr="0095344C" w:rsidRDefault="00F879FA" w:rsidP="0095344C">
      <w:pPr>
        <w:pBdr>
          <w:bottom w:val="double" w:sz="6" w:space="1" w:color="auto"/>
        </w:pBdr>
        <w:spacing w:before="100" w:beforeAutospacing="1" w:after="100" w:afterAutospacing="1" w:line="240" w:lineRule="auto"/>
        <w:rPr>
          <w:rFonts w:ascii="Arial Narrow" w:eastAsia="Times New Roman" w:hAnsi="Arial Narrow" w:cs="Times New Roman"/>
          <w:sz w:val="20"/>
          <w:szCs w:val="20"/>
          <w:lang w:eastAsia="fr-FR"/>
        </w:rPr>
      </w:pP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Nom</w:t>
      </w:r>
      <w:r w:rsidRPr="0095344C">
        <w:rPr>
          <w:rFonts w:ascii="Arial Narrow" w:eastAsia="Times New Roman" w:hAnsi="Arial Narrow" w:cs="Times New Roman"/>
          <w:sz w:val="20"/>
          <w:szCs w:val="20"/>
          <w:lang w:eastAsia="fr-FR"/>
        </w:rPr>
        <w:t xml:space="preserve"> : Guillaume SYLVAND</w:t>
      </w: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Affiliation</w:t>
      </w:r>
      <w:r w:rsidRPr="0095344C">
        <w:rPr>
          <w:rFonts w:ascii="Arial Narrow" w:eastAsia="Times New Roman" w:hAnsi="Arial Narrow" w:cs="Times New Roman"/>
          <w:sz w:val="20"/>
          <w:szCs w:val="20"/>
          <w:lang w:eastAsia="fr-FR"/>
        </w:rPr>
        <w:t xml:space="preserve"> : AIRBUS</w:t>
      </w: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Titre</w:t>
      </w:r>
      <w:r w:rsidRPr="0095344C">
        <w:rPr>
          <w:rFonts w:ascii="Arial Narrow" w:eastAsia="Times New Roman" w:hAnsi="Arial Narrow" w:cs="Times New Roman"/>
          <w:sz w:val="20"/>
          <w:szCs w:val="20"/>
          <w:lang w:eastAsia="fr-FR"/>
        </w:rPr>
        <w:t xml:space="preserve"> : Électromagnétisme Numérique 1990-2020 : Évolutions Matérielles, Révolutions Logicielles</w:t>
      </w: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Résumé</w:t>
      </w:r>
      <w:r w:rsidRPr="0095344C">
        <w:rPr>
          <w:rFonts w:ascii="Arial Narrow" w:eastAsia="Times New Roman" w:hAnsi="Arial Narrow" w:cs="Times New Roman"/>
          <w:sz w:val="20"/>
          <w:szCs w:val="20"/>
          <w:lang w:eastAsia="fr-FR"/>
        </w:rPr>
        <w:t xml:space="preserve"> :</w:t>
      </w:r>
      <w:r w:rsidRPr="0095344C">
        <w:rPr>
          <w:rFonts w:ascii="Arial Narrow" w:eastAsia="Times New Roman" w:hAnsi="Arial Narrow" w:cs="Times New Roman"/>
          <w:iCs/>
          <w:sz w:val="20"/>
          <w:szCs w:val="20"/>
          <w:lang w:eastAsia="fr-FR"/>
        </w:rPr>
        <w:t xml:space="preserve"> Depuis le début des années 90, Airbus Central R&amp;T développe de façon continue des outils de simulation numérique des phénomènes de propagation d'ondes électromagnétiques et acoustiques. La méthode mathématique retenue fût, pour des raisons de précision de résultats, celle des équations intégrales résolues par éléments finis de frontières. Cette approche conduit à devoir résoudre des systèmes linéaires dont la particularité est d'être denses, ce qui induit un coût élevé de stockage en O(n^2) et de factorisation en O(n^3). Il a donc fallu s'intéresser très tôt aux techniques de calcul haute performance permettant de traiter (ou de contourner) ces difficultés.</w:t>
      </w:r>
      <w:r>
        <w:rPr>
          <w:rFonts w:ascii="Arial Narrow" w:eastAsia="Times New Roman" w:hAnsi="Arial Narrow" w:cs="Times New Roman"/>
          <w:iCs/>
          <w:sz w:val="20"/>
          <w:szCs w:val="20"/>
          <w:lang w:eastAsia="fr-FR"/>
        </w:rPr>
        <w:t xml:space="preserve"> </w:t>
      </w:r>
      <w:r w:rsidRPr="0095344C">
        <w:rPr>
          <w:rFonts w:ascii="Arial Narrow" w:eastAsia="Times New Roman" w:hAnsi="Arial Narrow" w:cs="Times New Roman"/>
          <w:iCs/>
          <w:sz w:val="20"/>
          <w:szCs w:val="20"/>
          <w:lang w:eastAsia="fr-FR"/>
        </w:rPr>
        <w:t xml:space="preserve">Cet exposé se propose de présenter l'évolution des technologies matérielles (machines séquentielles, puis distribuées, puis </w:t>
      </w:r>
      <w:proofErr w:type="spellStart"/>
      <w:r w:rsidRPr="0095344C">
        <w:rPr>
          <w:rFonts w:ascii="Arial Narrow" w:eastAsia="Times New Roman" w:hAnsi="Arial Narrow" w:cs="Times New Roman"/>
          <w:iCs/>
          <w:sz w:val="20"/>
          <w:szCs w:val="20"/>
          <w:lang w:eastAsia="fr-FR"/>
        </w:rPr>
        <w:t>many-cores</w:t>
      </w:r>
      <w:proofErr w:type="spellEnd"/>
      <w:r w:rsidRPr="0095344C">
        <w:rPr>
          <w:rFonts w:ascii="Arial Narrow" w:eastAsia="Times New Roman" w:hAnsi="Arial Narrow" w:cs="Times New Roman"/>
          <w:iCs/>
          <w:sz w:val="20"/>
          <w:szCs w:val="20"/>
          <w:lang w:eastAsia="fr-FR"/>
        </w:rPr>
        <w:t xml:space="preserve">) et des approches algorithmiques (solveur direct </w:t>
      </w:r>
      <w:proofErr w:type="spellStart"/>
      <w:r w:rsidRPr="0095344C">
        <w:rPr>
          <w:rFonts w:ascii="Arial Narrow" w:eastAsia="Times New Roman" w:hAnsi="Arial Narrow" w:cs="Times New Roman"/>
          <w:iCs/>
          <w:sz w:val="20"/>
          <w:szCs w:val="20"/>
          <w:lang w:eastAsia="fr-FR"/>
        </w:rPr>
        <w:t>dense</w:t>
      </w:r>
      <w:proofErr w:type="spellEnd"/>
      <w:r w:rsidRPr="0095344C">
        <w:rPr>
          <w:rFonts w:ascii="Arial Narrow" w:eastAsia="Times New Roman" w:hAnsi="Arial Narrow" w:cs="Times New Roman"/>
          <w:iCs/>
          <w:sz w:val="20"/>
          <w:szCs w:val="20"/>
          <w:lang w:eastAsia="fr-FR"/>
        </w:rPr>
        <w:t xml:space="preserve"> classique, solveur itératif à base de méthode </w:t>
      </w:r>
      <w:proofErr w:type="spellStart"/>
      <w:r w:rsidRPr="0095344C">
        <w:rPr>
          <w:rFonts w:ascii="Arial Narrow" w:eastAsia="Times New Roman" w:hAnsi="Arial Narrow" w:cs="Times New Roman"/>
          <w:iCs/>
          <w:sz w:val="20"/>
          <w:szCs w:val="20"/>
          <w:lang w:eastAsia="fr-FR"/>
        </w:rPr>
        <w:t>multipôle</w:t>
      </w:r>
      <w:proofErr w:type="spellEnd"/>
      <w:r w:rsidRPr="0095344C">
        <w:rPr>
          <w:rFonts w:ascii="Arial Narrow" w:eastAsia="Times New Roman" w:hAnsi="Arial Narrow" w:cs="Times New Roman"/>
          <w:iCs/>
          <w:sz w:val="20"/>
          <w:szCs w:val="20"/>
          <w:lang w:eastAsia="fr-FR"/>
        </w:rPr>
        <w:t xml:space="preserve"> rapide, solveur direct à base de matrices hiérarchiques compressées) ayant permis de gagner 4 à 5 ordres de grandeur sur le nombre d'inconnues des problèmes traités. Nous montrerons en particulier que, même si les progrès des ordinateurs ont été importants sur les 30 dernières années, ce sont bien les innovations théoriques qui ont permis la majeure partie des avancées observées.</w:t>
      </w:r>
    </w:p>
    <w:p w:rsidR="00F879FA" w:rsidRPr="0095344C" w:rsidRDefault="00F879FA" w:rsidP="00F879FA">
      <w:pPr>
        <w:pBdr>
          <w:bottom w:val="double" w:sz="6" w:space="1" w:color="auto"/>
        </w:pBdr>
        <w:spacing w:before="100" w:beforeAutospacing="1" w:after="100" w:afterAutospacing="1" w:line="240" w:lineRule="auto"/>
        <w:rPr>
          <w:rFonts w:ascii="Arial Narrow" w:eastAsia="Times New Roman" w:hAnsi="Arial Narrow" w:cs="Times New Roman"/>
          <w:sz w:val="20"/>
          <w:szCs w:val="20"/>
          <w:lang w:eastAsia="fr-FR"/>
        </w:rPr>
      </w:pP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Nom</w:t>
      </w:r>
      <w:r w:rsidRPr="0095344C">
        <w:rPr>
          <w:rFonts w:ascii="Arial Narrow" w:eastAsia="Times New Roman" w:hAnsi="Arial Narrow" w:cs="Times New Roman"/>
          <w:sz w:val="20"/>
          <w:szCs w:val="20"/>
          <w:lang w:eastAsia="fr-FR"/>
        </w:rPr>
        <w:t xml:space="preserve"> : Gaël THOMAS</w:t>
      </w:r>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Affiliation</w:t>
      </w:r>
      <w:r w:rsidRPr="0095344C">
        <w:rPr>
          <w:rFonts w:ascii="Arial Narrow" w:eastAsia="Times New Roman" w:hAnsi="Arial Narrow" w:cs="Times New Roman"/>
          <w:sz w:val="20"/>
          <w:szCs w:val="20"/>
          <w:lang w:eastAsia="fr-FR"/>
        </w:rPr>
        <w:t xml:space="preserve"> : Telecom </w:t>
      </w:r>
      <w:proofErr w:type="spellStart"/>
      <w:r w:rsidRPr="0095344C">
        <w:rPr>
          <w:rFonts w:ascii="Arial Narrow" w:eastAsia="Times New Roman" w:hAnsi="Arial Narrow" w:cs="Times New Roman"/>
          <w:sz w:val="20"/>
          <w:szCs w:val="20"/>
          <w:lang w:eastAsia="fr-FR"/>
        </w:rPr>
        <w:t>SudParis</w:t>
      </w:r>
      <w:proofErr w:type="spellEnd"/>
    </w:p>
    <w:p w:rsidR="0095344C" w:rsidRPr="0095344C" w:rsidRDefault="0095344C" w:rsidP="0095344C">
      <w:pPr>
        <w:spacing w:before="100" w:beforeAutospacing="1" w:after="100" w:afterAutospacing="1" w:line="240" w:lineRule="auto"/>
        <w:rPr>
          <w:rFonts w:ascii="Arial Narrow" w:eastAsia="Times New Roman" w:hAnsi="Arial Narrow" w:cs="Times New Roman"/>
          <w:sz w:val="20"/>
          <w:szCs w:val="20"/>
          <w:lang w:eastAsia="fr-FR"/>
        </w:rPr>
      </w:pPr>
      <w:r w:rsidRPr="0095344C">
        <w:rPr>
          <w:rFonts w:ascii="Arial Narrow" w:eastAsia="Times New Roman" w:hAnsi="Arial Narrow" w:cs="Times New Roman"/>
          <w:b/>
          <w:sz w:val="20"/>
          <w:szCs w:val="20"/>
          <w:lang w:eastAsia="fr-FR"/>
        </w:rPr>
        <w:t>Titre</w:t>
      </w:r>
      <w:r w:rsidRPr="0095344C">
        <w:rPr>
          <w:rFonts w:ascii="Arial Narrow" w:eastAsia="Times New Roman" w:hAnsi="Arial Narrow" w:cs="Times New Roman"/>
          <w:sz w:val="20"/>
          <w:szCs w:val="20"/>
          <w:lang w:eastAsia="fr-FR"/>
        </w:rPr>
        <w:t xml:space="preserve"> : Quelques expériences autour des architectures à mémoire non uniformes</w:t>
      </w:r>
    </w:p>
    <w:p w:rsidR="0095344C" w:rsidRPr="0095344C" w:rsidRDefault="0095344C" w:rsidP="0095344C">
      <w:pPr>
        <w:spacing w:before="100" w:beforeAutospacing="1" w:after="100" w:afterAutospacing="1" w:line="240" w:lineRule="auto"/>
        <w:rPr>
          <w:rFonts w:ascii="Arial Narrow" w:eastAsia="Times New Roman" w:hAnsi="Arial Narrow" w:cs="Courier New"/>
          <w:sz w:val="20"/>
          <w:szCs w:val="20"/>
          <w:lang w:eastAsia="fr-FR"/>
        </w:rPr>
      </w:pPr>
      <w:r w:rsidRPr="0095344C">
        <w:rPr>
          <w:rFonts w:ascii="Arial Narrow" w:eastAsia="Times New Roman" w:hAnsi="Arial Narrow" w:cs="Times New Roman"/>
          <w:b/>
          <w:sz w:val="20"/>
          <w:szCs w:val="20"/>
          <w:lang w:eastAsia="fr-FR"/>
        </w:rPr>
        <w:t>Résumé</w:t>
      </w:r>
      <w:r w:rsidRPr="0095344C">
        <w:rPr>
          <w:rFonts w:ascii="Arial Narrow" w:eastAsia="Times New Roman" w:hAnsi="Arial Narrow" w:cs="Times New Roman"/>
          <w:sz w:val="20"/>
          <w:szCs w:val="20"/>
          <w:lang w:eastAsia="fr-FR"/>
        </w:rPr>
        <w:t xml:space="preserve"> : </w:t>
      </w:r>
      <w:r w:rsidRPr="0095344C">
        <w:rPr>
          <w:rFonts w:ascii="Arial Narrow" w:eastAsia="Times New Roman" w:hAnsi="Arial Narrow" w:cs="Courier New"/>
          <w:sz w:val="20"/>
          <w:szCs w:val="20"/>
          <w:lang w:eastAsia="fr-FR"/>
        </w:rPr>
        <w:t xml:space="preserve">Les </w:t>
      </w:r>
      <w:proofErr w:type="spellStart"/>
      <w:r w:rsidRPr="0095344C">
        <w:rPr>
          <w:rFonts w:ascii="Arial Narrow" w:eastAsia="Times New Roman" w:hAnsi="Arial Narrow" w:cs="Courier New"/>
          <w:sz w:val="20"/>
          <w:szCs w:val="20"/>
          <w:lang w:eastAsia="fr-FR"/>
        </w:rPr>
        <w:t>multicores</w:t>
      </w:r>
      <w:proofErr w:type="spellEnd"/>
      <w:r w:rsidRPr="0095344C">
        <w:rPr>
          <w:rFonts w:ascii="Arial Narrow" w:eastAsia="Times New Roman" w:hAnsi="Arial Narrow" w:cs="Courier New"/>
          <w:sz w:val="20"/>
          <w:szCs w:val="20"/>
          <w:lang w:eastAsia="fr-FR"/>
        </w:rPr>
        <w:t xml:space="preserve"> ont aujourd'hui une topologie mémoire complexe. Ils reposent sur des architectures à mémoire non uniforme (NUMA), dans lesquelles un réseau connecte des processeurs et des mémoires. À cause de la nature distribuée de la topologie, un placement inadéquat des tâches ou des données peut surcharger le réseau, ce qui peut sévèrement réduire les latences d'accès à la mémoire. Au travers de quelques expériences menées ces dernières années, cet exposé présentera quels sont les effets des architectures </w:t>
      </w:r>
      <w:proofErr w:type="spellStart"/>
      <w:r w:rsidRPr="0095344C">
        <w:rPr>
          <w:rFonts w:ascii="Arial Narrow" w:eastAsia="Times New Roman" w:hAnsi="Arial Narrow" w:cs="Courier New"/>
          <w:sz w:val="20"/>
          <w:szCs w:val="20"/>
          <w:lang w:eastAsia="fr-FR"/>
        </w:rPr>
        <w:t>NUMAs</w:t>
      </w:r>
      <w:proofErr w:type="spellEnd"/>
      <w:r w:rsidRPr="0095344C">
        <w:rPr>
          <w:rFonts w:ascii="Arial Narrow" w:eastAsia="Times New Roman" w:hAnsi="Arial Narrow" w:cs="Courier New"/>
          <w:sz w:val="20"/>
          <w:szCs w:val="20"/>
          <w:lang w:eastAsia="fr-FR"/>
        </w:rPr>
        <w:t xml:space="preserve"> ainsi que quelques techniques permettant d'atténuer ces effets.</w:t>
      </w:r>
    </w:p>
    <w:p w:rsidR="00A8315A" w:rsidRPr="0095344C" w:rsidRDefault="00A8315A">
      <w:pPr>
        <w:rPr>
          <w:rFonts w:ascii="Arial Narrow" w:hAnsi="Arial Narrow"/>
          <w:sz w:val="20"/>
          <w:szCs w:val="20"/>
        </w:rPr>
      </w:pPr>
    </w:p>
    <w:sectPr w:rsidR="00A8315A" w:rsidRPr="00953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4C"/>
    <w:rsid w:val="00936340"/>
    <w:rsid w:val="0095344C"/>
    <w:rsid w:val="00A8315A"/>
    <w:rsid w:val="00E0360E"/>
    <w:rsid w:val="00EF0AC4"/>
    <w:rsid w:val="00F879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8F6B"/>
  <w15:chartTrackingRefBased/>
  <w15:docId w15:val="{188DAEE2-A120-4464-A93D-5FDCC48C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34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95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5344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4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UPPA</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 GOAER</dc:creator>
  <cp:keywords/>
  <dc:description/>
  <cp:lastModifiedBy>OLIVIER LE GOAER</cp:lastModifiedBy>
  <cp:revision>7</cp:revision>
  <cp:lastPrinted>2019-04-02T12:52:00Z</cp:lastPrinted>
  <dcterms:created xsi:type="dcterms:W3CDTF">2019-04-02T12:46:00Z</dcterms:created>
  <dcterms:modified xsi:type="dcterms:W3CDTF">2019-04-02T12:53:00Z</dcterms:modified>
</cp:coreProperties>
</file>