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0"/>
      </w:pPr>
      <w:r>
        <w:t xml:space="preserve"/>
      </w:r>
    </w:p>
    <w:p>
      <w:pPr>
        <w:spacing w:before="0" w:after="200"/>
        <w:jc w:val="center"/>
      </w:pPr>
      <w:r>
        <w:rPr>
          <w:rFonts w:ascii="Arial" w:cs="Arial" w:eastAsia="Arial" w:hAnsi="Arial"/>
          <w:b/>
          <w:bCs/>
          <w:color w:val="1B2E4B"/>
          <w:spacing w:val="40"/>
          <w:sz w:val="56"/>
          <w:szCs w:val="56"/>
        </w:rPr>
        <w:t xml:space="preserve">PRICING WORKSHEET &amp;</w:t>
      </w:r>
    </w:p>
    <w:p>
      <w:pPr>
        <w:spacing w:before="0" w:after="200"/>
        <w:jc w:val="center"/>
      </w:pPr>
      <w:r>
        <w:rPr>
          <w:rFonts w:ascii="Arial" w:cs="Arial" w:eastAsia="Arial" w:hAnsi="Arial"/>
          <w:b/>
          <w:bCs/>
          <w:color w:val="1B2E4B"/>
          <w:spacing w:val="40"/>
          <w:sz w:val="56"/>
          <w:szCs w:val="56"/>
        </w:rPr>
        <w:t xml:space="preserve">RATE CALCULATOR</w:t>
      </w:r>
    </w:p>
    <w:p>
      <w:pPr>
        <w:spacing w:before="0" w:after="120"/>
        <w:jc w:val="center"/>
      </w:pPr>
      <w:r>
        <w:rPr>
          <w:rFonts w:ascii="Arial" w:cs="Arial" w:eastAsia="Arial" w:hAnsi="Arial"/>
          <w:i/>
          <w:iCs/>
          <w:color w:val="C8701A"/>
          <w:sz w:val="26"/>
          <w:szCs w:val="26"/>
        </w:rPr>
        <w:t xml:space="preserve">Find Your Real Cost Per Hour — Then Price Above It</w:t>
      </w:r>
    </w:p>
    <w:p>
      <w:pPr>
        <w:spacing w:before="160" w:after="0"/>
      </w:pPr>
      <w:r>
        <w:t xml:space="preserve"/>
      </w:r>
    </w:p>
    <w:p>
      <w:pPr>
        <w:spacing w:before="0" w:after="80"/>
        <w:jc w:val="center"/>
      </w:pPr>
      <w:r>
        <w:rPr>
          <w:rFonts w:ascii="Arial" w:cs="Arial" w:eastAsia="Arial" w:hAnsi="Arial"/>
          <w:color w:val="6B7A90"/>
          <w:sz w:val="20"/>
          <w:szCs w:val="20"/>
        </w:rPr>
        <w:t xml:space="preserve">Compass Business Solutions  ·  compassbizsolutions.com</w:t>
      </w:r>
    </w:p>
    <w:p>
      <w:pPr>
        <w:spacing w:before="0" w:after="80"/>
        <w:jc w:val="center"/>
      </w:pPr>
      <w:r>
        <w:rPr>
          <w:rFonts w:ascii="Arial" w:cs="Arial" w:eastAsia="Arial" w:hAnsi="Arial"/>
          <w:color w:val="6B7A90"/>
          <w:sz w:val="20"/>
          <w:szCs w:val="20"/>
        </w:rPr>
        <w:t xml:space="preserve">Supports Fix-It Guide #1: The Pricing Leak Fix</w:t>
      </w:r>
    </w:p>
    <w:p>
      <w:r>
        <w:br w:type="page"/>
      </w:r>
    </w:p>
    <w:p>
      <w:pPr>
        <w:pBdr>
          <w:bottom w:val="single" w:color="C8701A" w:sz="4" w:space="6"/>
        </w:pBdr>
        <w:spacing w:before="480" w:after="160"/>
      </w:pPr>
      <w:r>
        <w:rPr>
          <w:rFonts w:ascii="Arial" w:cs="Arial" w:eastAsia="Arial" w:hAnsi="Arial"/>
          <w:b/>
          <w:bCs/>
          <w:color w:val="1B2E4B"/>
          <w:sz w:val="32"/>
          <w:szCs w:val="32"/>
        </w:rPr>
        <w:t xml:space="preserve">Why Most Service Businesses Underprice</w:t>
      </w:r>
    </w:p>
    <w:p>
      <w:pPr>
        <w:spacing w:before="80" w:after="80"/>
      </w:pPr>
      <w:r>
        <w:rPr>
          <w:rFonts w:ascii="Arial" w:cs="Arial" w:eastAsia="Arial" w:hAnsi="Arial"/>
          <w:color w:val="1A2332"/>
          <w:sz w:val="22"/>
          <w:szCs w:val="22"/>
        </w:rPr>
        <w:t xml:space="preserve">Most service business owners set their hourly rate based on one of three things: what competitors charge, what feels fair, or what customers will accept. None of these methods guarantee profit.</w:t>
      </w:r>
    </w:p>
    <w:p>
      <w:pPr>
        <w:spacing w:before="80" w:after="0"/>
      </w:pPr>
      <w:r>
        <w:t xml:space="preserve"/>
      </w:r>
    </w:p>
    <w:p>
      <w:pPr>
        <w:spacing w:before="80" w:after="80"/>
      </w:pPr>
      <w:r>
        <w:rPr>
          <w:rFonts w:ascii="Arial" w:cs="Arial" w:eastAsia="Arial" w:hAnsi="Arial"/>
          <w:color w:val="1A2332"/>
          <w:sz w:val="22"/>
          <w:szCs w:val="22"/>
        </w:rPr>
        <w:t xml:space="preserve">The only rate that guarantees profit is one calculated from your actual costs — all of them. Labor. Benefits. Trucks. Insurance. Tools. Admin time. Advertising. Profit margin. Add them all up, divide by your billable hours, and that's your floor. Charge anything below it and you're losing money no matter how busy you are.</w:t>
      </w:r>
    </w:p>
    <w:p>
      <w:pPr>
        <w:spacing w:before="80" w:after="0"/>
      </w:pPr>
      <w:r>
        <w:t xml:space="preserve"/>
      </w:r>
    </w:p>
    <w:p>
      <w:pPr>
        <w:spacing w:before="80" w:after="80"/>
      </w:pPr>
      <w:r>
        <w:rPr>
          <w:rFonts w:ascii="Arial" w:cs="Arial" w:eastAsia="Arial" w:hAnsi="Arial"/>
          <w:color w:val="1A2332"/>
          <w:sz w:val="22"/>
          <w:szCs w:val="22"/>
        </w:rPr>
        <w:t xml:space="preserve">This worksheet walks you through that calculation step by step.</w:t>
      </w:r>
    </w:p>
    <w:p>
      <w:r>
        <w:br w:type="page"/>
      </w:r>
    </w:p>
    <w:p>
      <w:pPr>
        <w:pBdr>
          <w:bottom w:val="single" w:color="C8701A" w:sz="4" w:space="6"/>
        </w:pBdr>
        <w:spacing w:before="480" w:after="160"/>
      </w:pPr>
      <w:r>
        <w:rPr>
          <w:rFonts w:ascii="Arial" w:cs="Arial" w:eastAsia="Arial" w:hAnsi="Arial"/>
          <w:b/>
          <w:bCs/>
          <w:color w:val="1B2E4B"/>
          <w:sz w:val="32"/>
          <w:szCs w:val="32"/>
        </w:rPr>
        <w:t xml:space="preserve">STEP 1: Annual Labor Costs</w:t>
      </w:r>
    </w:p>
    <w:p>
      <w:pPr>
        <w:spacing w:before="60" w:after="60"/>
      </w:pPr>
      <w:r>
        <w:rPr>
          <w:rFonts w:ascii="Arial" w:cs="Arial" w:eastAsia="Arial" w:hAnsi="Arial"/>
          <w:i/>
          <w:iCs/>
          <w:color w:val="6B7A90"/>
          <w:sz w:val="20"/>
          <w:szCs w:val="20"/>
        </w:rPr>
        <w:t xml:space="preserve">Include ALL technicians including yourself if you work in the field.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8D4CD" w:sz="1"/>
              <w:left w:val="single" w:color="D8D4CD" w:sz="1"/>
              <w:bottom w:val="single" w:color="D8D4CD" w:sz="1"/>
              <w:right w:val="single" w:color="D8D4CD" w:sz="1"/>
            </w:tcBorders>
            <w:shd w:fill="1B2E4B" w:val="clear"/>
            <w:tcMar>
              <w:top w:type="dxa" w:w="100"/>
              <w:left w:type="dxa" w:w="160"/>
              <w:bottom w:type="dxa" w:w="100"/>
              <w:right w:type="dxa" w:w="160"/>
            </w:tcMar>
          </w:tcPr>
          <w:p>
            <w:r>
              <w:rPr>
                <w:rFonts w:ascii="Arial" w:cs="Arial" w:eastAsia="Arial" w:hAnsi="Arial"/>
                <w:b/>
                <w:bCs/>
                <w:color w:val="FFFFFF"/>
                <w:sz w:val="20"/>
                <w:szCs w:val="20"/>
              </w:rPr>
              <w:t xml:space="preserve">Labor Cost Item</w:t>
            </w:r>
          </w:p>
        </w:tc>
        <w:tc>
          <w:tcPr>
            <w:tcW w:type="dxa" w:w="5360"/>
            <w:tcBorders>
              <w:top w:val="single" w:color="D8D4CD" w:sz="1"/>
              <w:left w:val="single" w:color="D8D4CD" w:sz="1"/>
              <w:bottom w:val="single" w:color="D8D4CD" w:sz="1"/>
              <w:right w:val="single" w:color="D8D4CD" w:sz="1"/>
            </w:tcBorders>
            <w:shd w:fill="1B2E4B" w:val="clear"/>
            <w:tcMar>
              <w:top w:type="dxa" w:w="100"/>
              <w:left w:type="dxa" w:w="160"/>
              <w:bottom w:type="dxa" w:w="100"/>
              <w:right w:type="dxa" w:w="160"/>
            </w:tcMar>
          </w:tcPr>
          <w:p>
            <w:r>
              <w:rPr>
                <w:rFonts w:ascii="Arial" w:cs="Arial" w:eastAsia="Arial" w:hAnsi="Arial"/>
                <w:b/>
                <w:bCs/>
                <w:color w:val="FFFFFF"/>
                <w:sz w:val="20"/>
                <w:szCs w:val="20"/>
              </w:rPr>
              <w:t xml:space="preserve">Annual Amount</w:t>
            </w:r>
          </w:p>
        </w:tc>
      </w:tr>
      <w:tr>
        <w:tc>
          <w:tcPr>
            <w:tcW w:type="dxa" w:w="400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b/>
                <w:bCs/>
                <w:color w:val="1A2332"/>
                <w:sz w:val="20"/>
                <w:szCs w:val="20"/>
              </w:rPr>
              <w:t xml:space="preserve">Total gross wages (all technicians)</w:t>
            </w:r>
          </w:p>
        </w:tc>
        <w:tc>
          <w:tcPr>
            <w:tcW w:type="dxa" w:w="536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color w:val="1A2332"/>
                <w:sz w:val="20"/>
                <w:szCs w:val="20"/>
              </w:rPr>
              <w:t xml:space="preserve">$</w:t>
            </w:r>
          </w:p>
        </w:tc>
      </w:tr>
      <w:tr>
        <w:tc>
          <w:tcPr>
            <w:tcW w:type="dxa" w:w="400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b/>
                <w:bCs/>
                <w:color w:val="1A2332"/>
                <w:sz w:val="20"/>
                <w:szCs w:val="20"/>
              </w:rPr>
              <w:t xml:space="preserve">Payroll taxes (est. 7.65% of wages)</w:t>
            </w:r>
          </w:p>
        </w:tc>
        <w:tc>
          <w:tcPr>
            <w:tcW w:type="dxa" w:w="536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color w:val="1A2332"/>
                <w:sz w:val="20"/>
                <w:szCs w:val="20"/>
              </w:rPr>
              <w:t xml:space="preserve">$</w:t>
            </w:r>
          </w:p>
        </w:tc>
      </w:tr>
      <w:tr>
        <w:tc>
          <w:tcPr>
            <w:tcW w:type="dxa" w:w="400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b/>
                <w:bCs/>
                <w:color w:val="1A2332"/>
                <w:sz w:val="20"/>
                <w:szCs w:val="20"/>
              </w:rPr>
              <w:t xml:space="preserve">Workers compensation insurance</w:t>
            </w:r>
          </w:p>
        </w:tc>
        <w:tc>
          <w:tcPr>
            <w:tcW w:type="dxa" w:w="536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color w:val="1A2332"/>
                <w:sz w:val="20"/>
                <w:szCs w:val="20"/>
              </w:rPr>
              <w:t xml:space="preserve">$</w:t>
            </w:r>
          </w:p>
        </w:tc>
      </w:tr>
      <w:tr>
        <w:tc>
          <w:tcPr>
            <w:tcW w:type="dxa" w:w="400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b/>
                <w:bCs/>
                <w:color w:val="1A2332"/>
                <w:sz w:val="20"/>
                <w:szCs w:val="20"/>
              </w:rPr>
              <w:t xml:space="preserve">Health insurance / benefits</w:t>
            </w:r>
          </w:p>
        </w:tc>
        <w:tc>
          <w:tcPr>
            <w:tcW w:type="dxa" w:w="536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color w:val="1A2332"/>
                <w:sz w:val="20"/>
                <w:szCs w:val="20"/>
              </w:rPr>
              <w:t xml:space="preserve">$</w:t>
            </w:r>
          </w:p>
        </w:tc>
      </w:tr>
      <w:tr>
        <w:tc>
          <w:tcPr>
            <w:tcW w:type="dxa" w:w="400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b/>
                <w:bCs/>
                <w:color w:val="1A2332"/>
                <w:sz w:val="20"/>
                <w:szCs w:val="20"/>
              </w:rPr>
              <w:t xml:space="preserve">Paid time off (vacation, sick days)</w:t>
            </w:r>
          </w:p>
        </w:tc>
        <w:tc>
          <w:tcPr>
            <w:tcW w:type="dxa" w:w="536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color w:val="1A2332"/>
                <w:sz w:val="20"/>
                <w:szCs w:val="20"/>
              </w:rPr>
              <w:t xml:space="preserve">$</w:t>
            </w:r>
          </w:p>
        </w:tc>
      </w:tr>
      <w:tr>
        <w:tc>
          <w:tcPr>
            <w:tcW w:type="dxa" w:w="400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b/>
                <w:bCs/>
                <w:color w:val="1A2332"/>
                <w:sz w:val="20"/>
                <w:szCs w:val="20"/>
              </w:rPr>
              <w:t xml:space="preserve">Uniforms / PPE</w:t>
            </w:r>
          </w:p>
        </w:tc>
        <w:tc>
          <w:tcPr>
            <w:tcW w:type="dxa" w:w="536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color w:val="1A2332"/>
                <w:sz w:val="20"/>
                <w:szCs w:val="20"/>
              </w:rPr>
              <w:t xml:space="preserve">$</w:t>
            </w:r>
          </w:p>
        </w:tc>
      </w:tr>
      <w:tr>
        <w:tc>
          <w:tcPr>
            <w:tcW w:type="dxa" w:w="400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b/>
                <w:bCs/>
                <w:color w:val="1A2332"/>
                <w:sz w:val="20"/>
                <w:szCs w:val="20"/>
              </w:rPr>
              <w:t xml:space="preserve">Training &amp; licensing costs</w:t>
            </w:r>
          </w:p>
        </w:tc>
        <w:tc>
          <w:tcPr>
            <w:tcW w:type="dxa" w:w="536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color w:val="1A2332"/>
                <w:sz w:val="20"/>
                <w:szCs w:val="20"/>
              </w:rPr>
              <w:t xml:space="preserve">$</w:t>
            </w:r>
          </w:p>
        </w:tc>
      </w:tr>
      <w:tr>
        <w:tc>
          <w:tcPr>
            <w:tcW w:type="dxa" w:w="400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b/>
                <w:bCs/>
                <w:color w:val="1A2332"/>
                <w:sz w:val="20"/>
                <w:szCs w:val="20"/>
              </w:rPr>
              <w:t xml:space="preserve">TOTAL LABOR COSTS</w:t>
            </w:r>
          </w:p>
        </w:tc>
        <w:tc>
          <w:tcPr>
            <w:tcW w:type="dxa" w:w="536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color w:val="1A2332"/>
                <w:sz w:val="20"/>
                <w:szCs w:val="20"/>
              </w:rPr>
              <w:t xml:space="preserve">$</w:t>
            </w:r>
          </w:p>
        </w:tc>
      </w:tr>
    </w:tbl>
    <w:p>
      <w:pPr>
        <w:spacing w:before="160" w:after="0"/>
      </w:pPr>
      <w:r>
        <w:t xml:space="preserve"/>
      </w:r>
    </w:p>
    <w:p>
      <w:pPr>
        <w:pBdr>
          <w:bottom w:val="single" w:color="C8701A" w:sz="4" w:space="6"/>
        </w:pBdr>
        <w:spacing w:before="480" w:after="160"/>
      </w:pPr>
      <w:r>
        <w:rPr>
          <w:rFonts w:ascii="Arial" w:cs="Arial" w:eastAsia="Arial" w:hAnsi="Arial"/>
          <w:b/>
          <w:bCs/>
          <w:color w:val="1B2E4B"/>
          <w:sz w:val="32"/>
          <w:szCs w:val="32"/>
        </w:rPr>
        <w:t xml:space="preserve">STEP 2: Vehicle &amp; Equipment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8D4CD" w:sz="1"/>
              <w:left w:val="single" w:color="D8D4CD" w:sz="1"/>
              <w:bottom w:val="single" w:color="D8D4CD" w:sz="1"/>
              <w:right w:val="single" w:color="D8D4CD" w:sz="1"/>
            </w:tcBorders>
            <w:shd w:fill="1B2E4B" w:val="clear"/>
            <w:tcMar>
              <w:top w:type="dxa" w:w="100"/>
              <w:left w:type="dxa" w:w="160"/>
              <w:bottom w:type="dxa" w:w="100"/>
              <w:right w:type="dxa" w:w="160"/>
            </w:tcMar>
          </w:tcPr>
          <w:p>
            <w:r>
              <w:rPr>
                <w:rFonts w:ascii="Arial" w:cs="Arial" w:eastAsia="Arial" w:hAnsi="Arial"/>
                <w:b/>
                <w:bCs/>
                <w:color w:val="FFFFFF"/>
                <w:sz w:val="20"/>
                <w:szCs w:val="20"/>
              </w:rPr>
              <w:t xml:space="preserve">Vehicle/Equipment Cost Item</w:t>
            </w:r>
          </w:p>
        </w:tc>
        <w:tc>
          <w:tcPr>
            <w:tcW w:type="dxa" w:w="5360"/>
            <w:tcBorders>
              <w:top w:val="single" w:color="D8D4CD" w:sz="1"/>
              <w:left w:val="single" w:color="D8D4CD" w:sz="1"/>
              <w:bottom w:val="single" w:color="D8D4CD" w:sz="1"/>
              <w:right w:val="single" w:color="D8D4CD" w:sz="1"/>
            </w:tcBorders>
            <w:shd w:fill="1B2E4B" w:val="clear"/>
            <w:tcMar>
              <w:top w:type="dxa" w:w="100"/>
              <w:left w:type="dxa" w:w="160"/>
              <w:bottom w:type="dxa" w:w="100"/>
              <w:right w:type="dxa" w:w="160"/>
            </w:tcMar>
          </w:tcPr>
          <w:p>
            <w:r>
              <w:rPr>
                <w:rFonts w:ascii="Arial" w:cs="Arial" w:eastAsia="Arial" w:hAnsi="Arial"/>
                <w:b/>
                <w:bCs/>
                <w:color w:val="FFFFFF"/>
                <w:sz w:val="20"/>
                <w:szCs w:val="20"/>
              </w:rPr>
              <w:t xml:space="preserve">Annual Amount</w:t>
            </w:r>
          </w:p>
        </w:tc>
      </w:tr>
      <w:tr>
        <w:tc>
          <w:tcPr>
            <w:tcW w:type="dxa" w:w="400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b/>
                <w:bCs/>
                <w:color w:val="1A2332"/>
                <w:sz w:val="20"/>
                <w:szCs w:val="20"/>
              </w:rPr>
              <w:t xml:space="preserve">Truck payments / lease costs</w:t>
            </w:r>
          </w:p>
        </w:tc>
        <w:tc>
          <w:tcPr>
            <w:tcW w:type="dxa" w:w="536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color w:val="1A2332"/>
                <w:sz w:val="20"/>
                <w:szCs w:val="20"/>
              </w:rPr>
              <w:t xml:space="preserve">$</w:t>
            </w:r>
          </w:p>
        </w:tc>
      </w:tr>
      <w:tr>
        <w:tc>
          <w:tcPr>
            <w:tcW w:type="dxa" w:w="400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b/>
                <w:bCs/>
                <w:color w:val="1A2332"/>
                <w:sz w:val="20"/>
                <w:szCs w:val="20"/>
              </w:rPr>
              <w:t xml:space="preserve">Fuel (all vehicles)</w:t>
            </w:r>
          </w:p>
        </w:tc>
        <w:tc>
          <w:tcPr>
            <w:tcW w:type="dxa" w:w="536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color w:val="1A2332"/>
                <w:sz w:val="20"/>
                <w:szCs w:val="20"/>
              </w:rPr>
              <w:t xml:space="preserve">$</w:t>
            </w:r>
          </w:p>
        </w:tc>
      </w:tr>
      <w:tr>
        <w:tc>
          <w:tcPr>
            <w:tcW w:type="dxa" w:w="400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b/>
                <w:bCs/>
                <w:color w:val="1A2332"/>
                <w:sz w:val="20"/>
                <w:szCs w:val="20"/>
              </w:rPr>
              <w:t xml:space="preserve">Vehicle insurance</w:t>
            </w:r>
          </w:p>
        </w:tc>
        <w:tc>
          <w:tcPr>
            <w:tcW w:type="dxa" w:w="536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color w:val="1A2332"/>
                <w:sz w:val="20"/>
                <w:szCs w:val="20"/>
              </w:rPr>
              <w:t xml:space="preserve">$</w:t>
            </w:r>
          </w:p>
        </w:tc>
      </w:tr>
      <w:tr>
        <w:tc>
          <w:tcPr>
            <w:tcW w:type="dxa" w:w="400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b/>
                <w:bCs/>
                <w:color w:val="1A2332"/>
                <w:sz w:val="20"/>
                <w:szCs w:val="20"/>
              </w:rPr>
              <w:t xml:space="preserve">Maintenance &amp; repairs</w:t>
            </w:r>
          </w:p>
        </w:tc>
        <w:tc>
          <w:tcPr>
            <w:tcW w:type="dxa" w:w="536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color w:val="1A2332"/>
                <w:sz w:val="20"/>
                <w:szCs w:val="20"/>
              </w:rPr>
              <w:t xml:space="preserve">$</w:t>
            </w:r>
          </w:p>
        </w:tc>
      </w:tr>
      <w:tr>
        <w:tc>
          <w:tcPr>
            <w:tcW w:type="dxa" w:w="400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b/>
                <w:bCs/>
                <w:color w:val="1A2332"/>
                <w:sz w:val="20"/>
                <w:szCs w:val="20"/>
              </w:rPr>
              <w:t xml:space="preserve">Registration &amp; inspections</w:t>
            </w:r>
          </w:p>
        </w:tc>
        <w:tc>
          <w:tcPr>
            <w:tcW w:type="dxa" w:w="536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color w:val="1A2332"/>
                <w:sz w:val="20"/>
                <w:szCs w:val="20"/>
              </w:rPr>
              <w:t xml:space="preserve">$</w:t>
            </w:r>
          </w:p>
        </w:tc>
      </w:tr>
      <w:tr>
        <w:tc>
          <w:tcPr>
            <w:tcW w:type="dxa" w:w="400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b/>
                <w:bCs/>
                <w:color w:val="1A2332"/>
                <w:sz w:val="20"/>
                <w:szCs w:val="20"/>
              </w:rPr>
              <w:t xml:space="preserve">Tools &amp; equipment purchases</w:t>
            </w:r>
          </w:p>
        </w:tc>
        <w:tc>
          <w:tcPr>
            <w:tcW w:type="dxa" w:w="536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color w:val="1A2332"/>
                <w:sz w:val="20"/>
                <w:szCs w:val="20"/>
              </w:rPr>
              <w:t xml:space="preserve">$</w:t>
            </w:r>
          </w:p>
        </w:tc>
      </w:tr>
      <w:tr>
        <w:tc>
          <w:tcPr>
            <w:tcW w:type="dxa" w:w="400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b/>
                <w:bCs/>
                <w:color w:val="1A2332"/>
                <w:sz w:val="20"/>
                <w:szCs w:val="20"/>
              </w:rPr>
              <w:t xml:space="preserve">Tool maintenance &amp; replacement</w:t>
            </w:r>
          </w:p>
        </w:tc>
        <w:tc>
          <w:tcPr>
            <w:tcW w:type="dxa" w:w="536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color w:val="1A2332"/>
                <w:sz w:val="20"/>
                <w:szCs w:val="20"/>
              </w:rPr>
              <w:t xml:space="preserve">$</w:t>
            </w:r>
          </w:p>
        </w:tc>
      </w:tr>
      <w:tr>
        <w:tc>
          <w:tcPr>
            <w:tcW w:type="dxa" w:w="400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b/>
                <w:bCs/>
                <w:color w:val="1A2332"/>
                <w:sz w:val="20"/>
                <w:szCs w:val="20"/>
              </w:rPr>
              <w:t xml:space="preserve">TOTAL VEHICLE &amp; EQUIPMENT COSTS</w:t>
            </w:r>
          </w:p>
        </w:tc>
        <w:tc>
          <w:tcPr>
            <w:tcW w:type="dxa" w:w="536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color w:val="1A2332"/>
                <w:sz w:val="20"/>
                <w:szCs w:val="20"/>
              </w:rPr>
              <w:t xml:space="preserve">$</w:t>
            </w:r>
          </w:p>
        </w:tc>
      </w:tr>
    </w:tbl>
    <w:p>
      <w:pPr>
        <w:spacing w:before="160" w:after="0"/>
      </w:pPr>
      <w:r>
        <w:t xml:space="preserve"/>
      </w:r>
    </w:p>
    <w:p>
      <w:pPr>
        <w:pBdr>
          <w:bottom w:val="single" w:color="C8701A" w:sz="4" w:space="6"/>
        </w:pBdr>
        <w:spacing w:before="480" w:after="160"/>
      </w:pPr>
      <w:r>
        <w:rPr>
          <w:rFonts w:ascii="Arial" w:cs="Arial" w:eastAsia="Arial" w:hAnsi="Arial"/>
          <w:b/>
          <w:bCs/>
          <w:color w:val="1B2E4B"/>
          <w:sz w:val="32"/>
          <w:szCs w:val="32"/>
        </w:rPr>
        <w:t xml:space="preserve">STEP 3: Overhead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8D4CD" w:sz="1"/>
              <w:left w:val="single" w:color="D8D4CD" w:sz="1"/>
              <w:bottom w:val="single" w:color="D8D4CD" w:sz="1"/>
              <w:right w:val="single" w:color="D8D4CD" w:sz="1"/>
            </w:tcBorders>
            <w:shd w:fill="1B2E4B" w:val="clear"/>
            <w:tcMar>
              <w:top w:type="dxa" w:w="100"/>
              <w:left w:type="dxa" w:w="160"/>
              <w:bottom w:type="dxa" w:w="100"/>
              <w:right w:type="dxa" w:w="160"/>
            </w:tcMar>
          </w:tcPr>
          <w:p>
            <w:r>
              <w:rPr>
                <w:rFonts w:ascii="Arial" w:cs="Arial" w:eastAsia="Arial" w:hAnsi="Arial"/>
                <w:b/>
                <w:bCs/>
                <w:color w:val="FFFFFF"/>
                <w:sz w:val="20"/>
                <w:szCs w:val="20"/>
              </w:rPr>
              <w:t xml:space="preserve">Overhead Cost Item</w:t>
            </w:r>
          </w:p>
        </w:tc>
        <w:tc>
          <w:tcPr>
            <w:tcW w:type="dxa" w:w="5360"/>
            <w:tcBorders>
              <w:top w:val="single" w:color="D8D4CD" w:sz="1"/>
              <w:left w:val="single" w:color="D8D4CD" w:sz="1"/>
              <w:bottom w:val="single" w:color="D8D4CD" w:sz="1"/>
              <w:right w:val="single" w:color="D8D4CD" w:sz="1"/>
            </w:tcBorders>
            <w:shd w:fill="1B2E4B" w:val="clear"/>
            <w:tcMar>
              <w:top w:type="dxa" w:w="100"/>
              <w:left w:type="dxa" w:w="160"/>
              <w:bottom w:type="dxa" w:w="100"/>
              <w:right w:type="dxa" w:w="160"/>
            </w:tcMar>
          </w:tcPr>
          <w:p>
            <w:r>
              <w:rPr>
                <w:rFonts w:ascii="Arial" w:cs="Arial" w:eastAsia="Arial" w:hAnsi="Arial"/>
                <w:b/>
                <w:bCs/>
                <w:color w:val="FFFFFF"/>
                <w:sz w:val="20"/>
                <w:szCs w:val="20"/>
              </w:rPr>
              <w:t xml:space="preserve">Annual Amount</w:t>
            </w:r>
          </w:p>
        </w:tc>
      </w:tr>
      <w:tr>
        <w:tc>
          <w:tcPr>
            <w:tcW w:type="dxa" w:w="400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b/>
                <w:bCs/>
                <w:color w:val="1A2332"/>
                <w:sz w:val="20"/>
                <w:szCs w:val="20"/>
              </w:rPr>
              <w:t xml:space="preserve">Office / shop rent or mortgage</w:t>
            </w:r>
          </w:p>
        </w:tc>
        <w:tc>
          <w:tcPr>
            <w:tcW w:type="dxa" w:w="536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color w:val="1A2332"/>
                <w:sz w:val="20"/>
                <w:szCs w:val="20"/>
              </w:rPr>
              <w:t xml:space="preserve">$</w:t>
            </w:r>
          </w:p>
        </w:tc>
      </w:tr>
      <w:tr>
        <w:tc>
          <w:tcPr>
            <w:tcW w:type="dxa" w:w="400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b/>
                <w:bCs/>
                <w:color w:val="1A2332"/>
                <w:sz w:val="20"/>
                <w:szCs w:val="20"/>
              </w:rPr>
              <w:t xml:space="preserve">Utilities (office, shop, phone)</w:t>
            </w:r>
          </w:p>
        </w:tc>
        <w:tc>
          <w:tcPr>
            <w:tcW w:type="dxa" w:w="536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color w:val="1A2332"/>
                <w:sz w:val="20"/>
                <w:szCs w:val="20"/>
              </w:rPr>
              <w:t xml:space="preserve">$</w:t>
            </w:r>
          </w:p>
        </w:tc>
      </w:tr>
      <w:tr>
        <w:tc>
          <w:tcPr>
            <w:tcW w:type="dxa" w:w="400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b/>
                <w:bCs/>
                <w:color w:val="1A2332"/>
                <w:sz w:val="20"/>
                <w:szCs w:val="20"/>
              </w:rPr>
              <w:t xml:space="preserve">Business insurance (general liability)</w:t>
            </w:r>
          </w:p>
        </w:tc>
        <w:tc>
          <w:tcPr>
            <w:tcW w:type="dxa" w:w="536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color w:val="1A2332"/>
                <w:sz w:val="20"/>
                <w:szCs w:val="20"/>
              </w:rPr>
              <w:t xml:space="preserve">$</w:t>
            </w:r>
          </w:p>
        </w:tc>
      </w:tr>
      <w:tr>
        <w:tc>
          <w:tcPr>
            <w:tcW w:type="dxa" w:w="400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b/>
                <w:bCs/>
                <w:color w:val="1A2332"/>
                <w:sz w:val="20"/>
                <w:szCs w:val="20"/>
              </w:rPr>
              <w:t xml:space="preserve">Accounting / bookkeeping</w:t>
            </w:r>
          </w:p>
        </w:tc>
        <w:tc>
          <w:tcPr>
            <w:tcW w:type="dxa" w:w="536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color w:val="1A2332"/>
                <w:sz w:val="20"/>
                <w:szCs w:val="20"/>
              </w:rPr>
              <w:t xml:space="preserve">$</w:t>
            </w:r>
          </w:p>
        </w:tc>
      </w:tr>
      <w:tr>
        <w:tc>
          <w:tcPr>
            <w:tcW w:type="dxa" w:w="400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b/>
                <w:bCs/>
                <w:color w:val="1A2332"/>
                <w:sz w:val="20"/>
                <w:szCs w:val="20"/>
              </w:rPr>
              <w:t xml:space="preserve">Software &amp; subscriptions</w:t>
            </w:r>
          </w:p>
        </w:tc>
        <w:tc>
          <w:tcPr>
            <w:tcW w:type="dxa" w:w="536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color w:val="1A2332"/>
                <w:sz w:val="20"/>
                <w:szCs w:val="20"/>
              </w:rPr>
              <w:t xml:space="preserve">$</w:t>
            </w:r>
          </w:p>
        </w:tc>
      </w:tr>
      <w:tr>
        <w:tc>
          <w:tcPr>
            <w:tcW w:type="dxa" w:w="400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b/>
                <w:bCs/>
                <w:color w:val="1A2332"/>
                <w:sz w:val="20"/>
                <w:szCs w:val="20"/>
              </w:rPr>
              <w:t xml:space="preserve">Advertising &amp; marketing</w:t>
            </w:r>
          </w:p>
        </w:tc>
        <w:tc>
          <w:tcPr>
            <w:tcW w:type="dxa" w:w="536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color w:val="1A2332"/>
                <w:sz w:val="20"/>
                <w:szCs w:val="20"/>
              </w:rPr>
              <w:t xml:space="preserve">$</w:t>
            </w:r>
          </w:p>
        </w:tc>
      </w:tr>
      <w:tr>
        <w:tc>
          <w:tcPr>
            <w:tcW w:type="dxa" w:w="400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b/>
                <w:bCs/>
                <w:color w:val="1A2332"/>
                <w:sz w:val="20"/>
                <w:szCs w:val="20"/>
              </w:rPr>
              <w:t xml:space="preserve">Office supplies &amp; admin costs</w:t>
            </w:r>
          </w:p>
        </w:tc>
        <w:tc>
          <w:tcPr>
            <w:tcW w:type="dxa" w:w="536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color w:val="1A2332"/>
                <w:sz w:val="20"/>
                <w:szCs w:val="20"/>
              </w:rPr>
              <w:t xml:space="preserve">$</w:t>
            </w:r>
          </w:p>
        </w:tc>
      </w:tr>
      <w:tr>
        <w:tc>
          <w:tcPr>
            <w:tcW w:type="dxa" w:w="400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b/>
                <w:bCs/>
                <w:color w:val="1A2332"/>
                <w:sz w:val="20"/>
                <w:szCs w:val="20"/>
              </w:rPr>
              <w:t xml:space="preserve">Professional memberships / licenses</w:t>
            </w:r>
          </w:p>
        </w:tc>
        <w:tc>
          <w:tcPr>
            <w:tcW w:type="dxa" w:w="536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color w:val="1A2332"/>
                <w:sz w:val="20"/>
                <w:szCs w:val="20"/>
              </w:rPr>
              <w:t xml:space="preserve">$</w:t>
            </w:r>
          </w:p>
        </w:tc>
      </w:tr>
      <w:tr>
        <w:tc>
          <w:tcPr>
            <w:tcW w:type="dxa" w:w="400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b/>
                <w:bCs/>
                <w:color w:val="1A2332"/>
                <w:sz w:val="20"/>
                <w:szCs w:val="20"/>
              </w:rPr>
              <w:t xml:space="preserve">Bank fees &amp; merchant processing</w:t>
            </w:r>
          </w:p>
        </w:tc>
        <w:tc>
          <w:tcPr>
            <w:tcW w:type="dxa" w:w="536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color w:val="1A2332"/>
                <w:sz w:val="20"/>
                <w:szCs w:val="20"/>
              </w:rPr>
              <w:t xml:space="preserve">$</w:t>
            </w:r>
          </w:p>
        </w:tc>
      </w:tr>
      <w:tr>
        <w:tc>
          <w:tcPr>
            <w:tcW w:type="dxa" w:w="400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b/>
                <w:bCs/>
                <w:color w:val="1A2332"/>
                <w:sz w:val="20"/>
                <w:szCs w:val="20"/>
              </w:rPr>
              <w:t xml:space="preserve">Owner's salary / draw</w:t>
            </w:r>
          </w:p>
        </w:tc>
        <w:tc>
          <w:tcPr>
            <w:tcW w:type="dxa" w:w="536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color w:val="1A2332"/>
                <w:sz w:val="20"/>
                <w:szCs w:val="20"/>
              </w:rPr>
              <w:t xml:space="preserve">$</w:t>
            </w:r>
          </w:p>
        </w:tc>
      </w:tr>
      <w:tr>
        <w:tc>
          <w:tcPr>
            <w:tcW w:type="dxa" w:w="400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b/>
                <w:bCs/>
                <w:color w:val="1A2332"/>
                <w:sz w:val="20"/>
                <w:szCs w:val="20"/>
              </w:rPr>
              <w:t xml:space="preserve">TOTAL OVERHEAD COSTS</w:t>
            </w:r>
          </w:p>
        </w:tc>
        <w:tc>
          <w:tcPr>
            <w:tcW w:type="dxa" w:w="536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color w:val="1A2332"/>
                <w:sz w:val="20"/>
                <w:szCs w:val="20"/>
              </w:rPr>
              <w:t xml:space="preserve">$</w:t>
            </w:r>
          </w:p>
        </w:tc>
      </w:tr>
    </w:tbl>
    <w:p>
      <w:pPr>
        <w:spacing w:before="160" w:after="0"/>
      </w:pPr>
      <w:r>
        <w:t xml:space="preserve"/>
      </w:r>
    </w:p>
    <w:p>
      <w:pPr>
        <w:pBdr>
          <w:bottom w:val="single" w:color="C8701A" w:sz="4" w:space="6"/>
        </w:pBdr>
        <w:spacing w:before="480" w:after="160"/>
      </w:pPr>
      <w:r>
        <w:rPr>
          <w:rFonts w:ascii="Arial" w:cs="Arial" w:eastAsia="Arial" w:hAnsi="Arial"/>
          <w:b/>
          <w:bCs/>
          <w:color w:val="1B2E4B"/>
          <w:sz w:val="32"/>
          <w:szCs w:val="32"/>
        </w:rPr>
        <w:t xml:space="preserve">STEP 4: Calculate Your Billable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8D4CD" w:sz="1"/>
              <w:left w:val="single" w:color="D8D4CD" w:sz="1"/>
              <w:bottom w:val="single" w:color="D8D4CD" w:sz="1"/>
              <w:right w:val="single" w:color="D8D4CD" w:sz="1"/>
            </w:tcBorders>
            <w:shd w:fill="1B2E4B" w:val="clear"/>
            <w:tcMar>
              <w:top w:type="dxa" w:w="100"/>
              <w:left w:type="dxa" w:w="160"/>
              <w:bottom w:type="dxa" w:w="100"/>
              <w:right w:type="dxa" w:w="160"/>
            </w:tcMar>
          </w:tcPr>
          <w:p>
            <w:r>
              <w:rPr>
                <w:rFonts w:ascii="Arial" w:cs="Arial" w:eastAsia="Arial" w:hAnsi="Arial"/>
                <w:b/>
                <w:bCs/>
                <w:color w:val="FFFFFF"/>
                <w:sz w:val="20"/>
                <w:szCs w:val="20"/>
              </w:rPr>
              <w:t xml:space="preserve">Hours Calculation</w:t>
            </w:r>
          </w:p>
        </w:tc>
        <w:tc>
          <w:tcPr>
            <w:tcW w:type="dxa" w:w="5360"/>
            <w:tcBorders>
              <w:top w:val="single" w:color="D8D4CD" w:sz="1"/>
              <w:left w:val="single" w:color="D8D4CD" w:sz="1"/>
              <w:bottom w:val="single" w:color="D8D4CD" w:sz="1"/>
              <w:right w:val="single" w:color="D8D4CD" w:sz="1"/>
            </w:tcBorders>
            <w:shd w:fill="1B2E4B" w:val="clear"/>
            <w:tcMar>
              <w:top w:type="dxa" w:w="100"/>
              <w:left w:type="dxa" w:w="160"/>
              <w:bottom w:type="dxa" w:w="100"/>
              <w:right w:type="dxa" w:w="160"/>
            </w:tcMar>
          </w:tcPr>
          <w:p>
            <w:r>
              <w:rPr>
                <w:rFonts w:ascii="Arial" w:cs="Arial" w:eastAsia="Arial" w:hAnsi="Arial"/>
                <w:b/>
                <w:bCs/>
                <w:color w:val="FFFFFF"/>
                <w:sz w:val="20"/>
                <w:szCs w:val="20"/>
              </w:rPr>
              <w:t xml:space="preserve">Amount</w:t>
            </w:r>
          </w:p>
        </w:tc>
      </w:tr>
      <w:tr>
        <w:tc>
          <w:tcPr>
            <w:tcW w:type="dxa" w:w="400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b/>
                <w:bCs/>
                <w:color w:val="1A2332"/>
                <w:sz w:val="20"/>
                <w:szCs w:val="20"/>
              </w:rPr>
              <w:t xml:space="preserve">Total working days per year (typically 250)</w:t>
            </w:r>
          </w:p>
        </w:tc>
        <w:tc>
          <w:tcPr>
            <w:tcW w:type="dxa" w:w="536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color w:val="1A2332"/>
                <w:sz w:val="20"/>
                <w:szCs w:val="20"/>
              </w:rPr>
              <w:t xml:space="preserve">days</w:t>
            </w:r>
          </w:p>
        </w:tc>
      </w:tr>
      <w:tr>
        <w:tc>
          <w:tcPr>
            <w:tcW w:type="dxa" w:w="400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b/>
                <w:bCs/>
                <w:color w:val="1A2332"/>
                <w:sz w:val="20"/>
                <w:szCs w:val="20"/>
              </w:rPr>
              <w:t xml:space="preserve">Working hours per day</w:t>
            </w:r>
          </w:p>
        </w:tc>
        <w:tc>
          <w:tcPr>
            <w:tcW w:type="dxa" w:w="536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color w:val="1A2332"/>
                <w:sz w:val="20"/>
                <w:szCs w:val="20"/>
              </w:rPr>
              <w:t xml:space="preserve">hours</w:t>
            </w:r>
          </w:p>
        </w:tc>
      </w:tr>
      <w:tr>
        <w:tc>
          <w:tcPr>
            <w:tcW w:type="dxa" w:w="400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b/>
                <w:bCs/>
                <w:color w:val="1A2332"/>
                <w:sz w:val="20"/>
                <w:szCs w:val="20"/>
              </w:rPr>
              <w:t xml:space="preserve">Gross available hours (days × hours)</w:t>
            </w:r>
          </w:p>
        </w:tc>
        <w:tc>
          <w:tcPr>
            <w:tcW w:type="dxa" w:w="536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color w:val="1A2332"/>
                <w:sz w:val="20"/>
                <w:szCs w:val="20"/>
              </w:rPr>
              <w:t xml:space="preserve">hours</w:t>
            </w:r>
          </w:p>
        </w:tc>
      </w:tr>
      <w:tr>
        <w:tc>
          <w:tcPr>
            <w:tcW w:type="dxa" w:w="400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b/>
                <w:bCs/>
                <w:color w:val="1A2332"/>
                <w:sz w:val="20"/>
                <w:szCs w:val="20"/>
              </w:rPr>
              <w:t xml:space="preserve">Less: non-billable time (admin, drive, breaks — est. 25-35%)</w:t>
            </w:r>
          </w:p>
        </w:tc>
        <w:tc>
          <w:tcPr>
            <w:tcW w:type="dxa" w:w="536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color w:val="1A2332"/>
                <w:sz w:val="20"/>
                <w:szCs w:val="20"/>
              </w:rPr>
              <w:t xml:space="preserve">hours</w:t>
            </w:r>
          </w:p>
        </w:tc>
      </w:tr>
      <w:tr>
        <w:tc>
          <w:tcPr>
            <w:tcW w:type="dxa" w:w="400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b/>
                <w:bCs/>
                <w:color w:val="1A2332"/>
                <w:sz w:val="20"/>
                <w:szCs w:val="20"/>
              </w:rPr>
              <w:t xml:space="preserve">TOTAL ANNUAL BILLABLE HOURS</w:t>
            </w:r>
          </w:p>
        </w:tc>
        <w:tc>
          <w:tcPr>
            <w:tcW w:type="dxa" w:w="536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color w:val="1A2332"/>
                <w:sz w:val="20"/>
                <w:szCs w:val="20"/>
              </w:rPr>
              <w:t xml:space="preserve">hours</w:t>
            </w:r>
          </w:p>
        </w:tc>
      </w:tr>
    </w:tbl>
    <w:p>
      <w:pPr>
        <w:spacing w:before="160" w:after="0"/>
      </w:pPr>
      <w:r>
        <w:t xml:space="preserve"/>
      </w:r>
    </w:p>
    <w:p>
      <w:pPr>
        <w:pBdr>
          <w:bottom w:val="single" w:color="C8701A" w:sz="4" w:space="6"/>
        </w:pBdr>
        <w:spacing w:before="480" w:after="160"/>
      </w:pPr>
      <w:r>
        <w:rPr>
          <w:rFonts w:ascii="Arial" w:cs="Arial" w:eastAsia="Arial" w:hAnsi="Arial"/>
          <w:b/>
          <w:bCs/>
          <w:color w:val="1B2E4B"/>
          <w:sz w:val="32"/>
          <w:szCs w:val="32"/>
        </w:rPr>
        <w:t xml:space="preserve">STEP 5: Calculate Your Break-Even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8D4CD" w:sz="1"/>
              <w:left w:val="single" w:color="D8D4CD" w:sz="1"/>
              <w:bottom w:val="single" w:color="D8D4CD" w:sz="1"/>
              <w:right w:val="single" w:color="D8D4CD" w:sz="1"/>
            </w:tcBorders>
            <w:shd w:fill="1B2E4B" w:val="clear"/>
            <w:tcMar>
              <w:top w:type="dxa" w:w="100"/>
              <w:left w:type="dxa" w:w="160"/>
              <w:bottom w:type="dxa" w:w="100"/>
              <w:right w:type="dxa" w:w="160"/>
            </w:tcMar>
          </w:tcPr>
          <w:p>
            <w:r>
              <w:rPr>
                <w:rFonts w:ascii="Arial" w:cs="Arial" w:eastAsia="Arial" w:hAnsi="Arial"/>
                <w:b/>
                <w:bCs/>
                <w:color w:val="FFFFFF"/>
                <w:sz w:val="20"/>
                <w:szCs w:val="20"/>
              </w:rPr>
              <w:t xml:space="preserve">Rate Calculation</w:t>
            </w:r>
          </w:p>
        </w:tc>
        <w:tc>
          <w:tcPr>
            <w:tcW w:type="dxa" w:w="5360"/>
            <w:tcBorders>
              <w:top w:val="single" w:color="D8D4CD" w:sz="1"/>
              <w:left w:val="single" w:color="D8D4CD" w:sz="1"/>
              <w:bottom w:val="single" w:color="D8D4CD" w:sz="1"/>
              <w:right w:val="single" w:color="D8D4CD" w:sz="1"/>
            </w:tcBorders>
            <w:shd w:fill="1B2E4B" w:val="clear"/>
            <w:tcMar>
              <w:top w:type="dxa" w:w="100"/>
              <w:left w:type="dxa" w:w="160"/>
              <w:bottom w:type="dxa" w:w="100"/>
              <w:right w:type="dxa" w:w="160"/>
            </w:tcMar>
          </w:tcPr>
          <w:p>
            <w:r>
              <w:rPr>
                <w:rFonts w:ascii="Arial" w:cs="Arial" w:eastAsia="Arial" w:hAnsi="Arial"/>
                <w:b/>
                <w:bCs/>
                <w:color w:val="FFFFFF"/>
                <w:sz w:val="20"/>
                <w:szCs w:val="20"/>
              </w:rPr>
              <w:t xml:space="preserve">Amount</w:t>
            </w:r>
          </w:p>
        </w:tc>
      </w:tr>
      <w:tr>
        <w:tc>
          <w:tcPr>
            <w:tcW w:type="dxa" w:w="400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b/>
                <w:bCs/>
                <w:color w:val="1A2332"/>
                <w:sz w:val="20"/>
                <w:szCs w:val="20"/>
              </w:rPr>
              <w:t xml:space="preserve">Total Labor Costs (from Step 1)</w:t>
            </w:r>
          </w:p>
        </w:tc>
        <w:tc>
          <w:tcPr>
            <w:tcW w:type="dxa" w:w="536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color w:val="1A2332"/>
                <w:sz w:val="20"/>
                <w:szCs w:val="20"/>
              </w:rPr>
              <w:t xml:space="preserve">$</w:t>
            </w:r>
          </w:p>
        </w:tc>
      </w:tr>
      <w:tr>
        <w:tc>
          <w:tcPr>
            <w:tcW w:type="dxa" w:w="400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b/>
                <w:bCs/>
                <w:color w:val="1A2332"/>
                <w:sz w:val="20"/>
                <w:szCs w:val="20"/>
              </w:rPr>
              <w:t xml:space="preserve">Total Vehicle &amp; Equipment Costs (from Step 2)</w:t>
            </w:r>
          </w:p>
        </w:tc>
        <w:tc>
          <w:tcPr>
            <w:tcW w:type="dxa" w:w="536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color w:val="1A2332"/>
                <w:sz w:val="20"/>
                <w:szCs w:val="20"/>
              </w:rPr>
              <w:t xml:space="preserve">$</w:t>
            </w:r>
          </w:p>
        </w:tc>
      </w:tr>
      <w:tr>
        <w:tc>
          <w:tcPr>
            <w:tcW w:type="dxa" w:w="400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b/>
                <w:bCs/>
                <w:color w:val="1A2332"/>
                <w:sz w:val="20"/>
                <w:szCs w:val="20"/>
              </w:rPr>
              <w:t xml:space="preserve">Total Overhead Costs (from Step 3)</w:t>
            </w:r>
          </w:p>
        </w:tc>
        <w:tc>
          <w:tcPr>
            <w:tcW w:type="dxa" w:w="536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color w:val="1A2332"/>
                <w:sz w:val="20"/>
                <w:szCs w:val="20"/>
              </w:rPr>
              <w:t xml:space="preserve">$</w:t>
            </w:r>
          </w:p>
        </w:tc>
      </w:tr>
      <w:tr>
        <w:tc>
          <w:tcPr>
            <w:tcW w:type="dxa" w:w="400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b/>
                <w:bCs/>
                <w:color w:val="1A2332"/>
                <w:sz w:val="20"/>
                <w:szCs w:val="20"/>
              </w:rPr>
              <w:t xml:space="preserve">TOTAL ANNUAL COSTS</w:t>
            </w:r>
          </w:p>
        </w:tc>
        <w:tc>
          <w:tcPr>
            <w:tcW w:type="dxa" w:w="536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color w:val="1A2332"/>
                <w:sz w:val="20"/>
                <w:szCs w:val="20"/>
              </w:rPr>
              <w:t xml:space="preserve">$</w:t>
            </w:r>
          </w:p>
        </w:tc>
      </w:tr>
      <w:tr>
        <w:tc>
          <w:tcPr>
            <w:tcW w:type="dxa" w:w="400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b/>
                <w:bCs/>
                <w:color w:val="1A2332"/>
                <w:sz w:val="20"/>
                <w:szCs w:val="20"/>
              </w:rPr>
              <w:t xml:space="preserve">Divide by Billable Hours (from Step 4)</w:t>
            </w:r>
          </w:p>
        </w:tc>
        <w:tc>
          <w:tcPr>
            <w:tcW w:type="dxa" w:w="536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color w:val="1A2332"/>
                <w:sz w:val="20"/>
                <w:szCs w:val="20"/>
              </w:rPr>
              <w:t xml:space="preserve">÷</w:t>
            </w:r>
          </w:p>
        </w:tc>
      </w:tr>
      <w:tr>
        <w:tc>
          <w:tcPr>
            <w:tcW w:type="dxa" w:w="400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b/>
                <w:bCs/>
                <w:color w:val="1A2332"/>
                <w:sz w:val="20"/>
                <w:szCs w:val="20"/>
              </w:rPr>
              <w:t xml:space="preserve">YOUR BREAK-EVEN HOURLY RATE</w:t>
            </w:r>
          </w:p>
        </w:tc>
        <w:tc>
          <w:tcPr>
            <w:tcW w:type="dxa" w:w="536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color w:val="1A2332"/>
                <w:sz w:val="20"/>
                <w:szCs w:val="20"/>
              </w:rPr>
              <w:t xml:space="preserve">$___/hr</w:t>
            </w:r>
          </w:p>
        </w:tc>
      </w:tr>
    </w:tbl>
    <w:p>
      <w:pPr>
        <w:spacing w:before="160" w:after="0"/>
      </w:pPr>
      <w:r>
        <w:t xml:space="preserve"/>
      </w:r>
    </w:p>
    <w:p>
      <w:pPr>
        <w:pBdr>
          <w:bottom w:val="single" w:color="C8701A" w:sz="4" w:space="6"/>
        </w:pBdr>
        <w:spacing w:before="480" w:after="160"/>
      </w:pPr>
      <w:r>
        <w:rPr>
          <w:rFonts w:ascii="Arial" w:cs="Arial" w:eastAsia="Arial" w:hAnsi="Arial"/>
          <w:b/>
          <w:bCs/>
          <w:color w:val="1B2E4B"/>
          <w:sz w:val="32"/>
          <w:szCs w:val="32"/>
        </w:rPr>
        <w:t xml:space="preserve">STEP 6: Add Your Profit Margin</w:t>
      </w:r>
    </w:p>
    <w:p>
      <w:pPr>
        <w:spacing w:before="80" w:after="80"/>
      </w:pPr>
      <w:r>
        <w:rPr>
          <w:rFonts w:ascii="Arial" w:cs="Arial" w:eastAsia="Arial" w:hAnsi="Arial"/>
          <w:color w:val="1A2332"/>
          <w:sz w:val="22"/>
          <w:szCs w:val="22"/>
        </w:rPr>
        <w:t xml:space="preserve">Your break-even rate keeps the lights on. To actually build a profitable business, add a profit margin on top.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8D4CD" w:sz="1"/>
              <w:left w:val="single" w:color="D8D4CD" w:sz="1"/>
              <w:bottom w:val="single" w:color="D8D4CD" w:sz="1"/>
              <w:right w:val="single" w:color="D8D4CD" w:sz="1"/>
            </w:tcBorders>
            <w:shd w:fill="1B2E4B" w:val="clear"/>
            <w:tcMar>
              <w:top w:type="dxa" w:w="100"/>
              <w:left w:type="dxa" w:w="160"/>
              <w:bottom w:type="dxa" w:w="100"/>
              <w:right w:type="dxa" w:w="160"/>
            </w:tcMar>
          </w:tcPr>
          <w:p>
            <w:r>
              <w:rPr>
                <w:rFonts w:ascii="Arial" w:cs="Arial" w:eastAsia="Arial" w:hAnsi="Arial"/>
                <w:b/>
                <w:bCs/>
                <w:color w:val="FFFFFF"/>
                <w:sz w:val="20"/>
                <w:szCs w:val="20"/>
              </w:rPr>
              <w:t xml:space="preserve">Margin Target</w:t>
            </w:r>
          </w:p>
        </w:tc>
        <w:tc>
          <w:tcPr>
            <w:tcW w:type="dxa" w:w="5360"/>
            <w:tcBorders>
              <w:top w:val="single" w:color="D8D4CD" w:sz="1"/>
              <w:left w:val="single" w:color="D8D4CD" w:sz="1"/>
              <w:bottom w:val="single" w:color="D8D4CD" w:sz="1"/>
              <w:right w:val="single" w:color="D8D4CD" w:sz="1"/>
            </w:tcBorders>
            <w:shd w:fill="1B2E4B" w:val="clear"/>
            <w:tcMar>
              <w:top w:type="dxa" w:w="100"/>
              <w:left w:type="dxa" w:w="160"/>
              <w:bottom w:type="dxa" w:w="100"/>
              <w:right w:type="dxa" w:w="160"/>
            </w:tcMar>
          </w:tcPr>
          <w:p>
            <w:r>
              <w:rPr>
                <w:rFonts w:ascii="Arial" w:cs="Arial" w:eastAsia="Arial" w:hAnsi="Arial"/>
                <w:b/>
                <w:bCs/>
                <w:color w:val="FFFFFF"/>
                <w:sz w:val="20"/>
                <w:szCs w:val="20"/>
              </w:rPr>
              <w:t xml:space="preserve">Calculation</w:t>
            </w:r>
          </w:p>
        </w:tc>
      </w:tr>
      <w:tr>
        <w:tc>
          <w:tcPr>
            <w:tcW w:type="dxa" w:w="400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b/>
                <w:bCs/>
                <w:color w:val="1A2332"/>
                <w:sz w:val="20"/>
                <w:szCs w:val="20"/>
              </w:rPr>
              <w:t xml:space="preserve">10% profit margin</w:t>
            </w:r>
          </w:p>
        </w:tc>
        <w:tc>
          <w:tcPr>
            <w:tcW w:type="dxa" w:w="536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color w:val="1A2332"/>
                <w:sz w:val="20"/>
                <w:szCs w:val="20"/>
              </w:rPr>
              <w:t xml:space="preserve">Break-even rate ÷ 0.90 = $___/hr</w:t>
            </w:r>
          </w:p>
        </w:tc>
      </w:tr>
      <w:tr>
        <w:tc>
          <w:tcPr>
            <w:tcW w:type="dxa" w:w="400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b/>
                <w:bCs/>
                <w:color w:val="1A2332"/>
                <w:sz w:val="20"/>
                <w:szCs w:val="20"/>
              </w:rPr>
              <w:t xml:space="preserve">15% profit margin</w:t>
            </w:r>
          </w:p>
        </w:tc>
        <w:tc>
          <w:tcPr>
            <w:tcW w:type="dxa" w:w="536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color w:val="1A2332"/>
                <w:sz w:val="20"/>
                <w:szCs w:val="20"/>
              </w:rPr>
              <w:t xml:space="preserve">Break-even rate ÷ 0.85 = $___/hr</w:t>
            </w:r>
          </w:p>
        </w:tc>
      </w:tr>
      <w:tr>
        <w:tc>
          <w:tcPr>
            <w:tcW w:type="dxa" w:w="400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b/>
                <w:bCs/>
                <w:color w:val="1A2332"/>
                <w:sz w:val="20"/>
                <w:szCs w:val="20"/>
              </w:rPr>
              <w:t xml:space="preserve">20% profit margin (recommended)</w:t>
            </w:r>
          </w:p>
        </w:tc>
        <w:tc>
          <w:tcPr>
            <w:tcW w:type="dxa" w:w="536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color w:val="1A2332"/>
                <w:sz w:val="20"/>
                <w:szCs w:val="20"/>
              </w:rPr>
              <w:t xml:space="preserve">Break-even rate ÷ 0.80 = $___/hr</w:t>
            </w:r>
          </w:p>
        </w:tc>
      </w:tr>
      <w:tr>
        <w:tc>
          <w:tcPr>
            <w:tcW w:type="dxa" w:w="400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b/>
                <w:bCs/>
                <w:color w:val="1A2332"/>
                <w:sz w:val="20"/>
                <w:szCs w:val="20"/>
              </w:rPr>
              <w:t xml:space="preserve">25% profit margin</w:t>
            </w:r>
          </w:p>
        </w:tc>
        <w:tc>
          <w:tcPr>
            <w:tcW w:type="dxa" w:w="536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color w:val="1A2332"/>
                <w:sz w:val="20"/>
                <w:szCs w:val="20"/>
              </w:rPr>
              <w:t xml:space="preserve">Break-even rate ÷ 0.75 = $___/hr</w:t>
            </w:r>
          </w:p>
        </w:tc>
      </w:tr>
    </w:tbl>
    <w:p>
      <w:pPr>
        <w:spacing w:before="80" w:after="0"/>
      </w:pPr>
      <w:r>
        <w:t xml:space="preserve"/>
      </w:r>
    </w:p>
    <w:p>
      <w:pPr>
        <w:pBdr>
          <w:top w:val="single" w:color="C8701A" w:sz="4" w:space="6"/>
          <w:bottom w:val="single" w:color="C8701A" w:sz="4" w:space="6"/>
        </w:pBdr>
        <w:spacing w:before="160" w:after="160"/>
      </w:pPr>
      <w:r>
        <w:rPr>
          <w:rFonts w:ascii="Arial" w:cs="Arial" w:eastAsia="Arial" w:hAnsi="Arial"/>
          <w:b/>
          <w:bCs/>
          <w:color w:val="C8701A"/>
          <w:sz w:val="28"/>
          <w:szCs w:val="28"/>
        </w:rPr>
        <w:t xml:space="preserve">YOUR TARGET BILLING RATE: $_______ per hour</w:t>
      </w:r>
    </w:p>
    <w:p>
      <w:pPr>
        <w:spacing w:before="80" w:after="0"/>
      </w:pPr>
      <w:r>
        <w:t xml:space="preserve"/>
      </w:r>
    </w:p>
    <w:p>
      <w:pPr>
        <w:pBdr>
          <w:bottom w:val="single" w:color="C8701A" w:sz="4" w:space="6"/>
        </w:pBdr>
        <w:spacing w:before="480" w:after="160"/>
      </w:pPr>
      <w:r>
        <w:rPr>
          <w:rFonts w:ascii="Arial" w:cs="Arial" w:eastAsia="Arial" w:hAnsi="Arial"/>
          <w:b/>
          <w:bCs/>
          <w:color w:val="1B2E4B"/>
          <w:sz w:val="32"/>
          <w:szCs w:val="32"/>
        </w:rPr>
        <w:t xml:space="preserve">STEP 7: Compare to Your Current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8D4CD" w:sz="1"/>
              <w:left w:val="single" w:color="D8D4CD" w:sz="1"/>
              <w:bottom w:val="single" w:color="D8D4CD" w:sz="1"/>
              <w:right w:val="single" w:color="D8D4CD" w:sz="1"/>
            </w:tcBorders>
            <w:shd w:fill="1B2E4B" w:val="clear"/>
            <w:tcMar>
              <w:top w:type="dxa" w:w="100"/>
              <w:left w:type="dxa" w:w="160"/>
              <w:bottom w:type="dxa" w:w="100"/>
              <w:right w:type="dxa" w:w="160"/>
            </w:tcMar>
          </w:tcPr>
          <w:p>
            <w:r>
              <w:rPr>
                <w:rFonts w:ascii="Arial" w:cs="Arial" w:eastAsia="Arial" w:hAnsi="Arial"/>
                <w:b/>
                <w:bCs/>
                <w:color w:val="FFFFFF"/>
                <w:sz w:val="20"/>
                <w:szCs w:val="20"/>
              </w:rPr>
              <w:t xml:space="preserve">Comparison</w:t>
            </w:r>
          </w:p>
        </w:tc>
        <w:tc>
          <w:tcPr>
            <w:tcW w:type="dxa" w:w="5360"/>
            <w:tcBorders>
              <w:top w:val="single" w:color="D8D4CD" w:sz="1"/>
              <w:left w:val="single" w:color="D8D4CD" w:sz="1"/>
              <w:bottom w:val="single" w:color="D8D4CD" w:sz="1"/>
              <w:right w:val="single" w:color="D8D4CD" w:sz="1"/>
            </w:tcBorders>
            <w:shd w:fill="1B2E4B" w:val="clear"/>
            <w:tcMar>
              <w:top w:type="dxa" w:w="100"/>
              <w:left w:type="dxa" w:w="160"/>
              <w:bottom w:type="dxa" w:w="100"/>
              <w:right w:type="dxa" w:w="160"/>
            </w:tcMar>
          </w:tcPr>
          <w:p>
            <w:r>
              <w:rPr>
                <w:rFonts w:ascii="Arial" w:cs="Arial" w:eastAsia="Arial" w:hAnsi="Arial"/>
                <w:b/>
                <w:bCs/>
                <w:color w:val="FFFFFF"/>
                <w:sz w:val="20"/>
                <w:szCs w:val="20"/>
              </w:rPr>
              <w:t xml:space="preserve">Amount</w:t>
            </w:r>
          </w:p>
        </w:tc>
      </w:tr>
      <w:tr>
        <w:tc>
          <w:tcPr>
            <w:tcW w:type="dxa" w:w="400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b/>
                <w:bCs/>
                <w:color w:val="1A2332"/>
                <w:sz w:val="20"/>
                <w:szCs w:val="20"/>
              </w:rPr>
              <w:t xml:space="preserve">Your current billing rate</w:t>
            </w:r>
          </w:p>
        </w:tc>
        <w:tc>
          <w:tcPr>
            <w:tcW w:type="dxa" w:w="536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color w:val="1A2332"/>
                <w:sz w:val="20"/>
                <w:szCs w:val="20"/>
              </w:rPr>
              <w:t xml:space="preserve">$___/hr</w:t>
            </w:r>
          </w:p>
        </w:tc>
      </w:tr>
      <w:tr>
        <w:tc>
          <w:tcPr>
            <w:tcW w:type="dxa" w:w="400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b/>
                <w:bCs/>
                <w:color w:val="1A2332"/>
                <w:sz w:val="20"/>
                <w:szCs w:val="20"/>
              </w:rPr>
              <w:t xml:space="preserve">Your calculated target rate</w:t>
            </w:r>
          </w:p>
        </w:tc>
        <w:tc>
          <w:tcPr>
            <w:tcW w:type="dxa" w:w="536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color w:val="1A2332"/>
                <w:sz w:val="20"/>
                <w:szCs w:val="20"/>
              </w:rPr>
              <w:t xml:space="preserve">$___/hr</w:t>
            </w:r>
          </w:p>
        </w:tc>
      </w:tr>
      <w:tr>
        <w:tc>
          <w:tcPr>
            <w:tcW w:type="dxa" w:w="400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b/>
                <w:bCs/>
                <w:color w:val="1A2332"/>
                <w:sz w:val="20"/>
                <w:szCs w:val="20"/>
              </w:rPr>
              <w:t xml:space="preserve">Gap (positive = underpricing)</w:t>
            </w:r>
          </w:p>
        </w:tc>
        <w:tc>
          <w:tcPr>
            <w:tcW w:type="dxa" w:w="5360"/>
            <w:tcBorders>
              <w:top w:val="single" w:color="D8D4CD" w:sz="1"/>
              <w:left w:val="single" w:color="D8D4CD" w:sz="1"/>
              <w:bottom w:val="single" w:color="D8D4CD" w:sz="1"/>
              <w:right w:val="single" w:color="D8D4CD" w:sz="1"/>
            </w:tcBorders>
            <w:shd w:fill="FFFFFF" w:val="clear"/>
            <w:tcMar>
              <w:top w:type="dxa" w:w="100"/>
              <w:left w:type="dxa" w:w="160"/>
              <w:bottom w:type="dxa" w:w="100"/>
              <w:right w:type="dxa" w:w="160"/>
            </w:tcMar>
          </w:tcPr>
          <w:p>
            <w:r>
              <w:rPr>
                <w:rFonts w:ascii="Arial" w:cs="Arial" w:eastAsia="Arial" w:hAnsi="Arial"/>
                <w:color w:val="1A2332"/>
                <w:sz w:val="20"/>
                <w:szCs w:val="20"/>
              </w:rPr>
              <w:t xml:space="preserve">$___/hr</w:t>
            </w:r>
          </w:p>
        </w:tc>
      </w:tr>
      <w:tr>
        <w:tc>
          <w:tcPr>
            <w:tcW w:type="dxa" w:w="400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b/>
                <w:bCs/>
                <w:color w:val="1A2332"/>
                <w:sz w:val="20"/>
                <w:szCs w:val="20"/>
              </w:rPr>
              <w:t xml:space="preserve">Annual impact of the gap (gap × billable hours)</w:t>
            </w:r>
          </w:p>
        </w:tc>
        <w:tc>
          <w:tcPr>
            <w:tcW w:type="dxa" w:w="5360"/>
            <w:tcBorders>
              <w:top w:val="single" w:color="D8D4CD" w:sz="1"/>
              <w:left w:val="single" w:color="D8D4CD" w:sz="1"/>
              <w:bottom w:val="single" w:color="D8D4CD" w:sz="1"/>
              <w:right w:val="single" w:color="D8D4CD" w:sz="1"/>
            </w:tcBorders>
            <w:shd w:fill="EEF2F7" w:val="clear"/>
            <w:tcMar>
              <w:top w:type="dxa" w:w="100"/>
              <w:left w:type="dxa" w:w="160"/>
              <w:bottom w:type="dxa" w:w="100"/>
              <w:right w:type="dxa" w:w="160"/>
            </w:tcMar>
          </w:tcPr>
          <w:p>
            <w:r>
              <w:rPr>
                <w:rFonts w:ascii="Arial" w:cs="Arial" w:eastAsia="Arial" w:hAnsi="Arial"/>
                <w:color w:val="1A2332"/>
                <w:sz w:val="20"/>
                <w:szCs w:val="20"/>
              </w:rPr>
              <w:t xml:space="preserve">$___/yr</w:t>
            </w:r>
          </w:p>
        </w:tc>
      </w:tr>
    </w:tbl>
    <w:p>
      <w:pPr>
        <w:spacing w:before="80" w:after="0"/>
      </w:pPr>
      <w:r>
        <w:t xml:space="preserve"/>
      </w:r>
    </w:p>
    <w:p>
      <w:pPr>
        <w:spacing w:before="320" w:after="120"/>
      </w:pPr>
      <w:r>
        <w:rPr>
          <w:rFonts w:ascii="Arial" w:cs="Arial" w:eastAsia="Arial" w:hAnsi="Arial"/>
          <w:b/>
          <w:bCs/>
          <w:color w:val="1B2E4B"/>
          <w:sz w:val="24"/>
          <w:szCs w:val="24"/>
        </w:rPr>
        <w:t xml:space="preserve">If you're underpricing — how to raise rates</w:t>
      </w:r>
    </w:p>
    <w:p>
      <w:pPr>
        <w:pStyle w:val="ListParagraph"/>
        <w:numPr>
          <w:ilvl w:val="0"/>
          <w:numId w:val="2"/>
        </w:numPr>
        <w:spacing w:before="60" w:after="60"/>
      </w:pPr>
      <w:r>
        <w:rPr>
          <w:rFonts w:ascii="Arial" w:cs="Arial" w:eastAsia="Arial" w:hAnsi="Arial"/>
          <w:color w:val="1A2332"/>
          <w:sz w:val="22"/>
          <w:szCs w:val="22"/>
        </w:rPr>
        <w:t xml:space="preserve">Raise rates for new customers immediately — no announcement needed</w:t>
      </w:r>
    </w:p>
    <w:p>
      <w:pPr>
        <w:pStyle w:val="ListParagraph"/>
        <w:numPr>
          <w:ilvl w:val="0"/>
          <w:numId w:val="2"/>
        </w:numPr>
        <w:spacing w:before="60" w:after="60"/>
      </w:pPr>
      <w:r>
        <w:rPr>
          <w:rFonts w:ascii="Arial" w:cs="Arial" w:eastAsia="Arial" w:hAnsi="Arial"/>
          <w:color w:val="1A2332"/>
          <w:sz w:val="22"/>
          <w:szCs w:val="22"/>
        </w:rPr>
        <w:t xml:space="preserve">Give existing customers 30-60 days notice with a brief explanation</w:t>
      </w:r>
    </w:p>
    <w:p>
      <w:pPr>
        <w:pStyle w:val="ListParagraph"/>
        <w:numPr>
          <w:ilvl w:val="0"/>
          <w:numId w:val="2"/>
        </w:numPr>
        <w:spacing w:before="60" w:after="60"/>
      </w:pPr>
      <w:r>
        <w:rPr>
          <w:rFonts w:ascii="Arial" w:cs="Arial" w:eastAsia="Arial" w:hAnsi="Arial"/>
          <w:color w:val="1A2332"/>
          <w:sz w:val="22"/>
          <w:szCs w:val="22"/>
        </w:rPr>
        <w:t xml:space="preserve">Frame it as a cost increase: "Due to increases in fuel, materials, and labor costs..."</w:t>
      </w:r>
    </w:p>
    <w:p>
      <w:pPr>
        <w:pStyle w:val="ListParagraph"/>
        <w:numPr>
          <w:ilvl w:val="0"/>
          <w:numId w:val="2"/>
        </w:numPr>
        <w:spacing w:before="60" w:after="60"/>
      </w:pPr>
      <w:r>
        <w:rPr>
          <w:rFonts w:ascii="Arial" w:cs="Arial" w:eastAsia="Arial" w:hAnsi="Arial"/>
          <w:color w:val="1A2332"/>
          <w:sz w:val="22"/>
          <w:szCs w:val="22"/>
        </w:rPr>
        <w:t xml:space="preserve">Raise in steps if the gap is large — $10-15/hr increments</w:t>
      </w:r>
    </w:p>
    <w:p>
      <w:pPr>
        <w:pStyle w:val="ListParagraph"/>
        <w:numPr>
          <w:ilvl w:val="0"/>
          <w:numId w:val="2"/>
        </w:numPr>
        <w:spacing w:before="60" w:after="60"/>
      </w:pPr>
      <w:r>
        <w:rPr>
          <w:rFonts w:ascii="Arial" w:cs="Arial" w:eastAsia="Arial" w:hAnsi="Arial"/>
          <w:color w:val="1A2332"/>
          <w:sz w:val="22"/>
          <w:szCs w:val="22"/>
        </w:rPr>
        <w:t xml:space="preserve">Expect to lose 10-20% of price-sensitive customers — this is normal and usually healthy</w:t>
      </w:r>
    </w:p>
    <w:p>
      <w:pPr>
        <w:spacing w:before="80" w:after="0"/>
      </w:pPr>
      <w:r>
        <w:t xml:space="preserve"/>
      </w:r>
    </w:p>
    <w:p>
      <w:pPr>
        <w:spacing w:before="60" w:after="60"/>
      </w:pPr>
      <w:r>
        <w:rPr>
          <w:rFonts w:ascii="Arial" w:cs="Arial" w:eastAsia="Arial" w:hAnsi="Arial"/>
          <w:i/>
          <w:iCs/>
          <w:color w:val="6B7A90"/>
          <w:sz w:val="20"/>
          <w:szCs w:val="20"/>
        </w:rPr>
        <w:t xml:space="preserve">Most service businesses find that raising rates by $10-20/hr costs them 1-2 difficult customers and adds $20,000-40,000/year in revenue. The math almost always works in your favor.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2026-03-18T20:37:44.519Z</dcterms:created>
  <dcterms:modified xsi:type="dcterms:W3CDTF">2026-03-18T20:37:44.519Z</dcterms:modified>
</cp:coreProperties>
</file>

<file path=docProps/custom.xml><?xml version="1.0" encoding="utf-8"?>
<Properties xmlns="http://schemas.openxmlformats.org/officeDocument/2006/custom-properties" xmlns:vt="http://schemas.openxmlformats.org/officeDocument/2006/docPropsVTypes"/>
</file>