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5029" w14:textId="0030290B" w:rsidR="008068BE" w:rsidRPr="000A45B8" w:rsidRDefault="008068BE" w:rsidP="00224D4D">
      <w:pPr>
        <w:spacing w:before="60" w:after="6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Purpose</w:t>
      </w:r>
      <w:r w:rsidRPr="000A45B8">
        <w:rPr>
          <w:sz w:val="20"/>
          <w:szCs w:val="20"/>
        </w:rPr>
        <w:t>: to understand temporal dynamics of PNN expression across experience.</w:t>
      </w:r>
    </w:p>
    <w:p w14:paraId="52A34956" w14:textId="596A7931" w:rsidR="008068BE" w:rsidRPr="000A45B8" w:rsidRDefault="008068BE" w:rsidP="00224D4D">
      <w:pPr>
        <w:pStyle w:val="ListParagraph"/>
        <w:numPr>
          <w:ilvl w:val="0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sz w:val="20"/>
          <w:szCs w:val="20"/>
        </w:rPr>
        <w:t xml:space="preserve">Do dynamics vary in specific regions over time / with repeated exposure to experience under our learning paradigm? </w:t>
      </w:r>
      <w:r w:rsidR="00AC2408" w:rsidRPr="000A45B8">
        <w:rPr>
          <w:sz w:val="20"/>
          <w:szCs w:val="20"/>
        </w:rPr>
        <w:t>Do these dynamics differ between WT and Het (in adolescence and/or adulthood)??</w:t>
      </w:r>
    </w:p>
    <w:p w14:paraId="2892EE2D" w14:textId="2BF3161C" w:rsidR="008068BE" w:rsidRPr="000A45B8" w:rsidRDefault="008068BE" w:rsidP="00224D4D">
      <w:pPr>
        <w:pStyle w:val="ListParagraph"/>
        <w:numPr>
          <w:ilvl w:val="1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sz w:val="20"/>
          <w:szCs w:val="20"/>
        </w:rPr>
        <w:t>Here, I’ve chosen to start with 12-week-old adults (all sectioned with uniform thickness, stained simultaneously, and imaged with identical parameters).</w:t>
      </w:r>
    </w:p>
    <w:p w14:paraId="27A3FD6D" w14:textId="552B2FD4" w:rsidR="008068BE" w:rsidRPr="000A45B8" w:rsidRDefault="008068BE" w:rsidP="00224D4D">
      <w:pPr>
        <w:pStyle w:val="ListParagraph"/>
        <w:numPr>
          <w:ilvl w:val="1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sz w:val="20"/>
          <w:szCs w:val="20"/>
        </w:rPr>
        <w:t xml:space="preserve">This analysis will help </w:t>
      </w:r>
      <w:r w:rsidR="00AC2408" w:rsidRPr="000A45B8">
        <w:rPr>
          <w:sz w:val="20"/>
          <w:szCs w:val="20"/>
        </w:rPr>
        <w:t>to determine if this is worth pursuing long-term (more replicates, across ages).</w:t>
      </w:r>
    </w:p>
    <w:p w14:paraId="0FC5A9E5" w14:textId="3D0D5312" w:rsidR="00AC2408" w:rsidRPr="000A45B8" w:rsidRDefault="00AC2408" w:rsidP="00224D4D">
      <w:pPr>
        <w:spacing w:before="60" w:after="60"/>
        <w:jc w:val="both"/>
        <w:rPr>
          <w:sz w:val="20"/>
          <w:szCs w:val="20"/>
        </w:rPr>
      </w:pPr>
    </w:p>
    <w:p w14:paraId="4338B387" w14:textId="10B3D4D2" w:rsidR="00AC2408" w:rsidRPr="000A45B8" w:rsidRDefault="00AC2408" w:rsidP="00224D4D">
      <w:pPr>
        <w:spacing w:before="60" w:after="60"/>
        <w:jc w:val="both"/>
        <w:rPr>
          <w:b/>
          <w:bCs/>
          <w:sz w:val="20"/>
          <w:szCs w:val="20"/>
          <w:u w:val="single"/>
        </w:rPr>
      </w:pPr>
      <w:r w:rsidRPr="000A45B8">
        <w:rPr>
          <w:b/>
          <w:bCs/>
          <w:sz w:val="20"/>
          <w:szCs w:val="20"/>
          <w:u w:val="single"/>
        </w:rPr>
        <w:t>Notes</w:t>
      </w:r>
    </w:p>
    <w:p w14:paraId="38B9A713" w14:textId="14B5713B" w:rsidR="00834B54" w:rsidRPr="000A45B8" w:rsidRDefault="00834B54" w:rsidP="00224D4D">
      <w:pPr>
        <w:pStyle w:val="ListParagraph"/>
        <w:numPr>
          <w:ilvl w:val="0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sz w:val="20"/>
          <w:szCs w:val="20"/>
        </w:rPr>
        <w:t xml:space="preserve">This cohort consists of 6 conditions (outlined below). Comparisons should be made </w:t>
      </w:r>
      <w:r w:rsidR="00BC65B0" w:rsidRPr="000A45B8">
        <w:rPr>
          <w:i/>
          <w:iCs/>
          <w:sz w:val="20"/>
          <w:szCs w:val="20"/>
        </w:rPr>
        <w:t>between conditions for each genotype</w:t>
      </w:r>
      <w:r w:rsidR="00BC65B0" w:rsidRPr="000A45B8">
        <w:rPr>
          <w:i/>
          <w:iCs/>
          <w:sz w:val="20"/>
          <w:szCs w:val="20"/>
        </w:rPr>
        <w:t xml:space="preserve"> </w:t>
      </w:r>
      <w:r w:rsidR="00BC65B0" w:rsidRPr="000A45B8">
        <w:rPr>
          <w:sz w:val="20"/>
          <w:szCs w:val="20"/>
        </w:rPr>
        <w:t>and</w:t>
      </w:r>
      <w:r w:rsidR="00BC65B0" w:rsidRPr="000A45B8">
        <w:rPr>
          <w:i/>
          <w:iCs/>
          <w:sz w:val="20"/>
          <w:szCs w:val="20"/>
        </w:rPr>
        <w:t xml:space="preserve"> </w:t>
      </w:r>
      <w:r w:rsidRPr="000A45B8">
        <w:rPr>
          <w:i/>
          <w:iCs/>
          <w:sz w:val="20"/>
          <w:szCs w:val="20"/>
        </w:rPr>
        <w:t>between genotypes for each condition</w:t>
      </w:r>
      <w:r w:rsidRPr="000A45B8">
        <w:rPr>
          <w:sz w:val="20"/>
          <w:szCs w:val="20"/>
        </w:rPr>
        <w:t>.</w:t>
      </w:r>
    </w:p>
    <w:p w14:paraId="1FE63F81" w14:textId="2E394446" w:rsidR="003B06D5" w:rsidRPr="000A45B8" w:rsidRDefault="003B06D5" w:rsidP="00224D4D">
      <w:pPr>
        <w:pStyle w:val="ListParagraph"/>
        <w:numPr>
          <w:ilvl w:val="1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sz w:val="20"/>
          <w:szCs w:val="20"/>
        </w:rPr>
        <w:t>All 6 are mapped, and I have completed the 3 WT conditions thus far. I will have the Het conditions completed in 7-10 days.</w:t>
      </w:r>
    </w:p>
    <w:p w14:paraId="21250239" w14:textId="2B3183C9" w:rsidR="00834B54" w:rsidRPr="000A45B8" w:rsidRDefault="00834B54" w:rsidP="00224D4D">
      <w:pPr>
        <w:pStyle w:val="ListParagraph"/>
        <w:numPr>
          <w:ilvl w:val="0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sz w:val="20"/>
          <w:szCs w:val="20"/>
        </w:rPr>
        <w:t>This cohort was mapped using the Allen Brain Institute Common Coordinate Framework (Allen CCF) in an ImageJ plugin, ABBA (Aligning Big Brains &amp; Atlases), which provides significantly more adaptability in our image processing than using static maps.</w:t>
      </w:r>
      <w:r w:rsidR="003B06D5" w:rsidRPr="000A45B8">
        <w:rPr>
          <w:sz w:val="20"/>
          <w:szCs w:val="20"/>
        </w:rPr>
        <w:t xml:space="preserve"> </w:t>
      </w:r>
      <w:r w:rsidR="00465A2F">
        <w:rPr>
          <w:sz w:val="20"/>
          <w:szCs w:val="20"/>
        </w:rPr>
        <w:t>New parameters are listed in the data spreadsheet, and e</w:t>
      </w:r>
      <w:r w:rsidR="003B06D5" w:rsidRPr="000A45B8">
        <w:rPr>
          <w:sz w:val="20"/>
          <w:szCs w:val="20"/>
        </w:rPr>
        <w:t>xplanations</w:t>
      </w:r>
      <w:r w:rsidR="00465A2F">
        <w:rPr>
          <w:sz w:val="20"/>
          <w:szCs w:val="20"/>
        </w:rPr>
        <w:t xml:space="preserve"> /</w:t>
      </w:r>
      <w:r w:rsidR="003B06D5" w:rsidRPr="000A45B8">
        <w:rPr>
          <w:sz w:val="20"/>
          <w:szCs w:val="20"/>
        </w:rPr>
        <w:t xml:space="preserve"> details </w:t>
      </w:r>
      <w:r w:rsidR="00465A2F">
        <w:rPr>
          <w:sz w:val="20"/>
          <w:szCs w:val="20"/>
        </w:rPr>
        <w:t xml:space="preserve">for each parameter </w:t>
      </w:r>
      <w:r w:rsidR="003B06D5" w:rsidRPr="000A45B8">
        <w:rPr>
          <w:sz w:val="20"/>
          <w:szCs w:val="20"/>
        </w:rPr>
        <w:t>are provided below:</w:t>
      </w:r>
    </w:p>
    <w:p w14:paraId="0A972E0B" w14:textId="7B7B53DE" w:rsidR="004E5CDD" w:rsidRPr="000A45B8" w:rsidRDefault="004E5CDD" w:rsidP="00224D4D">
      <w:pPr>
        <w:pStyle w:val="ListParagraph"/>
        <w:numPr>
          <w:ilvl w:val="1"/>
          <w:numId w:val="2"/>
        </w:numPr>
        <w:spacing w:before="60" w:after="60"/>
        <w:contextualSpacing w:val="0"/>
        <w:jc w:val="both"/>
        <w:rPr>
          <w:b/>
          <w:bCs/>
          <w:i/>
          <w:iCs/>
          <w:sz w:val="20"/>
          <w:szCs w:val="20"/>
        </w:rPr>
      </w:pPr>
      <w:r w:rsidRPr="000A45B8">
        <w:rPr>
          <w:b/>
          <w:bCs/>
          <w:i/>
          <w:iCs/>
          <w:sz w:val="20"/>
          <w:szCs w:val="20"/>
        </w:rPr>
        <w:t>Rostral-</w:t>
      </w:r>
      <w:r w:rsidR="000A45B8">
        <w:rPr>
          <w:b/>
          <w:bCs/>
          <w:i/>
          <w:iCs/>
          <w:sz w:val="20"/>
          <w:szCs w:val="20"/>
        </w:rPr>
        <w:t>C</w:t>
      </w:r>
      <w:r w:rsidRPr="000A45B8">
        <w:rPr>
          <w:b/>
          <w:bCs/>
          <w:i/>
          <w:iCs/>
          <w:sz w:val="20"/>
          <w:szCs w:val="20"/>
        </w:rPr>
        <w:t xml:space="preserve">audal </w:t>
      </w:r>
      <w:r w:rsidR="000A45B8">
        <w:rPr>
          <w:b/>
          <w:bCs/>
          <w:i/>
          <w:iCs/>
          <w:sz w:val="20"/>
          <w:szCs w:val="20"/>
        </w:rPr>
        <w:t>S</w:t>
      </w:r>
      <w:r w:rsidRPr="000A45B8">
        <w:rPr>
          <w:b/>
          <w:bCs/>
          <w:i/>
          <w:iCs/>
          <w:sz w:val="20"/>
          <w:szCs w:val="20"/>
        </w:rPr>
        <w:t xml:space="preserve">patial </w:t>
      </w:r>
      <w:r w:rsidR="000A45B8">
        <w:rPr>
          <w:b/>
          <w:bCs/>
          <w:i/>
          <w:iCs/>
          <w:sz w:val="20"/>
          <w:szCs w:val="20"/>
        </w:rPr>
        <w:t>L</w:t>
      </w:r>
      <w:r w:rsidRPr="000A45B8">
        <w:rPr>
          <w:b/>
          <w:bCs/>
          <w:i/>
          <w:iCs/>
          <w:sz w:val="20"/>
          <w:szCs w:val="20"/>
        </w:rPr>
        <w:t>ocations</w:t>
      </w:r>
    </w:p>
    <w:p w14:paraId="26ADBE0D" w14:textId="53FEB19D" w:rsidR="004E5CDD" w:rsidRPr="000A45B8" w:rsidRDefault="004E5CDD" w:rsidP="00224D4D">
      <w:pPr>
        <w:pStyle w:val="ListParagraph"/>
        <w:numPr>
          <w:ilvl w:val="2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sz w:val="20"/>
          <w:szCs w:val="20"/>
          <w:u w:val="single"/>
        </w:rPr>
        <w:t>Old Method</w:t>
      </w:r>
      <w:r w:rsidRPr="000A45B8">
        <w:rPr>
          <w:sz w:val="20"/>
          <w:szCs w:val="20"/>
        </w:rPr>
        <w:t xml:space="preserve">: </w:t>
      </w:r>
      <w:r w:rsidR="00834B54" w:rsidRPr="000A45B8">
        <w:rPr>
          <w:sz w:val="20"/>
          <w:szCs w:val="20"/>
        </w:rPr>
        <w:t xml:space="preserve">The location of each tissue section along the rostral-caudal axis were previously identified by “map number.” </w:t>
      </w:r>
    </w:p>
    <w:p w14:paraId="01F18FBF" w14:textId="34D0BA33" w:rsidR="004E5CDD" w:rsidRPr="000A45B8" w:rsidRDefault="004E5CDD" w:rsidP="00224D4D">
      <w:pPr>
        <w:pStyle w:val="ListParagraph"/>
        <w:numPr>
          <w:ilvl w:val="2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sz w:val="20"/>
          <w:szCs w:val="20"/>
          <w:u w:val="single"/>
        </w:rPr>
        <w:t>New Method</w:t>
      </w:r>
      <w:r w:rsidRPr="000A45B8">
        <w:rPr>
          <w:sz w:val="20"/>
          <w:szCs w:val="20"/>
        </w:rPr>
        <w:t xml:space="preserve">: </w:t>
      </w:r>
      <w:r w:rsidR="00834B54" w:rsidRPr="000A45B8">
        <w:rPr>
          <w:sz w:val="20"/>
          <w:szCs w:val="20"/>
        </w:rPr>
        <w:t xml:space="preserve">Using </w:t>
      </w:r>
      <w:r w:rsidRPr="000A45B8">
        <w:rPr>
          <w:sz w:val="20"/>
          <w:szCs w:val="20"/>
        </w:rPr>
        <w:t xml:space="preserve">the </w:t>
      </w:r>
      <w:r w:rsidR="00834B54" w:rsidRPr="000A45B8">
        <w:rPr>
          <w:sz w:val="20"/>
          <w:szCs w:val="20"/>
        </w:rPr>
        <w:t xml:space="preserve">Allen CCF, tissues </w:t>
      </w:r>
      <w:r w:rsidRPr="000A45B8">
        <w:rPr>
          <w:sz w:val="20"/>
          <w:szCs w:val="20"/>
        </w:rPr>
        <w:t>are</w:t>
      </w:r>
      <w:r w:rsidR="00834B54" w:rsidRPr="000A45B8">
        <w:rPr>
          <w:sz w:val="20"/>
          <w:szCs w:val="20"/>
        </w:rPr>
        <w:t xml:space="preserve"> now identified by “z-position”</w:t>
      </w:r>
      <w:r w:rsidRPr="000A45B8">
        <w:rPr>
          <w:sz w:val="20"/>
          <w:szCs w:val="20"/>
        </w:rPr>
        <w:t xml:space="preserve"> along the rostral-caudal axis (unit = mm). </w:t>
      </w:r>
    </w:p>
    <w:p w14:paraId="7D4F45BF" w14:textId="0A11FB5A" w:rsidR="00834B54" w:rsidRPr="000A45B8" w:rsidRDefault="004E5CDD" w:rsidP="00224D4D">
      <w:pPr>
        <w:pStyle w:val="ListParagraph"/>
        <w:numPr>
          <w:ilvl w:val="3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sz w:val="20"/>
          <w:szCs w:val="20"/>
        </w:rPr>
        <w:t xml:space="preserve">The principle is the </w:t>
      </w:r>
      <w:r w:rsidR="00DD24BD" w:rsidRPr="000A45B8">
        <w:rPr>
          <w:sz w:val="20"/>
          <w:szCs w:val="20"/>
        </w:rPr>
        <w:t>same but</w:t>
      </w:r>
      <w:r w:rsidRPr="000A45B8">
        <w:rPr>
          <w:sz w:val="20"/>
          <w:szCs w:val="20"/>
        </w:rPr>
        <w:t xml:space="preserve"> using the Allen CCF in ABBA allows spatial adjustments of each tissue position in 10.0 </w:t>
      </w:r>
      <w:r w:rsidRPr="000A45B8">
        <w:rPr>
          <w:rFonts w:cs="Arial"/>
          <w:sz w:val="20"/>
          <w:szCs w:val="20"/>
        </w:rPr>
        <w:t>µm increments.</w:t>
      </w:r>
    </w:p>
    <w:p w14:paraId="7EFD2A78" w14:textId="0BF8F6DD" w:rsidR="004E5CDD" w:rsidRPr="000A45B8" w:rsidRDefault="004E5CDD" w:rsidP="00224D4D">
      <w:pPr>
        <w:pStyle w:val="ListParagraph"/>
        <w:numPr>
          <w:ilvl w:val="1"/>
          <w:numId w:val="2"/>
        </w:numPr>
        <w:spacing w:before="60" w:after="60"/>
        <w:contextualSpacing w:val="0"/>
        <w:jc w:val="both"/>
        <w:rPr>
          <w:b/>
          <w:bCs/>
          <w:i/>
          <w:iCs/>
          <w:sz w:val="20"/>
          <w:szCs w:val="20"/>
        </w:rPr>
      </w:pPr>
      <w:r w:rsidRPr="000A45B8">
        <w:rPr>
          <w:rFonts w:cs="Arial"/>
          <w:b/>
          <w:bCs/>
          <w:i/>
          <w:iCs/>
          <w:sz w:val="20"/>
          <w:szCs w:val="20"/>
        </w:rPr>
        <w:t>XY Orientation (symmetrical vs. asymmetrical)</w:t>
      </w:r>
    </w:p>
    <w:p w14:paraId="51D5B19A" w14:textId="27CB4EDB" w:rsidR="004E5CDD" w:rsidRPr="000A45B8" w:rsidRDefault="004E5CDD" w:rsidP="00224D4D">
      <w:pPr>
        <w:pStyle w:val="ListParagraph"/>
        <w:numPr>
          <w:ilvl w:val="2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rFonts w:cs="Arial"/>
          <w:sz w:val="20"/>
          <w:szCs w:val="20"/>
          <w:u w:val="single"/>
        </w:rPr>
        <w:t>Old Method</w:t>
      </w:r>
      <w:r w:rsidRPr="000A45B8">
        <w:rPr>
          <w:rFonts w:cs="Arial"/>
          <w:sz w:val="20"/>
          <w:szCs w:val="20"/>
        </w:rPr>
        <w:t>: Images were split by hemisphere and mapped individually to account for asymmetry in tissue sections.</w:t>
      </w:r>
    </w:p>
    <w:p w14:paraId="3D9CE5AD" w14:textId="1F1F9289" w:rsidR="004E5CDD" w:rsidRPr="000A45B8" w:rsidRDefault="004E5CDD" w:rsidP="00224D4D">
      <w:pPr>
        <w:pStyle w:val="ListParagraph"/>
        <w:numPr>
          <w:ilvl w:val="2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rFonts w:cs="Arial"/>
          <w:sz w:val="20"/>
          <w:szCs w:val="20"/>
          <w:u w:val="single"/>
        </w:rPr>
        <w:t>New Method</w:t>
      </w:r>
      <w:r w:rsidRPr="000A45B8">
        <w:rPr>
          <w:rFonts w:cs="Arial"/>
          <w:sz w:val="20"/>
          <w:szCs w:val="20"/>
        </w:rPr>
        <w:t>: ABBA can adjust the Allen CCF automatically in both X- and Y-dimensions, allowing for a full tissue to be appropriately mapped for quantification.</w:t>
      </w:r>
    </w:p>
    <w:p w14:paraId="3838C125" w14:textId="04A5D0F2" w:rsidR="003B06D5" w:rsidRPr="000A45B8" w:rsidRDefault="004E5CDD" w:rsidP="00224D4D">
      <w:pPr>
        <w:pStyle w:val="ListParagraph"/>
        <w:numPr>
          <w:ilvl w:val="3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rFonts w:cs="Arial"/>
          <w:sz w:val="20"/>
          <w:szCs w:val="20"/>
        </w:rPr>
        <w:t xml:space="preserve">Examples of </w:t>
      </w:r>
      <w:r w:rsidR="00FC62ED" w:rsidRPr="000A45B8">
        <w:rPr>
          <w:rFonts w:cs="Arial"/>
          <w:sz w:val="20"/>
          <w:szCs w:val="20"/>
        </w:rPr>
        <w:t>positive and negative rotations in both dimensions</w:t>
      </w:r>
      <w:r w:rsidRPr="000A45B8">
        <w:rPr>
          <w:rFonts w:cs="Arial"/>
          <w:sz w:val="20"/>
          <w:szCs w:val="20"/>
        </w:rPr>
        <w:t xml:space="preserve"> are provided</w:t>
      </w:r>
      <w:r w:rsidR="00465A2F">
        <w:rPr>
          <w:rFonts w:cs="Arial"/>
          <w:sz w:val="20"/>
          <w:szCs w:val="20"/>
        </w:rPr>
        <w:t xml:space="preserve"> in </w:t>
      </w:r>
      <w:r w:rsidR="00465A2F" w:rsidRPr="00465A2F">
        <w:rPr>
          <w:rFonts w:cs="Arial"/>
          <w:b/>
          <w:bCs/>
          <w:sz w:val="20"/>
          <w:szCs w:val="20"/>
        </w:rPr>
        <w:t>Figure 1</w:t>
      </w:r>
      <w:r w:rsidRPr="000A45B8">
        <w:rPr>
          <w:sz w:val="20"/>
          <w:szCs w:val="20"/>
        </w:rPr>
        <w:t>.</w:t>
      </w:r>
    </w:p>
    <w:p w14:paraId="69D6400B" w14:textId="31565355" w:rsidR="003B06D5" w:rsidRPr="000A45B8" w:rsidRDefault="003B06D5" w:rsidP="00224D4D">
      <w:pPr>
        <w:pStyle w:val="ListParagraph"/>
        <w:numPr>
          <w:ilvl w:val="1"/>
          <w:numId w:val="2"/>
        </w:numPr>
        <w:spacing w:before="60" w:after="60"/>
        <w:contextualSpacing w:val="0"/>
        <w:jc w:val="both"/>
        <w:rPr>
          <w:b/>
          <w:bCs/>
          <w:i/>
          <w:iCs/>
          <w:sz w:val="20"/>
          <w:szCs w:val="20"/>
        </w:rPr>
      </w:pPr>
      <w:r w:rsidRPr="000A45B8">
        <w:rPr>
          <w:b/>
          <w:bCs/>
          <w:i/>
          <w:iCs/>
          <w:sz w:val="20"/>
          <w:szCs w:val="20"/>
        </w:rPr>
        <w:t>Subregional Specificity</w:t>
      </w:r>
    </w:p>
    <w:p w14:paraId="57C7AEBB" w14:textId="530104A2" w:rsidR="003B06D5" w:rsidRPr="000A45B8" w:rsidRDefault="003B06D5" w:rsidP="00224D4D">
      <w:pPr>
        <w:pStyle w:val="ListParagraph"/>
        <w:numPr>
          <w:ilvl w:val="2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sz w:val="20"/>
          <w:szCs w:val="20"/>
          <w:u w:val="single"/>
        </w:rPr>
        <w:t>Old Atlas</w:t>
      </w:r>
      <w:r w:rsidRPr="000A45B8">
        <w:rPr>
          <w:sz w:val="20"/>
          <w:szCs w:val="20"/>
        </w:rPr>
        <w:t>: Static maps from the Paxino’s mouse brain atlas show subregions of a specific size which appear and disappear at specific map numbers. Borders were adjusted during ROI creation to omit background.</w:t>
      </w:r>
    </w:p>
    <w:p w14:paraId="691B93A4" w14:textId="4685733B" w:rsidR="003B06D5" w:rsidRPr="000A45B8" w:rsidRDefault="003B06D5" w:rsidP="00224D4D">
      <w:pPr>
        <w:pStyle w:val="ListParagraph"/>
        <w:numPr>
          <w:ilvl w:val="2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sz w:val="20"/>
          <w:szCs w:val="20"/>
          <w:u w:val="single"/>
        </w:rPr>
        <w:t>New Atlas</w:t>
      </w:r>
      <w:r w:rsidRPr="000A45B8">
        <w:rPr>
          <w:sz w:val="20"/>
          <w:szCs w:val="20"/>
        </w:rPr>
        <w:t>: ABBA adjust the atlas with extremely high specificity to each tissue section. Depending on tissue orientation / location, subregions can (</w:t>
      </w:r>
      <w:r w:rsidRPr="000A45B8">
        <w:rPr>
          <w:b/>
          <w:bCs/>
          <w:i/>
          <w:iCs/>
          <w:sz w:val="20"/>
          <w:szCs w:val="20"/>
        </w:rPr>
        <w:t>a</w:t>
      </w:r>
      <w:r w:rsidRPr="000A45B8">
        <w:rPr>
          <w:sz w:val="20"/>
          <w:szCs w:val="20"/>
        </w:rPr>
        <w:t>.) be quite small (smallest area of 3 completed conditions so far was 0.0005 mm</w:t>
      </w:r>
      <w:r w:rsidRPr="000A45B8">
        <w:rPr>
          <w:sz w:val="20"/>
          <w:szCs w:val="20"/>
          <w:vertAlign w:val="superscript"/>
        </w:rPr>
        <w:t>2</w:t>
      </w:r>
      <w:r w:rsidRPr="000A45B8">
        <w:rPr>
          <w:sz w:val="20"/>
          <w:szCs w:val="20"/>
        </w:rPr>
        <w:t>), and (</w:t>
      </w:r>
      <w:r w:rsidRPr="000A45B8">
        <w:rPr>
          <w:b/>
          <w:bCs/>
          <w:i/>
          <w:iCs/>
          <w:sz w:val="20"/>
          <w:szCs w:val="20"/>
        </w:rPr>
        <w:t>b</w:t>
      </w:r>
      <w:r w:rsidRPr="000A45B8">
        <w:rPr>
          <w:sz w:val="20"/>
          <w:szCs w:val="20"/>
        </w:rPr>
        <w:t>.) vary between left and right hemispheres.</w:t>
      </w:r>
    </w:p>
    <w:p w14:paraId="08A289F6" w14:textId="37F9D29A" w:rsidR="008068BE" w:rsidRPr="000A45B8" w:rsidRDefault="008068BE" w:rsidP="00224D4D">
      <w:pPr>
        <w:pStyle w:val="ListParagraph"/>
        <w:numPr>
          <w:ilvl w:val="0"/>
          <w:numId w:val="2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sz w:val="20"/>
          <w:szCs w:val="20"/>
        </w:rPr>
        <w:t xml:space="preserve">I have lumped most of the visual cortex subregions into a single region (VIS) and all auditory subregions into a single region (AUD). </w:t>
      </w:r>
    </w:p>
    <w:p w14:paraId="1D4CC05F" w14:textId="77777777" w:rsidR="00834B54" w:rsidRPr="000A45B8" w:rsidRDefault="00834B54" w:rsidP="00224D4D">
      <w:pPr>
        <w:spacing w:before="60" w:after="60"/>
        <w:jc w:val="both"/>
        <w:rPr>
          <w:b/>
          <w:bCs/>
          <w:sz w:val="20"/>
          <w:szCs w:val="20"/>
          <w:u w:val="single"/>
        </w:rPr>
      </w:pPr>
    </w:p>
    <w:p w14:paraId="23B4DD5E" w14:textId="479AEB96" w:rsidR="005A3895" w:rsidRPr="000A45B8" w:rsidRDefault="005A3895" w:rsidP="00224D4D">
      <w:pPr>
        <w:spacing w:before="60" w:after="60"/>
        <w:jc w:val="both"/>
        <w:rPr>
          <w:b/>
          <w:bCs/>
          <w:sz w:val="20"/>
          <w:szCs w:val="20"/>
          <w:u w:val="single"/>
        </w:rPr>
      </w:pPr>
      <w:r w:rsidRPr="000A45B8">
        <w:rPr>
          <w:b/>
          <w:bCs/>
          <w:sz w:val="20"/>
          <w:szCs w:val="20"/>
          <w:u w:val="single"/>
        </w:rPr>
        <w:t>Conditions (n = 6)</w:t>
      </w:r>
    </w:p>
    <w:p w14:paraId="619A1D74" w14:textId="77777777" w:rsidR="000A45B8" w:rsidRDefault="000A45B8" w:rsidP="00224D4D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b/>
          <w:bCs/>
          <w:sz w:val="20"/>
          <w:szCs w:val="20"/>
        </w:rPr>
        <w:sectPr w:rsidR="000A45B8" w:rsidSect="005A3895">
          <w:headerReference w:type="default" r:id="rId7"/>
          <w:footerReference w:type="default" r:id="rId8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4EA860E0" w14:textId="659B14E1" w:rsidR="005A3895" w:rsidRPr="000A45B8" w:rsidRDefault="005A3895" w:rsidP="00224D4D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NW</w:t>
      </w:r>
      <w:r w:rsidRPr="000A45B8">
        <w:rPr>
          <w:sz w:val="20"/>
          <w:szCs w:val="20"/>
        </w:rPr>
        <w:t>: Naïve WT</w:t>
      </w:r>
      <w:r w:rsidR="00EF3CD1" w:rsidRPr="000A45B8">
        <w:rPr>
          <w:sz w:val="20"/>
          <w:szCs w:val="20"/>
        </w:rPr>
        <w:t>, no surrogate experience</w:t>
      </w:r>
    </w:p>
    <w:p w14:paraId="42343FA0" w14:textId="4E72D755" w:rsidR="005A3895" w:rsidRPr="000A45B8" w:rsidRDefault="005A3895" w:rsidP="00224D4D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SW P0-P1</w:t>
      </w:r>
      <w:r w:rsidRPr="000A45B8">
        <w:rPr>
          <w:sz w:val="20"/>
          <w:szCs w:val="20"/>
        </w:rPr>
        <w:t>: Surrogate WT with 2 consecutive days of experience</w:t>
      </w:r>
    </w:p>
    <w:p w14:paraId="616EF0B8" w14:textId="0443C10A" w:rsidR="005A3895" w:rsidRPr="000A45B8" w:rsidRDefault="005A3895" w:rsidP="00224D4D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SW P0-P5</w:t>
      </w:r>
      <w:r w:rsidRPr="000A45B8">
        <w:rPr>
          <w:sz w:val="20"/>
          <w:szCs w:val="20"/>
        </w:rPr>
        <w:t xml:space="preserve">: Surrogate WT with 6 </w:t>
      </w:r>
      <w:r w:rsidRPr="000A45B8">
        <w:rPr>
          <w:sz w:val="20"/>
          <w:szCs w:val="20"/>
        </w:rPr>
        <w:t>consecutive days of experienc</w:t>
      </w:r>
      <w:r w:rsidR="003B06D5" w:rsidRPr="000A45B8">
        <w:rPr>
          <w:sz w:val="20"/>
          <w:szCs w:val="20"/>
        </w:rPr>
        <w:t>e</w:t>
      </w:r>
    </w:p>
    <w:p w14:paraId="443E7E79" w14:textId="0F57F432" w:rsidR="005A3895" w:rsidRPr="000A45B8" w:rsidRDefault="005A3895" w:rsidP="00224D4D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N</w:t>
      </w:r>
      <w:r w:rsidRPr="000A45B8">
        <w:rPr>
          <w:b/>
          <w:bCs/>
          <w:sz w:val="20"/>
          <w:szCs w:val="20"/>
        </w:rPr>
        <w:t>H</w:t>
      </w:r>
      <w:r w:rsidRPr="000A45B8">
        <w:rPr>
          <w:sz w:val="20"/>
          <w:szCs w:val="20"/>
        </w:rPr>
        <w:t xml:space="preserve">: Naïve </w:t>
      </w:r>
      <w:r w:rsidRPr="000A45B8">
        <w:rPr>
          <w:sz w:val="20"/>
          <w:szCs w:val="20"/>
        </w:rPr>
        <w:t>Het</w:t>
      </w:r>
      <w:r w:rsidR="00EF3CD1" w:rsidRPr="000A45B8">
        <w:rPr>
          <w:sz w:val="20"/>
          <w:szCs w:val="20"/>
        </w:rPr>
        <w:t>, no surrogate experience</w:t>
      </w:r>
    </w:p>
    <w:p w14:paraId="2C86BBF4" w14:textId="07F3D427" w:rsidR="005A3895" w:rsidRPr="000A45B8" w:rsidRDefault="005A3895" w:rsidP="00224D4D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S</w:t>
      </w:r>
      <w:r w:rsidRPr="000A45B8">
        <w:rPr>
          <w:b/>
          <w:bCs/>
          <w:sz w:val="20"/>
          <w:szCs w:val="20"/>
        </w:rPr>
        <w:t>H</w:t>
      </w:r>
      <w:r w:rsidRPr="000A45B8">
        <w:rPr>
          <w:b/>
          <w:bCs/>
          <w:sz w:val="20"/>
          <w:szCs w:val="20"/>
        </w:rPr>
        <w:t xml:space="preserve"> P0-P1</w:t>
      </w:r>
      <w:r w:rsidRPr="000A45B8">
        <w:rPr>
          <w:sz w:val="20"/>
          <w:szCs w:val="20"/>
        </w:rPr>
        <w:t xml:space="preserve">: Surrogate </w:t>
      </w:r>
      <w:r w:rsidRPr="000A45B8">
        <w:rPr>
          <w:sz w:val="20"/>
          <w:szCs w:val="20"/>
        </w:rPr>
        <w:t>Het</w:t>
      </w:r>
      <w:r w:rsidRPr="000A45B8">
        <w:rPr>
          <w:sz w:val="20"/>
          <w:szCs w:val="20"/>
        </w:rPr>
        <w:t xml:space="preserve"> with 2 consecutive days of experience</w:t>
      </w:r>
    </w:p>
    <w:p w14:paraId="47E54ADE" w14:textId="2380BEAD" w:rsidR="005A3895" w:rsidRPr="000A45B8" w:rsidRDefault="005A3895" w:rsidP="00224D4D">
      <w:pPr>
        <w:pStyle w:val="ListParagraph"/>
        <w:numPr>
          <w:ilvl w:val="0"/>
          <w:numId w:val="1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S</w:t>
      </w:r>
      <w:r w:rsidRPr="000A45B8">
        <w:rPr>
          <w:b/>
          <w:bCs/>
          <w:sz w:val="20"/>
          <w:szCs w:val="20"/>
        </w:rPr>
        <w:t>H</w:t>
      </w:r>
      <w:r w:rsidRPr="000A45B8">
        <w:rPr>
          <w:b/>
          <w:bCs/>
          <w:sz w:val="20"/>
          <w:szCs w:val="20"/>
        </w:rPr>
        <w:t xml:space="preserve"> P0-P5</w:t>
      </w:r>
      <w:r w:rsidRPr="000A45B8">
        <w:rPr>
          <w:sz w:val="20"/>
          <w:szCs w:val="20"/>
        </w:rPr>
        <w:t xml:space="preserve">: Surrogate </w:t>
      </w:r>
      <w:r w:rsidRPr="000A45B8">
        <w:rPr>
          <w:sz w:val="20"/>
          <w:szCs w:val="20"/>
        </w:rPr>
        <w:t>Het</w:t>
      </w:r>
      <w:r w:rsidRPr="000A45B8">
        <w:rPr>
          <w:sz w:val="20"/>
          <w:szCs w:val="20"/>
        </w:rPr>
        <w:t xml:space="preserve"> with 6 consecutive days of experience</w:t>
      </w:r>
    </w:p>
    <w:p w14:paraId="7068D696" w14:textId="77777777" w:rsidR="000A45B8" w:rsidRDefault="000A45B8" w:rsidP="00224D4D">
      <w:pPr>
        <w:spacing w:before="60" w:after="60"/>
        <w:jc w:val="both"/>
        <w:rPr>
          <w:sz w:val="20"/>
          <w:szCs w:val="20"/>
        </w:rPr>
        <w:sectPr w:rsidR="000A45B8" w:rsidSect="000A45B8">
          <w:type w:val="continuous"/>
          <w:pgSz w:w="12240" w:h="15840"/>
          <w:pgMar w:top="1440" w:right="720" w:bottom="1440" w:left="720" w:header="720" w:footer="720" w:gutter="0"/>
          <w:cols w:num="2" w:space="720"/>
          <w:docGrid w:linePitch="360"/>
        </w:sectPr>
      </w:pPr>
    </w:p>
    <w:p w14:paraId="1D1FC62C" w14:textId="1D9FB7FF" w:rsidR="003B06D5" w:rsidRPr="000A45B8" w:rsidRDefault="003B06D5" w:rsidP="00224D4D">
      <w:pPr>
        <w:spacing w:before="60" w:after="60"/>
        <w:jc w:val="both"/>
        <w:rPr>
          <w:sz w:val="20"/>
          <w:szCs w:val="20"/>
        </w:rPr>
      </w:pPr>
    </w:p>
    <w:p w14:paraId="718E1F7C" w14:textId="77777777" w:rsidR="000A45B8" w:rsidRDefault="000A45B8" w:rsidP="00224D4D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13628389" w14:textId="7B1BB8D1" w:rsidR="003B06D5" w:rsidRPr="000A45B8" w:rsidRDefault="003B06D5" w:rsidP="00224D4D">
      <w:pPr>
        <w:spacing w:before="60" w:after="60"/>
        <w:jc w:val="both"/>
        <w:rPr>
          <w:b/>
          <w:bCs/>
          <w:sz w:val="20"/>
          <w:szCs w:val="20"/>
          <w:u w:val="single"/>
        </w:rPr>
      </w:pPr>
      <w:r w:rsidRPr="000A45B8">
        <w:rPr>
          <w:b/>
          <w:bCs/>
          <w:sz w:val="20"/>
          <w:szCs w:val="20"/>
          <w:u w:val="single"/>
        </w:rPr>
        <w:lastRenderedPageBreak/>
        <w:t>Subregions</w:t>
      </w:r>
      <w:r w:rsidR="00CC0A2F" w:rsidRPr="000A45B8">
        <w:rPr>
          <w:b/>
          <w:bCs/>
          <w:sz w:val="20"/>
          <w:szCs w:val="20"/>
          <w:u w:val="single"/>
        </w:rPr>
        <w:t xml:space="preserve"> for Comparison</w:t>
      </w:r>
      <w:r w:rsidR="008068BE" w:rsidRPr="000A45B8">
        <w:rPr>
          <w:b/>
          <w:bCs/>
          <w:sz w:val="20"/>
          <w:szCs w:val="20"/>
          <w:u w:val="single"/>
        </w:rPr>
        <w:t xml:space="preserve"> (n = 23)</w:t>
      </w:r>
    </w:p>
    <w:p w14:paraId="745AD819" w14:textId="77777777" w:rsidR="000A45B8" w:rsidRDefault="000A45B8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  <w:sectPr w:rsidR="000A45B8" w:rsidSect="000A45B8">
          <w:type w:val="continuous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56881ABD" w14:textId="5A43C2D0" w:rsidR="003B06D5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ACAd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>Anterior Cingulate Area – Dorsal Part</w:t>
      </w:r>
      <w:r w:rsidRPr="000A45B8">
        <w:rPr>
          <w:sz w:val="20"/>
          <w:szCs w:val="20"/>
        </w:rPr>
        <w:t>)</w:t>
      </w:r>
    </w:p>
    <w:p w14:paraId="434C35CB" w14:textId="3092E6E4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ACAv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 xml:space="preserve">Anterior Cingulate Area – </w:t>
      </w:r>
      <w:r w:rsidR="00DD24BD" w:rsidRPr="000A45B8">
        <w:rPr>
          <w:sz w:val="20"/>
          <w:szCs w:val="20"/>
        </w:rPr>
        <w:t>Ventral</w:t>
      </w:r>
      <w:r w:rsidR="00DD24BD" w:rsidRPr="000A45B8">
        <w:rPr>
          <w:sz w:val="20"/>
          <w:szCs w:val="20"/>
        </w:rPr>
        <w:t xml:space="preserve"> Part</w:t>
      </w:r>
      <w:r w:rsidRPr="000A45B8">
        <w:rPr>
          <w:sz w:val="20"/>
          <w:szCs w:val="20"/>
        </w:rPr>
        <w:t>)</w:t>
      </w:r>
    </w:p>
    <w:p w14:paraId="493BED2D" w14:textId="27BCEA6B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AUD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>Auditory Cortex</w:t>
      </w:r>
      <w:r w:rsidRPr="000A45B8">
        <w:rPr>
          <w:sz w:val="20"/>
          <w:szCs w:val="20"/>
        </w:rPr>
        <w:t>)</w:t>
      </w:r>
    </w:p>
    <w:p w14:paraId="510AB981" w14:textId="3C1D8B03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GU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>Gustatory Area</w:t>
      </w:r>
      <w:r w:rsidRPr="000A45B8">
        <w:rPr>
          <w:sz w:val="20"/>
          <w:szCs w:val="20"/>
        </w:rPr>
        <w:t>)</w:t>
      </w:r>
    </w:p>
    <w:p w14:paraId="61BDF705" w14:textId="44102DAE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MOp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>Primary Motor Area</w:t>
      </w:r>
      <w:r w:rsidRPr="000A45B8">
        <w:rPr>
          <w:sz w:val="20"/>
          <w:szCs w:val="20"/>
        </w:rPr>
        <w:t>)</w:t>
      </w:r>
    </w:p>
    <w:p w14:paraId="5E7172CE" w14:textId="00376F09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 xml:space="preserve">MOs </w:t>
      </w:r>
      <w:r w:rsidRPr="000A45B8">
        <w:rPr>
          <w:sz w:val="20"/>
          <w:szCs w:val="20"/>
        </w:rPr>
        <w:t>(</w:t>
      </w:r>
      <w:r w:rsidR="00DD24BD" w:rsidRPr="000A45B8">
        <w:rPr>
          <w:sz w:val="20"/>
          <w:szCs w:val="20"/>
        </w:rPr>
        <w:t>Secondary Motor Area</w:t>
      </w:r>
      <w:r w:rsidRPr="000A45B8">
        <w:rPr>
          <w:sz w:val="20"/>
          <w:szCs w:val="20"/>
        </w:rPr>
        <w:t>)</w:t>
      </w:r>
    </w:p>
    <w:p w14:paraId="79472F4C" w14:textId="323BEB09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RSPagl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>Retrosplenial Area – Agranular Part</w:t>
      </w:r>
      <w:r w:rsidRPr="000A45B8">
        <w:rPr>
          <w:sz w:val="20"/>
          <w:szCs w:val="20"/>
        </w:rPr>
        <w:t>)</w:t>
      </w:r>
    </w:p>
    <w:p w14:paraId="5ABA20B7" w14:textId="3D9993C7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RSPd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>Retrosplenial</w:t>
      </w:r>
      <w:r w:rsidR="00DD24BD" w:rsidRPr="000A45B8">
        <w:rPr>
          <w:sz w:val="20"/>
          <w:szCs w:val="20"/>
        </w:rPr>
        <w:t xml:space="preserve"> Area – Dorsal Part</w:t>
      </w:r>
      <w:r w:rsidRPr="000A45B8">
        <w:rPr>
          <w:sz w:val="20"/>
          <w:szCs w:val="20"/>
        </w:rPr>
        <w:t>)</w:t>
      </w:r>
    </w:p>
    <w:p w14:paraId="0E51104F" w14:textId="3E32F5E5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RSPv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>Retrosplenial Area – Dorsal Part</w:t>
      </w:r>
      <w:r w:rsidRPr="000A45B8">
        <w:rPr>
          <w:sz w:val="20"/>
          <w:szCs w:val="20"/>
        </w:rPr>
        <w:t>)</w:t>
      </w:r>
    </w:p>
    <w:p w14:paraId="40E1FE3F" w14:textId="542226BF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SSp-bfd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 xml:space="preserve">Primary Somatosensory Cortex – </w:t>
      </w:r>
      <w:r w:rsidR="00DD24BD" w:rsidRPr="000A45B8">
        <w:rPr>
          <w:sz w:val="20"/>
          <w:szCs w:val="20"/>
        </w:rPr>
        <w:t>Barrel Field</w:t>
      </w:r>
      <w:r w:rsidR="00DD24BD" w:rsidRPr="000A45B8">
        <w:rPr>
          <w:sz w:val="20"/>
          <w:szCs w:val="20"/>
        </w:rPr>
        <w:t xml:space="preserve"> Subregion</w:t>
      </w:r>
      <w:r w:rsidRPr="000A45B8">
        <w:rPr>
          <w:sz w:val="20"/>
          <w:szCs w:val="20"/>
        </w:rPr>
        <w:t>)</w:t>
      </w:r>
    </w:p>
    <w:p w14:paraId="393C4E7A" w14:textId="6A4474B3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SSp-ll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 xml:space="preserve">Primary Somatosensory Cortex – </w:t>
      </w:r>
      <w:r w:rsidR="00DD24BD" w:rsidRPr="000A45B8">
        <w:rPr>
          <w:sz w:val="20"/>
          <w:szCs w:val="20"/>
        </w:rPr>
        <w:t>Lower Limb</w:t>
      </w:r>
      <w:r w:rsidR="00DD24BD" w:rsidRPr="000A45B8">
        <w:rPr>
          <w:sz w:val="20"/>
          <w:szCs w:val="20"/>
        </w:rPr>
        <w:t xml:space="preserve"> Subregion</w:t>
      </w:r>
      <w:r w:rsidRPr="000A45B8">
        <w:rPr>
          <w:sz w:val="20"/>
          <w:szCs w:val="20"/>
        </w:rPr>
        <w:t>)</w:t>
      </w:r>
    </w:p>
    <w:p w14:paraId="4D98BDBE" w14:textId="1D00662F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SSp-m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 xml:space="preserve">Primary Somatosensory Cortex – </w:t>
      </w:r>
      <w:r w:rsidR="00DD24BD" w:rsidRPr="000A45B8">
        <w:rPr>
          <w:sz w:val="20"/>
          <w:szCs w:val="20"/>
        </w:rPr>
        <w:t>Mouth</w:t>
      </w:r>
      <w:r w:rsidR="00DD24BD" w:rsidRPr="000A45B8">
        <w:rPr>
          <w:sz w:val="20"/>
          <w:szCs w:val="20"/>
        </w:rPr>
        <w:t xml:space="preserve"> Subregion</w:t>
      </w:r>
      <w:r w:rsidRPr="000A45B8">
        <w:rPr>
          <w:sz w:val="20"/>
          <w:szCs w:val="20"/>
        </w:rPr>
        <w:t>)</w:t>
      </w:r>
    </w:p>
    <w:p w14:paraId="487CFFD9" w14:textId="1752B640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SSp-n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>Primary Somatosensory Cortex</w:t>
      </w:r>
      <w:r w:rsidR="00DD24BD" w:rsidRPr="000A45B8">
        <w:rPr>
          <w:sz w:val="20"/>
          <w:szCs w:val="20"/>
        </w:rPr>
        <w:t xml:space="preserve"> – Nose Subregion</w:t>
      </w:r>
      <w:r w:rsidRPr="000A45B8">
        <w:rPr>
          <w:sz w:val="20"/>
          <w:szCs w:val="20"/>
        </w:rPr>
        <w:t>)</w:t>
      </w:r>
    </w:p>
    <w:p w14:paraId="4D8BCAD4" w14:textId="1B06F97D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SSp-tr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 xml:space="preserve">Primary Somatosensory Cortex – </w:t>
      </w:r>
      <w:r w:rsidR="00DD24BD" w:rsidRPr="000A45B8">
        <w:rPr>
          <w:sz w:val="20"/>
          <w:szCs w:val="20"/>
        </w:rPr>
        <w:t>Trunk</w:t>
      </w:r>
      <w:r w:rsidR="00DD24BD" w:rsidRPr="000A45B8">
        <w:rPr>
          <w:sz w:val="20"/>
          <w:szCs w:val="20"/>
        </w:rPr>
        <w:t xml:space="preserve"> Subregion</w:t>
      </w:r>
      <w:r w:rsidRPr="000A45B8">
        <w:rPr>
          <w:sz w:val="20"/>
          <w:szCs w:val="20"/>
        </w:rPr>
        <w:t>)</w:t>
      </w:r>
    </w:p>
    <w:p w14:paraId="0533A26D" w14:textId="6A301954" w:rsidR="00CC0A2F" w:rsidRPr="000A45B8" w:rsidRDefault="00CC0A2F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SSp-ul</w:t>
      </w:r>
      <w:r w:rsidRPr="000A45B8">
        <w:rPr>
          <w:sz w:val="20"/>
          <w:szCs w:val="20"/>
        </w:rPr>
        <w:t xml:space="preserve"> (</w:t>
      </w:r>
      <w:r w:rsidR="00DD24BD" w:rsidRPr="000A45B8">
        <w:rPr>
          <w:sz w:val="20"/>
          <w:szCs w:val="20"/>
        </w:rPr>
        <w:t xml:space="preserve">Primary Somatosensory Cortex – </w:t>
      </w:r>
      <w:r w:rsidR="00DD24BD" w:rsidRPr="000A45B8">
        <w:rPr>
          <w:sz w:val="20"/>
          <w:szCs w:val="20"/>
        </w:rPr>
        <w:t>Upper Limb</w:t>
      </w:r>
      <w:r w:rsidR="00DD24BD" w:rsidRPr="000A45B8">
        <w:rPr>
          <w:sz w:val="20"/>
          <w:szCs w:val="20"/>
        </w:rPr>
        <w:t xml:space="preserve"> Subregion</w:t>
      </w:r>
      <w:r w:rsidRPr="000A45B8">
        <w:rPr>
          <w:sz w:val="20"/>
          <w:szCs w:val="20"/>
        </w:rPr>
        <w:t>)</w:t>
      </w:r>
    </w:p>
    <w:p w14:paraId="30485C31" w14:textId="28A1980B" w:rsidR="00CC0A2F" w:rsidRPr="000A45B8" w:rsidRDefault="00DD24BD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SSp-un</w:t>
      </w:r>
      <w:r w:rsidRPr="000A45B8">
        <w:rPr>
          <w:sz w:val="20"/>
          <w:szCs w:val="20"/>
        </w:rPr>
        <w:t xml:space="preserve"> (</w:t>
      </w:r>
      <w:r w:rsidRPr="000A45B8">
        <w:rPr>
          <w:sz w:val="20"/>
          <w:szCs w:val="20"/>
        </w:rPr>
        <w:t xml:space="preserve">Primary Somatosensory Cortex – </w:t>
      </w:r>
      <w:r w:rsidRPr="000A45B8">
        <w:rPr>
          <w:sz w:val="20"/>
          <w:szCs w:val="20"/>
        </w:rPr>
        <w:t>Undefined</w:t>
      </w:r>
      <w:r w:rsidRPr="000A45B8">
        <w:rPr>
          <w:sz w:val="20"/>
          <w:szCs w:val="20"/>
        </w:rPr>
        <w:t xml:space="preserve"> Subregion</w:t>
      </w:r>
      <w:r w:rsidRPr="000A45B8">
        <w:rPr>
          <w:sz w:val="20"/>
          <w:szCs w:val="20"/>
        </w:rPr>
        <w:t>)</w:t>
      </w:r>
    </w:p>
    <w:p w14:paraId="114401D6" w14:textId="1FB8EA9D" w:rsidR="00DD24BD" w:rsidRPr="000A45B8" w:rsidRDefault="00DD24BD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sz w:val="20"/>
          <w:szCs w:val="20"/>
        </w:rPr>
        <w:t>SSs (Secondary</w:t>
      </w:r>
      <w:r w:rsidRPr="000A45B8">
        <w:rPr>
          <w:sz w:val="20"/>
          <w:szCs w:val="20"/>
        </w:rPr>
        <w:t xml:space="preserve"> Somatosensory Cortex</w:t>
      </w:r>
      <w:r w:rsidRPr="000A45B8">
        <w:rPr>
          <w:sz w:val="20"/>
          <w:szCs w:val="20"/>
        </w:rPr>
        <w:t>)</w:t>
      </w:r>
    </w:p>
    <w:p w14:paraId="09E8D751" w14:textId="04AFBE67" w:rsidR="00DD24BD" w:rsidRPr="000A45B8" w:rsidRDefault="00DD24BD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TEa</w:t>
      </w:r>
      <w:r w:rsidRPr="000A45B8">
        <w:rPr>
          <w:sz w:val="20"/>
          <w:szCs w:val="20"/>
        </w:rPr>
        <w:t xml:space="preserve"> (Temporal Association Area)</w:t>
      </w:r>
    </w:p>
    <w:p w14:paraId="44D1F4D7" w14:textId="1FB2A79E" w:rsidR="00DD24BD" w:rsidRPr="000A45B8" w:rsidRDefault="00DD24BD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VIS</w:t>
      </w:r>
      <w:r w:rsidRPr="000A45B8">
        <w:rPr>
          <w:sz w:val="20"/>
          <w:szCs w:val="20"/>
        </w:rPr>
        <w:t xml:space="preserve"> (Visual Cortex</w:t>
      </w:r>
      <w:r w:rsidR="003E60CF" w:rsidRPr="000A45B8">
        <w:rPr>
          <w:sz w:val="20"/>
          <w:szCs w:val="20"/>
        </w:rPr>
        <w:t xml:space="preserve"> – All Areas</w:t>
      </w:r>
      <w:r w:rsidRPr="000A45B8">
        <w:rPr>
          <w:sz w:val="20"/>
          <w:szCs w:val="20"/>
        </w:rPr>
        <w:t>)</w:t>
      </w:r>
    </w:p>
    <w:p w14:paraId="28201D9D" w14:textId="24707CBA" w:rsidR="00DD24BD" w:rsidRPr="000A45B8" w:rsidRDefault="00DD24BD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VISa</w:t>
      </w:r>
      <w:r w:rsidRPr="000A45B8">
        <w:rPr>
          <w:sz w:val="20"/>
          <w:szCs w:val="20"/>
        </w:rPr>
        <w:t xml:space="preserve"> (</w:t>
      </w:r>
      <w:r w:rsidR="003E60CF" w:rsidRPr="000A45B8">
        <w:rPr>
          <w:sz w:val="20"/>
          <w:szCs w:val="20"/>
        </w:rPr>
        <w:t xml:space="preserve">Visual Cortex – </w:t>
      </w:r>
      <w:r w:rsidR="003E60CF" w:rsidRPr="000A45B8">
        <w:rPr>
          <w:sz w:val="20"/>
          <w:szCs w:val="20"/>
        </w:rPr>
        <w:t>Anterior</w:t>
      </w:r>
      <w:r w:rsidR="003E60CF" w:rsidRPr="000A45B8">
        <w:rPr>
          <w:sz w:val="20"/>
          <w:szCs w:val="20"/>
        </w:rPr>
        <w:t xml:space="preserve"> Area</w:t>
      </w:r>
      <w:r w:rsidRPr="000A45B8">
        <w:rPr>
          <w:sz w:val="20"/>
          <w:szCs w:val="20"/>
        </w:rPr>
        <w:t>)</w:t>
      </w:r>
    </w:p>
    <w:p w14:paraId="7B7DDCCA" w14:textId="4215CB24" w:rsidR="00DD24BD" w:rsidRPr="000A45B8" w:rsidRDefault="00DD24BD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 xml:space="preserve">VISC </w:t>
      </w:r>
      <w:r w:rsidRPr="000A45B8">
        <w:rPr>
          <w:sz w:val="20"/>
          <w:szCs w:val="20"/>
        </w:rPr>
        <w:t>(Visceral Area)</w:t>
      </w:r>
    </w:p>
    <w:p w14:paraId="2A68CB01" w14:textId="597B38AB" w:rsidR="00DD24BD" w:rsidRPr="000A45B8" w:rsidRDefault="00DD24BD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>VISp</w:t>
      </w:r>
      <w:r w:rsidRPr="000A45B8">
        <w:rPr>
          <w:sz w:val="20"/>
          <w:szCs w:val="20"/>
        </w:rPr>
        <w:t xml:space="preserve"> (</w:t>
      </w:r>
      <w:r w:rsidR="003E60CF" w:rsidRPr="000A45B8">
        <w:rPr>
          <w:sz w:val="20"/>
          <w:szCs w:val="20"/>
        </w:rPr>
        <w:t>Primary Visual Cortex</w:t>
      </w:r>
      <w:r w:rsidRPr="000A45B8">
        <w:rPr>
          <w:sz w:val="20"/>
          <w:szCs w:val="20"/>
        </w:rPr>
        <w:t>)</w:t>
      </w:r>
    </w:p>
    <w:p w14:paraId="49F1CC55" w14:textId="46D2935D" w:rsidR="00DD24BD" w:rsidRPr="000A45B8" w:rsidRDefault="00DD24BD" w:rsidP="00224D4D">
      <w:pPr>
        <w:pStyle w:val="ListParagraph"/>
        <w:numPr>
          <w:ilvl w:val="0"/>
          <w:numId w:val="3"/>
        </w:numPr>
        <w:spacing w:before="60" w:after="60"/>
        <w:contextualSpacing w:val="0"/>
        <w:jc w:val="both"/>
        <w:rPr>
          <w:sz w:val="20"/>
          <w:szCs w:val="20"/>
        </w:rPr>
      </w:pPr>
      <w:r w:rsidRPr="000A45B8">
        <w:rPr>
          <w:b/>
          <w:bCs/>
          <w:sz w:val="20"/>
          <w:szCs w:val="20"/>
        </w:rPr>
        <w:t xml:space="preserve">VISrl </w:t>
      </w:r>
      <w:r w:rsidRPr="000A45B8">
        <w:rPr>
          <w:sz w:val="20"/>
          <w:szCs w:val="20"/>
        </w:rPr>
        <w:t>(</w:t>
      </w:r>
      <w:r w:rsidR="003E60CF" w:rsidRPr="000A45B8">
        <w:rPr>
          <w:sz w:val="20"/>
          <w:szCs w:val="20"/>
        </w:rPr>
        <w:t>Visual Cortex – Rostrolateral Area</w:t>
      </w:r>
      <w:r w:rsidRPr="000A45B8">
        <w:rPr>
          <w:sz w:val="20"/>
          <w:szCs w:val="20"/>
        </w:rPr>
        <w:t>)</w:t>
      </w:r>
    </w:p>
    <w:p w14:paraId="5C212141" w14:textId="77777777" w:rsidR="000A45B8" w:rsidRDefault="000A45B8" w:rsidP="00224D4D">
      <w:pPr>
        <w:spacing w:before="60" w:after="60"/>
        <w:jc w:val="both"/>
        <w:rPr>
          <w:sz w:val="20"/>
          <w:szCs w:val="20"/>
        </w:rPr>
        <w:sectPr w:rsidR="000A45B8" w:rsidSect="000A45B8">
          <w:type w:val="continuous"/>
          <w:pgSz w:w="12240" w:h="15840"/>
          <w:pgMar w:top="1440" w:right="720" w:bottom="1440" w:left="720" w:header="720" w:footer="720" w:gutter="0"/>
          <w:cols w:num="2" w:space="720"/>
          <w:docGrid w:linePitch="360"/>
        </w:sectPr>
      </w:pPr>
    </w:p>
    <w:p w14:paraId="421895FA" w14:textId="74BFCC62" w:rsidR="005A3895" w:rsidRPr="000A45B8" w:rsidRDefault="005A3895" w:rsidP="00224D4D">
      <w:pPr>
        <w:spacing w:before="60" w:after="60"/>
        <w:jc w:val="both"/>
        <w:rPr>
          <w:sz w:val="20"/>
          <w:szCs w:val="20"/>
        </w:rPr>
      </w:pPr>
    </w:p>
    <w:p w14:paraId="7D10B339" w14:textId="04B89A01" w:rsidR="00834B54" w:rsidRPr="000A45B8" w:rsidRDefault="00834B54" w:rsidP="00224D4D">
      <w:pPr>
        <w:spacing w:before="60" w:after="60"/>
        <w:jc w:val="both"/>
        <w:rPr>
          <w:sz w:val="20"/>
          <w:szCs w:val="20"/>
        </w:rPr>
      </w:pPr>
    </w:p>
    <w:p w14:paraId="38F8DB6D" w14:textId="0138DA0A" w:rsidR="00834B54" w:rsidRPr="000A45B8" w:rsidRDefault="00465A2F" w:rsidP="00224D4D">
      <w:pPr>
        <w:spacing w:before="60" w:after="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D115F43" wp14:editId="79E4FF3F">
            <wp:extent cx="4914900" cy="3948488"/>
            <wp:effectExtent l="19050" t="19050" r="19050" b="139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26221" cy="3957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95CF1" w14:textId="45DEF4BA" w:rsidR="00834B54" w:rsidRPr="000A45B8" w:rsidRDefault="00465A2F" w:rsidP="00224D4D">
      <w:pPr>
        <w:spacing w:before="60" w:after="60"/>
        <w:jc w:val="both"/>
        <w:rPr>
          <w:sz w:val="20"/>
          <w:szCs w:val="20"/>
        </w:rPr>
      </w:pPr>
      <w:r w:rsidRPr="00465A2F">
        <w:rPr>
          <w:b/>
          <w:bCs/>
          <w:sz w:val="20"/>
          <w:szCs w:val="20"/>
        </w:rPr>
        <w:t>Figure 1</w:t>
      </w:r>
      <w:r>
        <w:rPr>
          <w:sz w:val="20"/>
          <w:szCs w:val="20"/>
        </w:rPr>
        <w:t xml:space="preserve">. </w:t>
      </w:r>
      <w:r w:rsidRPr="000A45B8">
        <w:rPr>
          <w:rFonts w:cs="Arial"/>
          <w:sz w:val="20"/>
          <w:szCs w:val="20"/>
        </w:rPr>
        <w:t xml:space="preserve">Examples of positive and negative rotations in </w:t>
      </w:r>
      <w:r>
        <w:rPr>
          <w:rFonts w:cs="Arial"/>
          <w:sz w:val="20"/>
          <w:szCs w:val="20"/>
        </w:rPr>
        <w:t>the X- and Y-</w:t>
      </w:r>
      <w:r w:rsidRPr="000A45B8">
        <w:rPr>
          <w:rFonts w:cs="Arial"/>
          <w:sz w:val="20"/>
          <w:szCs w:val="20"/>
        </w:rPr>
        <w:t>dimensions</w:t>
      </w:r>
      <w:r>
        <w:rPr>
          <w:rFonts w:cs="Arial"/>
          <w:sz w:val="20"/>
          <w:szCs w:val="20"/>
        </w:rPr>
        <w:t>. Adjustment of the x-axis orientation facilitates better alignment of tissue edges while also changing the area of each subregion overall. Adjustments to the y-axis orientation assist in accounting for asymmetry.</w:t>
      </w:r>
    </w:p>
    <w:sectPr w:rsidR="00834B54" w:rsidRPr="000A45B8" w:rsidSect="000A45B8"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EC68" w14:textId="77777777" w:rsidR="00A84C5B" w:rsidRDefault="00A84C5B" w:rsidP="005A3895">
      <w:r>
        <w:separator/>
      </w:r>
    </w:p>
  </w:endnote>
  <w:endnote w:type="continuationSeparator" w:id="0">
    <w:p w14:paraId="6AE64292" w14:textId="77777777" w:rsidR="00A84C5B" w:rsidRDefault="00A84C5B" w:rsidP="005A3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18"/>
      </w:rPr>
      <w:id w:val="1825229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0482B3" w14:textId="613E8445" w:rsidR="000A45B8" w:rsidRPr="000A45B8" w:rsidRDefault="000A45B8">
        <w:pPr>
          <w:pStyle w:val="Footer"/>
          <w:jc w:val="center"/>
          <w:rPr>
            <w:sz w:val="20"/>
            <w:szCs w:val="18"/>
          </w:rPr>
        </w:pPr>
        <w:r w:rsidRPr="000A45B8">
          <w:rPr>
            <w:sz w:val="20"/>
            <w:szCs w:val="18"/>
          </w:rPr>
          <w:fldChar w:fldCharType="begin"/>
        </w:r>
        <w:r w:rsidRPr="000A45B8">
          <w:rPr>
            <w:sz w:val="20"/>
            <w:szCs w:val="18"/>
          </w:rPr>
          <w:instrText xml:space="preserve"> PAGE   \* MERGEFORMAT </w:instrText>
        </w:r>
        <w:r w:rsidRPr="000A45B8">
          <w:rPr>
            <w:sz w:val="20"/>
            <w:szCs w:val="18"/>
          </w:rPr>
          <w:fldChar w:fldCharType="separate"/>
        </w:r>
        <w:r w:rsidRPr="000A45B8">
          <w:rPr>
            <w:noProof/>
            <w:sz w:val="20"/>
            <w:szCs w:val="18"/>
          </w:rPr>
          <w:t>2</w:t>
        </w:r>
        <w:r w:rsidRPr="000A45B8">
          <w:rPr>
            <w:noProof/>
            <w:sz w:val="20"/>
            <w:szCs w:val="18"/>
          </w:rPr>
          <w:fldChar w:fldCharType="end"/>
        </w:r>
      </w:p>
    </w:sdtContent>
  </w:sdt>
  <w:p w14:paraId="6E475A7E" w14:textId="77777777" w:rsidR="000A45B8" w:rsidRPr="000A45B8" w:rsidRDefault="000A45B8">
    <w:pPr>
      <w:pStyle w:val="Footer"/>
      <w:rPr>
        <w:sz w:val="20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5BB1" w14:textId="77777777" w:rsidR="00A84C5B" w:rsidRDefault="00A84C5B" w:rsidP="005A3895">
      <w:r>
        <w:separator/>
      </w:r>
    </w:p>
  </w:footnote>
  <w:footnote w:type="continuationSeparator" w:id="0">
    <w:p w14:paraId="39518257" w14:textId="77777777" w:rsidR="00A84C5B" w:rsidRDefault="00A84C5B" w:rsidP="005A3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288D" w14:textId="3DFAACD4" w:rsidR="005A3895" w:rsidRPr="005A3895" w:rsidRDefault="005A3895">
    <w:pPr>
      <w:pStyle w:val="Header"/>
      <w:rPr>
        <w:b/>
        <w:bCs/>
        <w:sz w:val="22"/>
        <w:szCs w:val="20"/>
      </w:rPr>
    </w:pPr>
    <w:r w:rsidRPr="005A3895">
      <w:rPr>
        <w:b/>
        <w:bCs/>
        <w:sz w:val="22"/>
        <w:szCs w:val="20"/>
      </w:rPr>
      <w:t>L. Dunn</w:t>
    </w:r>
    <w:r w:rsidRPr="005A3895">
      <w:rPr>
        <w:b/>
        <w:bCs/>
        <w:sz w:val="22"/>
        <w:szCs w:val="20"/>
      </w:rPr>
      <w:ptab w:relativeTo="margin" w:alignment="center" w:leader="none"/>
    </w:r>
    <w:r w:rsidRPr="005A3895">
      <w:rPr>
        <w:b/>
        <w:bCs/>
        <w:sz w:val="22"/>
        <w:szCs w:val="20"/>
      </w:rPr>
      <w:t xml:space="preserve">#111722 </w:t>
    </w:r>
    <w:r w:rsidRPr="005A3895">
      <w:rPr>
        <w:b/>
        <w:bCs/>
        <w:sz w:val="22"/>
        <w:szCs w:val="20"/>
      </w:rPr>
      <w:t>All-Intensity PNN Analysis</w:t>
    </w:r>
    <w:r w:rsidRPr="005A3895">
      <w:rPr>
        <w:b/>
        <w:bCs/>
        <w:sz w:val="22"/>
        <w:szCs w:val="20"/>
      </w:rPr>
      <w:ptab w:relativeTo="margin" w:alignment="right" w:leader="none"/>
    </w:r>
    <w:r w:rsidRPr="005A3895">
      <w:rPr>
        <w:b/>
        <w:bCs/>
        <w:sz w:val="22"/>
        <w:szCs w:val="20"/>
      </w:rPr>
      <w:t>2023.01.09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87D"/>
    <w:multiLevelType w:val="hybridMultilevel"/>
    <w:tmpl w:val="917E1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D2D80"/>
    <w:multiLevelType w:val="hybridMultilevel"/>
    <w:tmpl w:val="9BACA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830C68"/>
    <w:multiLevelType w:val="hybridMultilevel"/>
    <w:tmpl w:val="29B8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8764">
    <w:abstractNumId w:val="0"/>
  </w:num>
  <w:num w:numId="2" w16cid:durableId="233442274">
    <w:abstractNumId w:val="1"/>
  </w:num>
  <w:num w:numId="3" w16cid:durableId="1742827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95"/>
    <w:rsid w:val="000A45B8"/>
    <w:rsid w:val="00224D4D"/>
    <w:rsid w:val="003B06D5"/>
    <w:rsid w:val="003E60CF"/>
    <w:rsid w:val="0040271E"/>
    <w:rsid w:val="00465A2F"/>
    <w:rsid w:val="004E5CDD"/>
    <w:rsid w:val="005A3895"/>
    <w:rsid w:val="008068BE"/>
    <w:rsid w:val="00834B54"/>
    <w:rsid w:val="00A84C5B"/>
    <w:rsid w:val="00AC2408"/>
    <w:rsid w:val="00BC65B0"/>
    <w:rsid w:val="00CC0A2F"/>
    <w:rsid w:val="00D07633"/>
    <w:rsid w:val="00DD24BD"/>
    <w:rsid w:val="00EF3CD1"/>
    <w:rsid w:val="00F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06BE"/>
  <w15:chartTrackingRefBased/>
  <w15:docId w15:val="{7B4483E0-31FB-4F08-AC83-B305DEB7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6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6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6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Heading3">
    <w:name w:val="Arial Heading 3"/>
    <w:basedOn w:val="Heading3"/>
    <w:next w:val="Normal"/>
    <w:link w:val="ArialHeading3Char"/>
    <w:qFormat/>
    <w:rsid w:val="00D07633"/>
    <w:rPr>
      <w:color w:val="2F5496" w:themeColor="accent1" w:themeShade="BF"/>
      <w:sz w:val="22"/>
      <w:u w:val="single"/>
    </w:rPr>
  </w:style>
  <w:style w:type="character" w:customStyle="1" w:styleId="ArialHeading3Char">
    <w:name w:val="Arial Heading 3 Char"/>
    <w:basedOn w:val="Heading3Char"/>
    <w:link w:val="ArialHeading3"/>
    <w:rsid w:val="00D07633"/>
    <w:rPr>
      <w:rFonts w:asciiTheme="majorHAnsi" w:eastAsiaTheme="majorEastAsia" w:hAnsiTheme="majorHAnsi" w:cstheme="majorBidi"/>
      <w:color w:val="2F5496" w:themeColor="accent1" w:themeShade="BF"/>
      <w:sz w:val="22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63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customStyle="1" w:styleId="ArialHeading2">
    <w:name w:val="Arial Heading 2"/>
    <w:basedOn w:val="Heading2"/>
    <w:next w:val="Normal"/>
    <w:link w:val="ArialHeading2Char"/>
    <w:qFormat/>
    <w:rsid w:val="00D07633"/>
    <w:rPr>
      <w:b/>
      <w:bCs/>
      <w:sz w:val="22"/>
    </w:rPr>
  </w:style>
  <w:style w:type="character" w:customStyle="1" w:styleId="ArialHeading2Char">
    <w:name w:val="Arial Heading 2 Char"/>
    <w:basedOn w:val="Heading2Char"/>
    <w:link w:val="ArialHeading2"/>
    <w:rsid w:val="00D07633"/>
    <w:rPr>
      <w:rFonts w:asciiTheme="majorHAnsi" w:eastAsiaTheme="majorEastAsia" w:hAnsiTheme="majorHAnsi" w:cstheme="majorBidi"/>
      <w:b/>
      <w:bCs/>
      <w:color w:val="2F5496" w:themeColor="accent1" w:themeShade="BF"/>
      <w:sz w:val="2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rialHeading1">
    <w:name w:val="Arial Heading 1"/>
    <w:basedOn w:val="Heading1"/>
    <w:link w:val="ArialHeading1Char"/>
    <w:qFormat/>
    <w:rsid w:val="00D07633"/>
    <w:rPr>
      <w:b/>
      <w:bCs/>
      <w:color w:val="000000" w:themeColor="text1"/>
      <w:sz w:val="22"/>
      <w:u w:val="single"/>
    </w:rPr>
  </w:style>
  <w:style w:type="character" w:customStyle="1" w:styleId="ArialHeading1Char">
    <w:name w:val="Arial Heading 1 Char"/>
    <w:basedOn w:val="Heading1Char"/>
    <w:link w:val="ArialHeading1"/>
    <w:rsid w:val="00D07633"/>
    <w:rPr>
      <w:rFonts w:asciiTheme="majorHAnsi" w:eastAsiaTheme="majorEastAsia" w:hAnsiTheme="majorHAnsi" w:cstheme="majorBidi"/>
      <w:b/>
      <w:bCs/>
      <w:color w:val="000000" w:themeColor="text1"/>
      <w:sz w:val="2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7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38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895"/>
  </w:style>
  <w:style w:type="paragraph" w:styleId="Footer">
    <w:name w:val="footer"/>
    <w:basedOn w:val="Normal"/>
    <w:link w:val="FooterChar"/>
    <w:uiPriority w:val="99"/>
    <w:unhideWhenUsed/>
    <w:rsid w:val="005A38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895"/>
  </w:style>
  <w:style w:type="paragraph" w:styleId="ListParagraph">
    <w:name w:val="List Paragraph"/>
    <w:basedOn w:val="Normal"/>
    <w:uiPriority w:val="34"/>
    <w:qFormat/>
    <w:rsid w:val="0083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Logan Reid</dc:creator>
  <cp:keywords/>
  <dc:description/>
  <cp:lastModifiedBy>Dunn, Logan Reid</cp:lastModifiedBy>
  <cp:revision>12</cp:revision>
  <dcterms:created xsi:type="dcterms:W3CDTF">2023-01-09T18:48:00Z</dcterms:created>
  <dcterms:modified xsi:type="dcterms:W3CDTF">2023-01-09T20:38:00Z</dcterms:modified>
</cp:coreProperties>
</file>