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73"/>
        <w:gridCol w:w="4873"/>
      </w:tblGrid>
      <w:tr>
        <w:tc>
          <w:tcPr>
            <w:tcW w:type="dxa" w:w="3402"/>
            <w:shd w:val="clear" w:color="auto" w:fill="0A0B0E"/>
          </w:tcPr>
          <w:p>
            <w:r>
              <w:rPr>
                <w:b/>
                <w:i w:val="0"/>
                <w:color w:val="E4EAF2"/>
                <w:sz w:val="48"/>
              </w:rPr>
              <w:t>VLX</w:t>
            </w:r>
          </w:p>
        </w:tc>
        <w:tc>
          <w:tcPr>
            <w:tcW w:type="dxa" w:w="6009"/>
            <w:shd w:val="clear" w:color="auto" w:fill="0A0B0E"/>
          </w:tcPr>
          <w:p>
            <w:pPr>
              <w:jc w:val="right"/>
            </w:pPr>
            <w:r>
              <w:rPr>
                <w:b/>
                <w:i w:val="0"/>
                <w:color w:val="E4EAF2"/>
                <w:sz w:val="28"/>
              </w:rPr>
              <w:t>VALIOUX</w:t>
              <w:br/>
            </w:r>
            <w:r>
              <w:rPr>
                <w:b w:val="0"/>
                <w:i w:val="0"/>
                <w:color w:val="8E96A3"/>
                <w:sz w:val="16"/>
              </w:rPr>
              <w:t>ESPORTS ORGANISATION</w:t>
            </w:r>
          </w:p>
        </w:tc>
      </w:tr>
    </w:tbl>
    <w:p/>
    <w:p>
      <w:r>
        <w:rPr>
          <w:b/>
          <w:i w:val="0"/>
          <w:color w:val="0A0B0E"/>
          <w:sz w:val="36"/>
        </w:rPr>
        <w:t>SPIELERVERTRAG (PRO)</w:t>
      </w:r>
    </w:p>
    <w:p>
      <w:r>
        <w:rPr>
          <w:b w:val="0"/>
          <w:i/>
          <w:color w:val="555B66"/>
          <w:sz w:val="21"/>
        </w:rPr>
        <w:t xml:space="preserve">Professioneller Esports-Spieler · Titel: </w:t>
      </w:r>
      <w:r>
        <w:rPr>
          <w:b w:val="0"/>
          <w:i/>
          <w:color w:val="555B66"/>
          <w:sz w:val="21"/>
          <w:highlight w:val="yellow"/>
        </w:rPr>
        <w:t>[Fortnite]</w:t>
      </w:r>
    </w:p>
    <w:p>
      <w:pPr>
        <w:spacing w:after="160"/>
        <w:pBdr>
          <w:bottom w:val="single" w:sz="8" w:space="1" w:color="8E96A3"/>
        </w:pBdr>
      </w:pPr>
    </w:p>
    <w:tbl>
      <w:tblPr>
        <w:tblStyle w:val="TableGrid"/>
        <w:tblW w:type="auto" w:w="0"/>
        <w:tblLook w:firstColumn="1" w:firstRow="1" w:lastColumn="0" w:lastRow="0" w:noHBand="0" w:noVBand="1" w:val="04A0"/>
      </w:tblPr>
      <w:tblGrid>
        <w:gridCol w:w="4873"/>
        <w:gridCol w:w="4873"/>
      </w:tblGrid>
      <w:tr>
        <w:tc>
          <w:tcPr>
            <w:tcW w:type="dxa" w:w="2268"/>
            <w:shd w:val="clear" w:color="auto" w:fill="E9ECF1"/>
          </w:tcPr>
          <w:p>
            <w:r>
              <w:rPr>
                <w:b/>
                <w:i w:val="0"/>
              </w:rPr>
              <w:t>Organisation</w:t>
            </w:r>
          </w:p>
        </w:tc>
        <w:tc>
          <w:tcPr>
            <w:tcW w:type="dxa" w:w="7143"/>
          </w:tcPr>
          <w:p>
            <w:r>
              <w:rPr>
                <w:b w:val="0"/>
                <w:i w:val="0"/>
                <w:highlight w:val="yellow"/>
              </w:rPr>
              <w:t>[Firmenname + Rechtsform, z. B. VALIOUX UG (haftungsbeschränkt)]</w:t>
            </w:r>
            <w:r>
              <w:rPr>
                <w:b w:val="0"/>
                <w:i w:val="0"/>
              </w:rPr>
              <w:br/>
            </w:r>
            <w:r>
              <w:rPr>
                <w:b w:val="0"/>
                <w:i w:val="0"/>
                <w:highlight w:val="yellow"/>
              </w:rPr>
              <w:t>[Straße, PLZ Ort]</w:t>
            </w:r>
            <w:r>
              <w:rPr>
                <w:b w:val="0"/>
                <w:i w:val="0"/>
              </w:rPr>
              <w:br/>
              <w:t xml:space="preserve">vertreten durch </w:t>
            </w:r>
            <w:r>
              <w:rPr>
                <w:b w:val="0"/>
                <w:i w:val="0"/>
                <w:highlight w:val="yellow"/>
              </w:rPr>
              <w:t>[Name, Funktion]</w:t>
            </w:r>
          </w:p>
        </w:tc>
      </w:tr>
      <w:tr>
        <w:tc>
          <w:tcPr>
            <w:tcW w:type="dxa" w:w="2268"/>
            <w:shd w:val="clear" w:color="auto" w:fill="E9ECF1"/>
          </w:tcPr>
          <w:p>
            <w:r>
              <w:rPr>
                <w:b/>
                <w:i w:val="0"/>
              </w:rPr>
              <w:t>Spieler/in</w:t>
            </w:r>
          </w:p>
        </w:tc>
        <w:tc>
          <w:tcPr>
            <w:tcW w:type="dxa" w:w="7143"/>
          </w:tcPr>
          <w:p>
            <w:r>
              <w:rPr>
                <w:b w:val="0"/>
                <w:i w:val="0"/>
                <w:highlight w:val="yellow"/>
              </w:rPr>
              <w:t>[Vor- und Nachname]</w:t>
            </w:r>
            <w:r>
              <w:rPr>
                <w:b w:val="0"/>
                <w:i w:val="0"/>
              </w:rPr>
              <w:br/>
            </w:r>
            <w:r>
              <w:rPr>
                <w:b w:val="0"/>
                <w:i w:val="0"/>
                <w:highlight w:val="yellow"/>
              </w:rPr>
              <w:t>[Straße, PLZ Ort]</w:t>
            </w:r>
            <w:r>
              <w:rPr>
                <w:b w:val="0"/>
                <w:i w:val="0"/>
              </w:rPr>
              <w:br/>
            </w:r>
            <w:r>
              <w:rPr>
                <w:b w:val="0"/>
                <w:i w:val="0"/>
                <w:highlight w:val="yellow"/>
              </w:rPr>
              <w:t>[Geburtsdatum]</w:t>
            </w:r>
            <w:r>
              <w:rPr>
                <w:b w:val="0"/>
                <w:i w:val="0"/>
              </w:rPr>
              <w:t xml:space="preserve"> · Spielername/Handle: </w:t>
            </w:r>
            <w:r>
              <w:rPr>
                <w:b w:val="0"/>
                <w:i w:val="0"/>
                <w:highlight w:val="yellow"/>
              </w:rPr>
              <w:t>[Handle]</w:t>
            </w:r>
          </w:p>
        </w:tc>
      </w:tr>
    </w:tbl>
    <w:p/>
    <w:p>
      <w:pPr>
        <w:ind w:left="0"/>
        <w:jc w:val="both"/>
      </w:pPr>
      <w:r>
        <w:rPr>
          <w:b w:val="0"/>
          <w:i w:val="0"/>
        </w:rPr>
        <w:t>zwischen VALIOUX (nachfolgend „Organisation“) und dem/der Spieler/in (nachfolgend „Spieler“) wird Folgendes vereinbart:</w:t>
      </w:r>
    </w:p>
    <w:p>
      <w:pPr>
        <w:keepNext/>
        <w:spacing w:before="200"/>
      </w:pPr>
      <w:r>
        <w:rPr>
          <w:b/>
          <w:i w:val="0"/>
          <w:color w:val="0A0B0E"/>
          <w:sz w:val="23"/>
        </w:rPr>
        <w:t>§ 1 Gegenstand, Status</w:t>
      </w:r>
    </w:p>
    <w:p>
      <w:pPr>
        <w:ind w:left="0"/>
        <w:jc w:val="both"/>
      </w:pPr>
      <w:r>
        <w:rPr>
          <w:b w:val="0"/>
          <w:i w:val="0"/>
        </w:rPr>
        <w:t xml:space="preserve">(1) Der Spieler tritt für die Organisation als Mitglied des Pro-Teams im Titel </w:t>
      </w:r>
      <w:r>
        <w:rPr>
          <w:b w:val="0"/>
          <w:i w:val="0"/>
          <w:highlight w:val="yellow"/>
        </w:rPr>
        <w:t>[Fortnite]</w:t>
      </w:r>
      <w:r>
        <w:rPr>
          <w:b w:val="0"/>
          <w:i w:val="0"/>
        </w:rPr>
        <w:t xml:space="preserve"> an und vertritt sie bei Turnieren, Scrims, Events und Medienterminen.</w:t>
      </w:r>
    </w:p>
    <w:p>
      <w:pPr>
        <w:ind w:left="0"/>
        <w:jc w:val="both"/>
      </w:pPr>
      <w:r>
        <w:rPr>
          <w:b w:val="0"/>
          <w:i w:val="0"/>
        </w:rPr>
        <w:t xml:space="preserve">(2) Rechtsstatus: </w:t>
      </w:r>
      <w:r>
        <w:rPr>
          <w:b w:val="0"/>
          <w:i w:val="0"/>
          <w:highlight w:val="yellow"/>
        </w:rPr>
        <w:t>[angestellt / selbstständig]</w:t>
      </w:r>
      <w:r>
        <w:rPr>
          <w:b w:val="0"/>
          <w:i w:val="0"/>
        </w:rPr>
        <w:t>. Hinweis intern: Die Einordnung ist rechtlich zu prüfen (Weisungsbindung, Arbeitszeit, Scheinselbstständigkeit).</w:t>
      </w:r>
    </w:p>
    <w:p>
      <w:pPr>
        <w:keepNext/>
        <w:spacing w:before="200"/>
      </w:pPr>
      <w:r>
        <w:rPr>
          <w:b/>
          <w:i w:val="0"/>
          <w:color w:val="0A0B0E"/>
          <w:sz w:val="23"/>
        </w:rPr>
        <w:t>§ 2 Laufzeit</w:t>
      </w:r>
    </w:p>
    <w:p>
      <w:pPr>
        <w:ind w:left="0"/>
        <w:jc w:val="both"/>
      </w:pPr>
      <w:r>
        <w:rPr>
          <w:b w:val="0"/>
          <w:i w:val="0"/>
        </w:rPr>
        <w:t xml:space="preserve">(1) Der Vertrag beginnt am </w:t>
      </w:r>
      <w:r>
        <w:rPr>
          <w:b w:val="0"/>
          <w:i w:val="0"/>
          <w:highlight w:val="yellow"/>
        </w:rPr>
        <w:t>[Datum]</w:t>
      </w:r>
      <w:r>
        <w:rPr>
          <w:b w:val="0"/>
          <w:i w:val="0"/>
        </w:rPr>
        <w:t xml:space="preserve"> und läuft bis </w:t>
      </w:r>
      <w:r>
        <w:rPr>
          <w:b w:val="0"/>
          <w:i w:val="0"/>
          <w:highlight w:val="yellow"/>
        </w:rPr>
        <w:t>[Datum]</w:t>
      </w:r>
      <w:r>
        <w:rPr>
          <w:b w:val="0"/>
          <w:i w:val="0"/>
        </w:rPr>
        <w:t xml:space="preserve">. Probezeit: </w:t>
      </w:r>
      <w:r>
        <w:rPr>
          <w:b w:val="0"/>
          <w:i w:val="0"/>
          <w:highlight w:val="yellow"/>
        </w:rPr>
        <w:t>[x]</w:t>
      </w:r>
      <w:r>
        <w:rPr>
          <w:b w:val="0"/>
          <w:i w:val="0"/>
        </w:rPr>
        <w:t xml:space="preserve"> Monate, Kündigung in der Probezeit mit </w:t>
      </w:r>
      <w:r>
        <w:rPr>
          <w:b w:val="0"/>
          <w:i w:val="0"/>
          <w:highlight w:val="yellow"/>
        </w:rPr>
        <w:t>[14]</w:t>
      </w:r>
      <w:r>
        <w:rPr>
          <w:b w:val="0"/>
          <w:i w:val="0"/>
        </w:rPr>
        <w:t xml:space="preserve"> Tagen Frist.</w:t>
      </w:r>
    </w:p>
    <w:p>
      <w:pPr>
        <w:ind w:left="0"/>
        <w:jc w:val="both"/>
      </w:pPr>
      <w:r>
        <w:rPr>
          <w:b w:val="0"/>
          <w:i w:val="0"/>
        </w:rPr>
        <w:t xml:space="preserve">(2) Verlängerungsoption der Organisation um </w:t>
      </w:r>
      <w:r>
        <w:rPr>
          <w:b w:val="0"/>
          <w:i w:val="0"/>
          <w:highlight w:val="yellow"/>
        </w:rPr>
        <w:t>[x]</w:t>
      </w:r>
      <w:r>
        <w:rPr>
          <w:b w:val="0"/>
          <w:i w:val="0"/>
        </w:rPr>
        <w:t xml:space="preserve"> Monate zu unveränderten Konditionen bei Mitteilung bis </w:t>
      </w:r>
      <w:r>
        <w:rPr>
          <w:b w:val="0"/>
          <w:i w:val="0"/>
          <w:highlight w:val="yellow"/>
        </w:rPr>
        <w:t>[x]</w:t>
      </w:r>
      <w:r>
        <w:rPr>
          <w:b w:val="0"/>
          <w:i w:val="0"/>
        </w:rPr>
        <w:t xml:space="preserve"> Wochen vor Ablauf.</w:t>
      </w:r>
    </w:p>
    <w:p>
      <w:pPr>
        <w:keepNext/>
        <w:spacing w:before="200"/>
      </w:pPr>
      <w:r>
        <w:rPr>
          <w:b/>
          <w:i w:val="0"/>
          <w:color w:val="0A0B0E"/>
          <w:sz w:val="23"/>
        </w:rPr>
        <w:t>§ 3 Pflichten des Spielers</w:t>
      </w:r>
    </w:p>
    <w:p>
      <w:pPr>
        <w:ind w:left="0"/>
        <w:jc w:val="both"/>
      </w:pPr>
      <w:r>
        <w:rPr>
          <w:b w:val="0"/>
          <w:i w:val="0"/>
        </w:rPr>
        <w:t xml:space="preserve">(1) Teilnahme an Training, Scrims und Turnieren nach Trainingsplan, mindestens </w:t>
      </w:r>
      <w:r>
        <w:rPr>
          <w:b w:val="0"/>
          <w:i w:val="0"/>
          <w:highlight w:val="yellow"/>
        </w:rPr>
        <w:t>[x]</w:t>
      </w:r>
      <w:r>
        <w:rPr>
          <w:b w:val="0"/>
          <w:i w:val="0"/>
        </w:rPr>
        <w:t xml:space="preserve"> Stunden pro Woche.</w:t>
      </w:r>
    </w:p>
    <w:p>
      <w:pPr>
        <w:ind w:left="0"/>
        <w:jc w:val="both"/>
      </w:pPr>
      <w:r>
        <w:rPr>
          <w:b w:val="0"/>
          <w:i w:val="0"/>
        </w:rPr>
        <w:t>(2) Pünktlichkeit, Fairplay, Befolgen der Anweisungen von Coach und Management im sportlichen Bereich.</w:t>
      </w:r>
    </w:p>
    <w:p>
      <w:pPr>
        <w:ind w:left="0"/>
        <w:jc w:val="both"/>
      </w:pPr>
      <w:r>
        <w:rPr>
          <w:b w:val="0"/>
          <w:i w:val="0"/>
        </w:rPr>
        <w:t>(3) Einhaltung des Verhaltenskodex und der Social-Media-Richtlinie (Anlage 1).</w:t>
      </w:r>
    </w:p>
    <w:p>
      <w:pPr>
        <w:ind w:left="0"/>
        <w:jc w:val="both"/>
      </w:pPr>
      <w:r>
        <w:rPr>
          <w:b w:val="0"/>
          <w:i w:val="0"/>
        </w:rPr>
        <w:t>(4) Meldung von Krankheit, Verhinderung und Reisen ohne schuldhaftes Zögern.</w:t>
      </w:r>
    </w:p>
    <w:p>
      <w:pPr>
        <w:ind w:left="0"/>
        <w:jc w:val="both"/>
      </w:pPr>
      <w:r>
        <w:rPr>
          <w:b w:val="0"/>
          <w:i w:val="0"/>
        </w:rPr>
        <w:t>(5) Verzicht auf Match-Fixing, Wetten auf eigene Spiele, Cheating, Smurfing und jede Form unerlaubter Hilfsmittel.</w:t>
      </w:r>
    </w:p>
    <w:p>
      <w:pPr>
        <w:keepNext/>
        <w:spacing w:before="200"/>
      </w:pPr>
      <w:r>
        <w:rPr>
          <w:b/>
          <w:i w:val="0"/>
          <w:color w:val="0A0B0E"/>
          <w:sz w:val="23"/>
        </w:rPr>
        <w:t>§ 4 Vergütung</w:t>
      </w:r>
    </w:p>
    <w:p>
      <w:pPr>
        <w:ind w:left="0"/>
        <w:jc w:val="both"/>
      </w:pPr>
      <w:r>
        <w:rPr>
          <w:b w:val="0"/>
          <w:i w:val="0"/>
        </w:rPr>
        <w:t xml:space="preserve">(1) Monatliche Grundvergütung: </w:t>
      </w:r>
      <w:r>
        <w:rPr>
          <w:b w:val="0"/>
          <w:i w:val="0"/>
          <w:highlight w:val="yellow"/>
        </w:rPr>
        <w:t>[Betrag]</w:t>
      </w:r>
      <w:r>
        <w:rPr>
          <w:b w:val="0"/>
          <w:i w:val="0"/>
        </w:rPr>
        <w:t xml:space="preserve"> € brutto/netto, zahlbar zum </w:t>
      </w:r>
      <w:r>
        <w:rPr>
          <w:b w:val="0"/>
          <w:i w:val="0"/>
          <w:highlight w:val="yellow"/>
        </w:rPr>
        <w:t>[letzten Werktag]</w:t>
      </w:r>
      <w:r>
        <w:rPr>
          <w:b w:val="0"/>
          <w:i w:val="0"/>
        </w:rPr>
        <w:t xml:space="preserve"> des Monats auf das vom Spieler genannte Konto.</w:t>
      </w:r>
    </w:p>
    <w:p>
      <w:pPr>
        <w:ind w:left="0"/>
        <w:jc w:val="both"/>
      </w:pPr>
      <w:r>
        <w:rPr>
          <w:b w:val="0"/>
          <w:i w:val="0"/>
        </w:rPr>
        <w:t xml:space="preserve">(2) Prämien: </w:t>
      </w:r>
      <w:r>
        <w:rPr>
          <w:b w:val="0"/>
          <w:i w:val="0"/>
          <w:highlight w:val="yellow"/>
        </w:rPr>
        <w:t>[x]</w:t>
      </w:r>
      <w:r>
        <w:rPr>
          <w:b w:val="0"/>
          <w:i w:val="0"/>
        </w:rPr>
        <w:t xml:space="preserve"> % des Preisgelds der Organisation aus Turnieren, an denen der Spieler teilnahm; Verteilung nach Anlage 2.</w:t>
      </w:r>
    </w:p>
    <w:p>
      <w:pPr>
        <w:ind w:left="0"/>
        <w:jc w:val="both"/>
      </w:pPr>
      <w:r>
        <w:rPr>
          <w:b w:val="0"/>
          <w:i w:val="0"/>
        </w:rPr>
        <w:t xml:space="preserve">(3) Leistungsbonus: </w:t>
      </w:r>
      <w:r>
        <w:rPr>
          <w:b w:val="0"/>
          <w:i w:val="0"/>
          <w:highlight w:val="yellow"/>
        </w:rPr>
        <w:t>[Betrag]</w:t>
      </w:r>
      <w:r>
        <w:rPr>
          <w:b w:val="0"/>
          <w:i w:val="0"/>
        </w:rPr>
        <w:t xml:space="preserve"> € bei </w:t>
      </w:r>
      <w:r>
        <w:rPr>
          <w:b w:val="0"/>
          <w:i w:val="0"/>
          <w:highlight w:val="yellow"/>
        </w:rPr>
        <w:t>[Ziel, z. B. Qualifikation für XY]</w:t>
      </w:r>
      <w:r>
        <w:rPr>
          <w:b w:val="0"/>
          <w:i w:val="0"/>
        </w:rPr>
        <w:t xml:space="preserve">. Sachleistungen: </w:t>
      </w:r>
      <w:r>
        <w:rPr>
          <w:b w:val="0"/>
          <w:i w:val="0"/>
          <w:highlight w:val="yellow"/>
        </w:rPr>
        <w:t>[Equipment, Reisekosten, Unterkunft]</w:t>
      </w:r>
      <w:r>
        <w:rPr>
          <w:b w:val="0"/>
          <w:i w:val="0"/>
        </w:rPr>
        <w:t>.</w:t>
      </w:r>
    </w:p>
    <w:p>
      <w:pPr>
        <w:keepNext/>
        <w:spacing w:before="200"/>
      </w:pPr>
      <w:r>
        <w:rPr>
          <w:b/>
          <w:i w:val="0"/>
          <w:color w:val="0A0B0E"/>
          <w:sz w:val="23"/>
        </w:rPr>
        <w:t>§ 5 Equipment, Reisen, Spesen</w:t>
      </w:r>
    </w:p>
    <w:p>
      <w:pPr>
        <w:ind w:left="0"/>
        <w:jc w:val="both"/>
      </w:pPr>
      <w:r>
        <w:rPr>
          <w:b w:val="0"/>
          <w:i w:val="0"/>
        </w:rPr>
        <w:t xml:space="preserve">(1) Die Organisation stellt </w:t>
      </w:r>
      <w:r>
        <w:rPr>
          <w:b w:val="0"/>
          <w:i w:val="0"/>
          <w:highlight w:val="yellow"/>
        </w:rPr>
        <w:t>[Hardware/Peripherie]</w:t>
      </w:r>
      <w:r>
        <w:rPr>
          <w:b w:val="0"/>
          <w:i w:val="0"/>
        </w:rPr>
        <w:t xml:space="preserve"> leihweise zur Verfügung; das Eigentum verbleibt bei der Organisation. Rückgabe bei Vertragsende in ordnungsgemäßem Zustand.</w:t>
      </w:r>
    </w:p>
    <w:p>
      <w:pPr>
        <w:ind w:left="0"/>
        <w:jc w:val="both"/>
      </w:pPr>
      <w:r>
        <w:rPr>
          <w:b w:val="0"/>
          <w:i w:val="0"/>
        </w:rPr>
        <w:t>(2) Reisekosten zu genehmigten Terminen trägt die Organisation gegen Beleg nach der Spesenrichtlinie.</w:t>
      </w:r>
    </w:p>
    <w:p>
      <w:pPr>
        <w:keepNext/>
        <w:spacing w:before="200"/>
      </w:pPr>
      <w:r>
        <w:rPr>
          <w:b/>
          <w:i w:val="0"/>
          <w:color w:val="0A0B0E"/>
          <w:sz w:val="23"/>
        </w:rPr>
        <w:t>§ 6 Content, Stream, Sponsoring</w:t>
      </w:r>
    </w:p>
    <w:p>
      <w:pPr>
        <w:ind w:left="0"/>
        <w:jc w:val="both"/>
      </w:pPr>
      <w:r>
        <w:rPr>
          <w:b w:val="0"/>
          <w:i w:val="0"/>
        </w:rPr>
        <w:t xml:space="preserve">(1) Der Spieler streamt/produziert Inhalte im Umfang von mindestens </w:t>
      </w:r>
      <w:r>
        <w:rPr>
          <w:b w:val="0"/>
          <w:i w:val="0"/>
          <w:highlight w:val="yellow"/>
        </w:rPr>
        <w:t>[x]</w:t>
      </w:r>
      <w:r>
        <w:rPr>
          <w:b w:val="0"/>
          <w:i w:val="0"/>
        </w:rPr>
        <w:t xml:space="preserve"> Stunden/Monat. Kanalrechte liegen beim Spieler; die Organisation erhält ein nicht ausschließliches Recht zur Nutzung von Inhalten mit Org-Bezug.</w:t>
      </w:r>
    </w:p>
    <w:p>
      <w:pPr>
        <w:ind w:left="0"/>
        <w:jc w:val="both"/>
      </w:pPr>
      <w:r>
        <w:rPr>
          <w:b w:val="0"/>
          <w:i w:val="0"/>
        </w:rPr>
        <w:t xml:space="preserve">(2) Sponsoring-Verpflichtungen der Organisation (Logos, Produkte, Pflichttermine) sind vom Spieler zu beachten. Konkurrierende Sponsoren/Marken in Kategorien: </w:t>
      </w:r>
      <w:r>
        <w:rPr>
          <w:b w:val="0"/>
          <w:i w:val="0"/>
          <w:highlight w:val="yellow"/>
        </w:rPr>
        <w:t>[Liste]</w:t>
      </w:r>
      <w:r>
        <w:rPr>
          <w:b w:val="0"/>
          <w:i w:val="0"/>
        </w:rPr>
        <w:t>.</w:t>
      </w:r>
    </w:p>
    <w:p>
      <w:pPr>
        <w:ind w:left="0"/>
        <w:jc w:val="both"/>
      </w:pPr>
      <w:r>
        <w:rPr>
          <w:b w:val="0"/>
          <w:i w:val="0"/>
        </w:rPr>
        <w:t>(3) Der Spieler holt für eigene Sponsorings vorab Zustimmung ein, soweit Kategorien der Org-Partner betroffen sind.</w:t>
      </w:r>
    </w:p>
    <w:p>
      <w:pPr>
        <w:keepNext/>
        <w:spacing w:before="200"/>
      </w:pPr>
      <w:r>
        <w:rPr>
          <w:b/>
          <w:i w:val="0"/>
          <w:color w:val="0A0B0E"/>
          <w:sz w:val="23"/>
        </w:rPr>
        <w:t>§ 7 Bild-, Namens- und Persönlichkeitsrechte</w:t>
      </w:r>
    </w:p>
    <w:p>
      <w:pPr>
        <w:ind w:left="0"/>
        <w:jc w:val="both"/>
      </w:pPr>
      <w:r>
        <w:rPr>
          <w:b w:val="0"/>
          <w:i w:val="0"/>
        </w:rPr>
        <w:t>Der Spieler räumt der Organisation für die Vertragslaufzeit das Recht ein, Name, Handle, Bild und Stimme in Verbindung mit der Organisation für Marketing, Merchandise und Medien zu nutzen (Details in Anlage 3). Nachlaufend bleibt Archivnutzung bereits veröffentlichter Inhalte zulässig.</w:t>
      </w:r>
    </w:p>
    <w:p>
      <w:pPr>
        <w:keepNext/>
        <w:spacing w:before="200"/>
      </w:pPr>
      <w:r>
        <w:rPr>
          <w:b/>
          <w:i w:val="0"/>
          <w:color w:val="0A0B0E"/>
          <w:sz w:val="23"/>
        </w:rPr>
        <w:t>§ 8 Vertraulichkeit</w:t>
      </w:r>
    </w:p>
    <w:p>
      <w:pPr>
        <w:ind w:left="0"/>
        <w:jc w:val="both"/>
      </w:pPr>
      <w:r>
        <w:rPr>
          <w:b w:val="0"/>
          <w:i w:val="0"/>
        </w:rPr>
        <w:t xml:space="preserve">Der Spieler wahrt Stillschweigen über interne Strategien, Verträge, Finanzen, Spielerdaten und Sponsorendetails, auch nach Vertragsende </w:t>
      </w:r>
      <w:r>
        <w:rPr>
          <w:b w:val="0"/>
          <w:i w:val="0"/>
          <w:highlight w:val="yellow"/>
        </w:rPr>
        <w:t>[x]</w:t>
      </w:r>
      <w:r>
        <w:rPr>
          <w:b w:val="0"/>
          <w:i w:val="0"/>
        </w:rPr>
        <w:t xml:space="preserve"> Jahre.</w:t>
      </w:r>
    </w:p>
    <w:p>
      <w:pPr>
        <w:keepNext/>
        <w:spacing w:before="200"/>
      </w:pPr>
      <w:r>
        <w:rPr>
          <w:b/>
          <w:i w:val="0"/>
          <w:color w:val="0A0B0E"/>
          <w:sz w:val="23"/>
        </w:rPr>
        <w:t>§ 9 Wettbewerbsverbot / Exklusivität</w:t>
      </w:r>
    </w:p>
    <w:p>
      <w:pPr>
        <w:ind w:left="0"/>
        <w:jc w:val="both"/>
      </w:pPr>
      <w:r>
        <w:rPr>
          <w:b w:val="0"/>
          <w:i w:val="0"/>
        </w:rPr>
        <w:t xml:space="preserve">Während der Laufzeit spielt der Spieler im Titel </w:t>
      </w:r>
      <w:r>
        <w:rPr>
          <w:b w:val="0"/>
          <w:i w:val="0"/>
          <w:highlight w:val="yellow"/>
        </w:rPr>
        <w:t>[Fortnite]</w:t>
      </w:r>
      <w:r>
        <w:rPr>
          <w:b w:val="0"/>
          <w:i w:val="0"/>
        </w:rPr>
        <w:t xml:space="preserve"> ausschließlich für die Organisation. Wechselgespräche mit Dritten sind nur nach Vorabinformation der Organisation erlaubt, soweit rechtlich zulässig.</w:t>
      </w:r>
    </w:p>
    <w:p>
      <w:pPr>
        <w:keepNext/>
        <w:spacing w:before="200"/>
      </w:pPr>
      <w:r>
        <w:rPr>
          <w:b/>
          <w:i w:val="0"/>
          <w:color w:val="0A0B0E"/>
          <w:sz w:val="23"/>
        </w:rPr>
        <w:t>§ 10 Transfer, Buyout</w:t>
      </w:r>
    </w:p>
    <w:p>
      <w:pPr>
        <w:ind w:left="0"/>
        <w:jc w:val="both"/>
      </w:pPr>
      <w:r>
        <w:rPr>
          <w:b w:val="0"/>
          <w:i w:val="0"/>
        </w:rPr>
        <w:t xml:space="preserve">Ein vorzeitiger Wechsel ist nur nach schriftlicher Freigabe möglich. Ablösesumme / Buyout: </w:t>
      </w:r>
      <w:r>
        <w:rPr>
          <w:b w:val="0"/>
          <w:i w:val="0"/>
          <w:highlight w:val="yellow"/>
        </w:rPr>
        <w:t>[Betrag]</w:t>
      </w:r>
      <w:r>
        <w:rPr>
          <w:b w:val="0"/>
          <w:i w:val="0"/>
        </w:rPr>
        <w:t xml:space="preserve"> €. Die Organisation entscheidet innerhalb von </w:t>
      </w:r>
      <w:r>
        <w:rPr>
          <w:b w:val="0"/>
          <w:i w:val="0"/>
          <w:highlight w:val="yellow"/>
        </w:rPr>
        <w:t>[x]</w:t>
      </w:r>
      <w:r>
        <w:rPr>
          <w:b w:val="0"/>
          <w:i w:val="0"/>
        </w:rPr>
        <w:t xml:space="preserve"> Tagen über Angebote.</w:t>
      </w:r>
    </w:p>
    <w:p>
      <w:pPr>
        <w:keepNext/>
        <w:spacing w:before="200"/>
      </w:pPr>
      <w:r>
        <w:rPr>
          <w:b/>
          <w:i w:val="0"/>
          <w:color w:val="0A0B0E"/>
          <w:sz w:val="23"/>
        </w:rPr>
        <w:t>§ 11 Beendigung</w:t>
      </w:r>
    </w:p>
    <w:p>
      <w:pPr>
        <w:ind w:left="0"/>
        <w:jc w:val="both"/>
      </w:pPr>
      <w:r>
        <w:rPr>
          <w:b w:val="0"/>
          <w:i w:val="0"/>
        </w:rPr>
        <w:t xml:space="preserve">(1) Ordentliche Kündigung: </w:t>
      </w:r>
      <w:r>
        <w:rPr>
          <w:b w:val="0"/>
          <w:i w:val="0"/>
          <w:highlight w:val="yellow"/>
        </w:rPr>
        <w:t>[x]</w:t>
      </w:r>
      <w:r>
        <w:rPr>
          <w:b w:val="0"/>
          <w:i w:val="0"/>
        </w:rPr>
        <w:t xml:space="preserve"> Monate zum Monatsende / ausgeschlossen bis </w:t>
      </w:r>
      <w:r>
        <w:rPr>
          <w:b w:val="0"/>
          <w:i w:val="0"/>
          <w:highlight w:val="yellow"/>
        </w:rPr>
        <w:t>[Datum]</w:t>
      </w:r>
      <w:r>
        <w:rPr>
          <w:b w:val="0"/>
          <w:i w:val="0"/>
        </w:rPr>
        <w:t>.</w:t>
      </w:r>
    </w:p>
    <w:p>
      <w:pPr>
        <w:ind w:left="0"/>
        <w:jc w:val="both"/>
      </w:pPr>
      <w:r>
        <w:rPr>
          <w:b w:val="0"/>
          <w:i w:val="0"/>
        </w:rPr>
        <w:t>(2) Außerordentliche Kündigung aus wichtigem Grund, insbesondere bei schweren Verstößen gegen Fairplay-Regeln, Verhaltenskodex oder Vertraulichkeit, bei Sperren durch Veranstalter/Epic Games und bei Rufschädigung.</w:t>
      </w:r>
    </w:p>
    <w:p>
      <w:pPr>
        <w:ind w:left="0"/>
        <w:jc w:val="both"/>
      </w:pPr>
      <w:r>
        <w:rPr>
          <w:b w:val="0"/>
          <w:i w:val="0"/>
        </w:rPr>
        <w:t xml:space="preserve">(3) Kündigung bedarf der Textform. Equipment ist binnen </w:t>
      </w:r>
      <w:r>
        <w:rPr>
          <w:b w:val="0"/>
          <w:i w:val="0"/>
          <w:highlight w:val="yellow"/>
        </w:rPr>
        <w:t>[7]</w:t>
      </w:r>
      <w:r>
        <w:rPr>
          <w:b w:val="0"/>
          <w:i w:val="0"/>
        </w:rPr>
        <w:t xml:space="preserve"> Tagen zurückzugeben; Zugänge (Accounts der Org) werden übergeben.</w:t>
      </w:r>
    </w:p>
    <w:p>
      <w:pPr>
        <w:keepNext/>
        <w:spacing w:before="200"/>
      </w:pPr>
      <w:r>
        <w:rPr>
          <w:b/>
          <w:i w:val="0"/>
          <w:color w:val="0A0B0E"/>
          <w:sz w:val="23"/>
        </w:rPr>
        <w:t>§ 12 Minderjährige</w:t>
      </w:r>
    </w:p>
    <w:p>
      <w:pPr>
        <w:ind w:left="0"/>
        <w:jc w:val="both"/>
      </w:pPr>
      <w:r>
        <w:rPr>
          <w:b w:val="0"/>
          <w:i w:val="0"/>
        </w:rPr>
        <w:t>Ist der Spieler minderjährig, ist die Zustimmung der gesetzlichen Vertreter (Anlage 4) Wirksamkeitsvoraussetzung. Jugendschutz- und Arbeitszeitvorschriften werden beachtet.</w:t>
      </w:r>
    </w:p>
    <w:p>
      <w:pPr>
        <w:keepNext/>
        <w:spacing w:before="200"/>
      </w:pPr>
      <w:r>
        <w:rPr>
          <w:b/>
          <w:i w:val="0"/>
          <w:color w:val="0A0B0E"/>
          <w:sz w:val="23"/>
        </w:rPr>
        <w:t>§ 13 Schlussbestimmungen</w:t>
      </w:r>
    </w:p>
    <w:p>
      <w:pPr>
        <w:ind w:left="0"/>
        <w:jc w:val="both"/>
      </w:pPr>
      <w:r>
        <w:rPr>
          <w:b w:val="0"/>
          <w:i w:val="0"/>
        </w:rPr>
        <w:t xml:space="preserve">Änderungen bedürfen der Textform. Es gilt </w:t>
      </w:r>
      <w:r>
        <w:rPr>
          <w:b w:val="0"/>
          <w:i w:val="0"/>
          <w:highlight w:val="yellow"/>
        </w:rPr>
        <w:t>[deutsches]</w:t>
      </w:r>
      <w:r>
        <w:rPr>
          <w:b w:val="0"/>
          <w:i w:val="0"/>
        </w:rPr>
        <w:t xml:space="preserve"> Recht. Gerichtsstand: </w:t>
      </w:r>
      <w:r>
        <w:rPr>
          <w:b w:val="0"/>
          <w:i w:val="0"/>
          <w:highlight w:val="yellow"/>
        </w:rPr>
        <w:t>[Ort]</w:t>
      </w:r>
      <w:r>
        <w:rPr>
          <w:b w:val="0"/>
          <w:i w:val="0"/>
        </w:rPr>
        <w:t>. Sollten Bestimmungen unwirksam sein, bleibt der Vertrag im Übrigen wirksam (salvatorische Klausel). Anlagen: 1 Verhaltenskodex &amp; Social Media, 2 Prämienverteilung, 3 Bildrechte, 4 Erziehungsberechtigte.</w:t>
      </w:r>
    </w:p>
    <w:p/>
    <w:tbl>
      <w:tblPr>
        <w:tblW w:type="auto" w:w="0"/>
        <w:tblLook w:firstColumn="1" w:firstRow="1" w:lastColumn="0" w:lastRow="0" w:noHBand="0" w:noVBand="1" w:val="04A0"/>
      </w:tblPr>
      <w:tblGrid>
        <w:gridCol w:w="4873"/>
        <w:gridCol w:w="4873"/>
      </w:tblGrid>
      <w:tr>
        <w:tc>
          <w:tcPr>
            <w:tcW w:type="dxa" w:w="4873"/>
          </w:tcPr>
          <w:p>
            <w:r>
              <w:rPr>
                <w:b w:val="0"/>
                <w:i w:val="0"/>
                <w:color w:val="555B66"/>
              </w:rPr>
              <w:br/>
              <w:br/>
              <w:t>____________________________</w:t>
              <w:br/>
            </w:r>
            <w:r>
              <w:rPr>
                <w:b w:val="0"/>
                <w:i w:val="0"/>
                <w:color w:val="555B66"/>
                <w:highlight w:val="yellow"/>
              </w:rPr>
              <w:t>[Ort, Datum]</w:t>
            </w:r>
          </w:p>
        </w:tc>
        <w:tc>
          <w:tcPr>
            <w:tcW w:type="dxa" w:w="4873"/>
          </w:tcPr>
          <w:p>
            <w:r>
              <w:rPr>
                <w:b w:val="0"/>
                <w:i w:val="0"/>
                <w:color w:val="555B66"/>
              </w:rPr>
              <w:br/>
              <w:br/>
              <w:t>____________________________</w:t>
              <w:br/>
            </w:r>
            <w:r>
              <w:rPr>
                <w:b w:val="0"/>
                <w:i w:val="0"/>
                <w:color w:val="555B66"/>
                <w:highlight w:val="yellow"/>
              </w:rPr>
              <w:t>[Ort, Datum]</w:t>
            </w:r>
          </w:p>
        </w:tc>
      </w:tr>
      <w:tr>
        <w:tc>
          <w:tcPr>
            <w:tcW w:type="dxa" w:w="4873"/>
          </w:tcPr>
          <w:p>
            <w:r>
              <w:rPr>
                <w:b/>
                <w:i w:val="0"/>
              </w:rPr>
              <w:t>Organisation</w:t>
            </w:r>
          </w:p>
        </w:tc>
        <w:tc>
          <w:tcPr>
            <w:tcW w:type="dxa" w:w="4873"/>
          </w:tcPr>
          <w:p>
            <w:r>
              <w:rPr>
                <w:b/>
                <w:i w:val="0"/>
              </w:rPr>
              <w:t>Spieler</w:t>
            </w:r>
          </w:p>
        </w:tc>
      </w:tr>
    </w:tbl>
    <w:sectPr w:rsidR="00FC693F" w:rsidRPr="0006063C" w:rsidSect="00034616">
      <w:footerReference w:type="default" r:id="rId9"/>
      <w:pgSz w:w="12240" w:h="15840"/>
      <w:pgMar w:top="90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E96A3"/>
        <w:sz w:val="14"/>
      </w:rPr>
      <w:t xml:space="preserve">VALIOUX · </w:t>
    </w:r>
    <w:r>
      <w:rPr>
        <w:b w:val="0"/>
        <w:i w:val="0"/>
        <w:color w:val="8E96A3"/>
        <w:sz w:val="14"/>
        <w:highlight w:val="yellow"/>
      </w:rPr>
      <w:t>[Firmenname + Rechtsform, z. B. VALIOUX UG (haftungsbeschränkt)]</w:t>
    </w:r>
    <w:r>
      <w:rPr>
        <w:b w:val="0"/>
        <w:i w:val="0"/>
        <w:color w:val="8E96A3"/>
        <w:sz w:val="14"/>
      </w:rPr>
      <w:t xml:space="preserve"> · </w:t>
    </w:r>
    <w:r>
      <w:rPr>
        <w:b w:val="0"/>
        <w:i w:val="0"/>
        <w:color w:val="8E96A3"/>
        <w:sz w:val="14"/>
        <w:highlight w:val="yellow"/>
      </w:rPr>
      <w:t>[Straße, PLZ Ort]</w:t>
    </w:r>
    <w:r>
      <w:rPr>
        <w:b w:val="0"/>
        <w:i w:val="0"/>
        <w:color w:val="8E96A3"/>
        <w:sz w:val="14"/>
      </w:rPr>
      <w:br/>
      <w:t xml:space="preserve">Mustervorlage – keine Rechtsberatung. Vor Verwendung durch eine Rechtsanwältin / einen Rechtsanwalt prüfen und an Land, Rechtsform und Einzelfall anpassen. Gelb markierte </w:t>
    </w:r>
    <w:r>
      <w:rPr>
        <w:b w:val="0"/>
        <w:i w:val="0"/>
        <w:color w:val="8E96A3"/>
        <w:sz w:val="14"/>
        <w:highlight w:val="yellow"/>
      </w:rPr>
      <w:t>[Platzhalter]</w:t>
    </w:r>
    <w:r>
      <w:rPr>
        <w:b w:val="0"/>
        <w:i w:val="0"/>
        <w:color w:val="8E96A3"/>
        <w:sz w:val="14"/>
      </w:rPr>
      <w:t xml:space="preserve"> ausfüllen.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