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rPr>
                <w:b/>
                <w:i w:val="0"/>
                <w:color w:val="E4EAF2"/>
                <w:sz w:val="48"/>
              </w:rPr>
              <w:t>VLX</w:t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INVESTOR TERM SHEET</w:t>
      </w:r>
    </w:p>
    <w:p>
      <w:r>
        <w:rPr>
          <w:b w:val="0"/>
          <w:i/>
          <w:color w:val="555B66"/>
          <w:sz w:val="21"/>
        </w:rPr>
        <w:t>Unverbindliche Eckpunkte (außer Vertraulichkeit &amp; Exklusivität)</w:t>
      </w:r>
    </w:p>
    <w:p>
      <w:pPr>
        <w:spacing w:after="160"/>
        <w:pBdr>
          <w:bottom w:val="single" w:sz="8" w:space="1" w:color="8E96A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Gesellschaft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[Firmenname + Rechtsform, z. B. VALIOUX UG (haftungsbeschränkt)]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[Straße, PLZ Ort]</w:t>
            </w:r>
            <w:r>
              <w:rPr>
                <w:b w:val="0"/>
                <w:i w:val="0"/>
              </w:rPr>
              <w:br/>
              <w:t xml:space="preserve">vertreten durch </w:t>
            </w:r>
            <w:r>
              <w:rPr>
                <w:b w:val="0"/>
                <w:i w:val="0"/>
                <w:highlight w:val="yellow"/>
              </w:rPr>
              <w:t>[Name, Funktion]</w:t>
            </w:r>
          </w:p>
        </w:tc>
      </w:tr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Investor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[Name / Gesellschaft]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[Anschrift]</w:t>
            </w:r>
            <w:r>
              <w:rPr>
                <w:b w:val="0"/>
                <w:i w:val="0"/>
              </w:rPr>
              <w:br/>
              <w:t xml:space="preserve">vertreten durch </w:t>
            </w:r>
            <w:r>
              <w:rPr>
                <w:b w:val="0"/>
                <w:i w:val="0"/>
                <w:highlight w:val="yellow"/>
              </w:rPr>
              <w:t>[Name]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Investitionssumme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[Betrag]</w:t>
            </w:r>
            <w:r>
              <w:rPr>
                <w:b w:val="0"/>
                <w:i w:val="0"/>
                <w:sz w:val="19"/>
              </w:rPr>
              <w:t xml:space="preserve"> € in </w:t>
            </w:r>
            <w:r>
              <w:rPr>
                <w:b w:val="0"/>
                <w:i w:val="0"/>
                <w:sz w:val="19"/>
                <w:highlight w:val="yellow"/>
              </w:rPr>
              <w:t>[Tranche 1: Betrag/Datum]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b w:val="0"/>
                <w:i w:val="0"/>
                <w:sz w:val="19"/>
                <w:highlight w:val="yellow"/>
              </w:rPr>
              <w:t>[Tranche 2: Betrag/Meilenstein]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Bewertung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 xml:space="preserve">Pre-Money-Bewertung </w:t>
            </w:r>
            <w:r>
              <w:rPr>
                <w:b w:val="0"/>
                <w:i w:val="0"/>
                <w:sz w:val="19"/>
                <w:highlight w:val="yellow"/>
              </w:rPr>
              <w:t>[Betrag]</w:t>
            </w:r>
            <w:r>
              <w:rPr>
                <w:b w:val="0"/>
                <w:i w:val="0"/>
                <w:sz w:val="19"/>
              </w:rPr>
              <w:t xml:space="preserve"> €; Beteiligung des Investors nach Finanzierung: </w:t>
            </w:r>
            <w:r>
              <w:rPr>
                <w:b w:val="0"/>
                <w:i w:val="0"/>
                <w:sz w:val="19"/>
                <w:highlight w:val="yellow"/>
              </w:rPr>
              <w:t>[x]</w:t>
            </w:r>
            <w:r>
              <w:rPr>
                <w:b w:val="0"/>
                <w:i w:val="0"/>
                <w:sz w:val="19"/>
              </w:rPr>
              <w:t xml:space="preserve"> % (Cap-Table in Anlage)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Instrument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[Kapitalerhöhung (Geschäftsanteile) / Wandeldarlehen / stille Beteiligung / Revenue Share]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Verwendung der Mittel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 xml:space="preserve">Spielergehälter </w:t>
            </w:r>
            <w:r>
              <w:rPr>
                <w:b w:val="0"/>
                <w:i w:val="0"/>
                <w:sz w:val="19"/>
                <w:highlight w:val="yellow"/>
              </w:rPr>
              <w:t>[x]</w:t>
            </w:r>
            <w:r>
              <w:rPr>
                <w:b w:val="0"/>
                <w:i w:val="0"/>
                <w:sz w:val="19"/>
              </w:rPr>
              <w:t xml:space="preserve"> %, Bootcamp/Reisen </w:t>
            </w:r>
            <w:r>
              <w:rPr>
                <w:b w:val="0"/>
                <w:i w:val="0"/>
                <w:sz w:val="19"/>
                <w:highlight w:val="yellow"/>
              </w:rPr>
              <w:t>[x]</w:t>
            </w:r>
            <w:r>
              <w:rPr>
                <w:b w:val="0"/>
                <w:i w:val="0"/>
                <w:sz w:val="19"/>
              </w:rPr>
              <w:t xml:space="preserve"> %, Content &amp; Marketing </w:t>
            </w:r>
            <w:r>
              <w:rPr>
                <w:b w:val="0"/>
                <w:i w:val="0"/>
                <w:sz w:val="19"/>
                <w:highlight w:val="yellow"/>
              </w:rPr>
              <w:t>[x]</w:t>
            </w:r>
            <w:r>
              <w:rPr>
                <w:b w:val="0"/>
                <w:i w:val="0"/>
                <w:sz w:val="19"/>
              </w:rPr>
              <w:t xml:space="preserve"> %, Admin/Recht </w:t>
            </w:r>
            <w:r>
              <w:rPr>
                <w:b w:val="0"/>
                <w:i w:val="0"/>
                <w:sz w:val="19"/>
                <w:highlight w:val="yellow"/>
              </w:rPr>
              <w:t>[x]</w:t>
            </w:r>
            <w:r>
              <w:rPr>
                <w:b w:val="0"/>
                <w:i w:val="0"/>
                <w:sz w:val="19"/>
              </w:rPr>
              <w:t xml:space="preserve"> %, Reserve </w:t>
            </w:r>
            <w:r>
              <w:rPr>
                <w:b w:val="0"/>
                <w:i w:val="0"/>
                <w:sz w:val="19"/>
                <w:highlight w:val="yellow"/>
              </w:rPr>
              <w:t>[x]</w:t>
            </w:r>
            <w:r>
              <w:rPr>
                <w:b w:val="0"/>
                <w:i w:val="0"/>
                <w:sz w:val="19"/>
              </w:rPr>
              <w:t xml:space="preserve"> %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Governance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 xml:space="preserve">Beirat/Board: </w:t>
            </w:r>
            <w:r>
              <w:rPr>
                <w:b w:val="0"/>
                <w:i w:val="0"/>
                <w:sz w:val="19"/>
                <w:highlight w:val="yellow"/>
              </w:rPr>
              <w:t>[x]</w:t>
            </w:r>
            <w:r>
              <w:rPr>
                <w:b w:val="0"/>
                <w:i w:val="0"/>
                <w:sz w:val="19"/>
              </w:rPr>
              <w:t xml:space="preserve"> Sitze Gründer, </w:t>
            </w:r>
            <w:r>
              <w:rPr>
                <w:b w:val="0"/>
                <w:i w:val="0"/>
                <w:sz w:val="19"/>
                <w:highlight w:val="yellow"/>
              </w:rPr>
              <w:t>[x]</w:t>
            </w:r>
            <w:r>
              <w:rPr>
                <w:b w:val="0"/>
                <w:i w:val="0"/>
                <w:sz w:val="19"/>
              </w:rPr>
              <w:t xml:space="preserve"> Sitze Investor; zustimmungspflichtige Maßnahmen: </w:t>
            </w:r>
            <w:r>
              <w:rPr>
                <w:b w:val="0"/>
                <w:i w:val="0"/>
                <w:sz w:val="19"/>
                <w:highlight w:val="yellow"/>
              </w:rPr>
              <w:t>[Budget &gt; Betrag, Verkauf von Anteilen, Kreditaufnahme, Spieler-Transfers &gt; Betrag]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Informationsrechte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 xml:space="preserve">Monatliches Reporting (Cashflow, Roster, Sponsoring-Pipeline), Jahresabschluss binnen </w:t>
            </w:r>
            <w:r>
              <w:rPr>
                <w:b w:val="0"/>
                <w:i w:val="0"/>
                <w:sz w:val="19"/>
                <w:highlight w:val="yellow"/>
              </w:rPr>
              <w:t>[x]</w:t>
            </w:r>
            <w:r>
              <w:rPr>
                <w:b w:val="0"/>
                <w:i w:val="0"/>
                <w:sz w:val="19"/>
              </w:rPr>
              <w:t xml:space="preserve"> Monaten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Verwässerungsschutz / Vorkaufsrecht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[Pro-rata-Recht, Vorkaufs-/Mitverkaufsrecht (Tag-along), Drag-along bei [x]</w:t>
            </w:r>
            <w:r>
              <w:rPr>
                <w:b w:val="0"/>
                <w:i w:val="0"/>
                <w:sz w:val="19"/>
              </w:rPr>
              <w:t xml:space="preserve"> %]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Exit / Rückzahlung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[Exit-Erlös-Verteilung, Rückkaufoption der Gründer, Mindestlaufzeit [x]</w:t>
            </w:r>
            <w:r>
              <w:rPr>
                <w:b w:val="0"/>
                <w:i w:val="0"/>
                <w:sz w:val="19"/>
              </w:rPr>
              <w:t xml:space="preserve"> Jahre]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Vesting Gründer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[x]</w:t>
            </w:r>
            <w:r>
              <w:rPr>
                <w:b w:val="0"/>
                <w:i w:val="0"/>
                <w:sz w:val="19"/>
              </w:rPr>
              <w:t xml:space="preserve"> Jahre, Cliff </w:t>
            </w:r>
            <w:r>
              <w:rPr>
                <w:b w:val="0"/>
                <w:i w:val="0"/>
                <w:sz w:val="19"/>
                <w:highlight w:val="yellow"/>
              </w:rPr>
              <w:t>[x]</w:t>
            </w:r>
            <w:r>
              <w:rPr>
                <w:b w:val="0"/>
                <w:i w:val="0"/>
                <w:sz w:val="19"/>
              </w:rPr>
              <w:t xml:space="preserve"> Monate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Vertraulichkeit &amp; Exklusivität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 xml:space="preserve">Bindend: Vertraulichkeit; Exklusivität der Verhandlung </w:t>
            </w:r>
            <w:r>
              <w:rPr>
                <w:b w:val="0"/>
                <w:i w:val="0"/>
                <w:sz w:val="19"/>
                <w:highlight w:val="yellow"/>
              </w:rPr>
              <w:t>[x]</w:t>
            </w:r>
            <w:r>
              <w:rPr>
                <w:b w:val="0"/>
                <w:i w:val="0"/>
                <w:sz w:val="19"/>
              </w:rPr>
              <w:t xml:space="preserve"> Wochen ab Unterschrift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Bedingungen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Due Diligence, Gesellschafterbeschluss, notarielle Beurkundung, Sponsoring-/Spielerverträge liegen vor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Anwendbares Recht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[deutsches Recht]</w:t>
            </w:r>
            <w:r>
              <w:rPr>
                <w:b w:val="0"/>
                <w:i w:val="0"/>
                <w:sz w:val="19"/>
              </w:rPr>
              <w:t xml:space="preserve">, Gerichtsstand </w:t>
            </w:r>
            <w:r>
              <w:rPr>
                <w:b w:val="0"/>
                <w:i w:val="0"/>
                <w:sz w:val="19"/>
                <w:highlight w:val="yellow"/>
              </w:rPr>
              <w:t>[Ort]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</w:rPr>
              <w:t>Gesellschaft</w:t>
            </w:r>
          </w:p>
        </w:tc>
        <w:tc>
          <w:tcPr>
            <w:tcW w:type="dxa" w:w="4873"/>
          </w:tcPr>
          <w:p>
            <w:r>
              <w:rPr>
                <w:b/>
                <w:i w:val="0"/>
              </w:rPr>
              <w:t>Investor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