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INVESTORENVERTRAG / BETEILIGUNGSVEREINBARUNG</w:t>
      </w:r>
    </w:p>
    <w:p>
      <w:r>
        <w:rPr>
          <w:b w:val="0"/>
          <w:i/>
          <w:color w:val="555B66"/>
          <w:sz w:val="21"/>
        </w:rPr>
        <w:t>Rahmenvertrag – Details notariell/anwaltlich ausgestalten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Gesellschaft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Investor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 / Gesellschaft]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Beteiligung</w:t>
      </w:r>
    </w:p>
    <w:p>
      <w:pPr>
        <w:ind w:left="0"/>
        <w:jc w:val="both"/>
      </w:pPr>
      <w:r>
        <w:rPr>
          <w:b w:val="0"/>
          <w:i w:val="0"/>
        </w:rPr>
        <w:t xml:space="preserve">Der Investor beteiligt sich mit </w:t>
      </w: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an der Gesellschaft und erhält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% der Geschäftsanteile / </w:t>
      </w:r>
      <w:r>
        <w:rPr>
          <w:b w:val="0"/>
          <w:i w:val="0"/>
          <w:highlight w:val="yellow"/>
        </w:rPr>
        <w:t>[Instrument]</w:t>
      </w:r>
      <w:r>
        <w:rPr>
          <w:b w:val="0"/>
          <w:i w:val="0"/>
        </w:rPr>
        <w:t xml:space="preserve">. Einzahlung binnen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Tagen nach Unterzeichnung/Beurkundung.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Mittelverwendung</w:t>
      </w:r>
    </w:p>
    <w:p>
      <w:pPr>
        <w:ind w:left="0"/>
        <w:jc w:val="both"/>
      </w:pPr>
      <w:r>
        <w:rPr>
          <w:b w:val="0"/>
          <w:i w:val="0"/>
        </w:rPr>
        <w:t xml:space="preserve">Die Mittel werden ausschließlich gemäß Investitionsplan (Anlage 1) verwendet. Abweichungen &gt;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% bedürfen der Zustimmung des Investors.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Gewinn- und Erlösbeteiligung</w:t>
      </w:r>
    </w:p>
    <w:p>
      <w:pPr>
        <w:ind w:left="0"/>
        <w:jc w:val="both"/>
      </w:pPr>
      <w:r>
        <w:rPr>
          <w:b w:val="0"/>
          <w:i w:val="0"/>
        </w:rPr>
        <w:t xml:space="preserve">Ausschüttungen im Verhältnis der Beteiligung nach Bildung angemessener Rücklagen; Revenue-Share-Variante: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% der Netto-Einnahmen aus </w:t>
      </w:r>
      <w:r>
        <w:rPr>
          <w:b w:val="0"/>
          <w:i w:val="0"/>
          <w:highlight w:val="yellow"/>
        </w:rPr>
        <w:t>[Sponsoring/Merch/Preisgeld]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Mitwirkung &amp; Informationsrechte</w:t>
      </w:r>
    </w:p>
    <w:p>
      <w:pPr>
        <w:ind w:left="0"/>
        <w:jc w:val="both"/>
      </w:pPr>
      <w:r>
        <w:rPr>
          <w:b w:val="0"/>
          <w:i w:val="0"/>
        </w:rPr>
        <w:t>Beirat nach Term Sheet; Quartalsreporting; Einsicht in Bücher nach angemeldeter Prüfung.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Zustimmungspflichtige Geschäfte</w:t>
      </w:r>
    </w:p>
    <w:p>
      <w:pPr>
        <w:ind w:left="0"/>
        <w:jc w:val="both"/>
      </w:pPr>
      <w:r>
        <w:rPr>
          <w:b w:val="0"/>
          <w:i w:val="0"/>
          <w:highlight w:val="yellow"/>
        </w:rPr>
        <w:t>[Liste, z. B. Aufnahme von Krediten &gt; Betrag, Veräußerung von Teams/Slots, Änderung des Gesellschaftszwecks]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Wettbewerb, Interessenkonflikte</w:t>
      </w:r>
    </w:p>
    <w:p>
      <w:pPr>
        <w:ind w:left="0"/>
        <w:jc w:val="both"/>
      </w:pPr>
      <w:r>
        <w:rPr>
          <w:b w:val="0"/>
          <w:i w:val="0"/>
        </w:rPr>
        <w:t>Der Investor legt Beteiligungen an Wettbewerbern offen; Vertraulichkeit über Spielerverträge und Finanzen.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7 Übertragung von Anteilen</w:t>
      </w:r>
    </w:p>
    <w:p>
      <w:pPr>
        <w:ind w:left="0"/>
        <w:jc w:val="both"/>
      </w:pPr>
      <w:r>
        <w:rPr>
          <w:b w:val="0"/>
          <w:i w:val="0"/>
        </w:rPr>
        <w:t>Vorkaufsrecht der Gesellschaft/Gründer, Mitverkaufsrecht, Mitnahmepflicht nach Term Sheet.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8 Laufzeit, Exit, Kündigung</w:t>
      </w:r>
    </w:p>
    <w:p>
      <w:pPr>
        <w:ind w:left="0"/>
        <w:jc w:val="both"/>
      </w:pPr>
      <w:r>
        <w:rPr>
          <w:b w:val="0"/>
          <w:i w:val="0"/>
        </w:rPr>
        <w:t xml:space="preserve">Mindestlaufzeit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Jahre. Exit-Klauseln: </w:t>
      </w:r>
      <w:r>
        <w:rPr>
          <w:b w:val="0"/>
          <w:i w:val="0"/>
          <w:highlight w:val="yellow"/>
        </w:rPr>
        <w:t>[Verkauf, Rückkauf, Börsengang]</w:t>
      </w:r>
      <w:r>
        <w:rPr>
          <w:b w:val="0"/>
          <w:i w:val="0"/>
        </w:rPr>
        <w:t>. Ordentliche Kündigung ausgeschlossen, außerordentlich aus wichtigem Grund.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9 Garantien</w:t>
      </w:r>
    </w:p>
    <w:p>
      <w:pPr>
        <w:ind w:left="0"/>
        <w:jc w:val="both"/>
      </w:pPr>
      <w:r>
        <w:rPr>
          <w:b w:val="0"/>
          <w:i w:val="0"/>
        </w:rPr>
        <w:t>Die Gründer garantieren, dass Marken, Domains, Social-Media-Accounts und Verträge ordnungsgemäß bestehen und frei von Rechten Dritter sind.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10 Schlussbestimmungen</w:t>
      </w:r>
    </w:p>
    <w:p>
      <w:pPr>
        <w:ind w:left="0"/>
        <w:jc w:val="both"/>
      </w:pPr>
      <w:r>
        <w:rPr>
          <w:b w:val="0"/>
          <w:i w:val="0"/>
        </w:rPr>
        <w:t xml:space="preserve">Textform; salvatorische Klausel; </w:t>
      </w:r>
      <w:r>
        <w:rPr>
          <w:b w:val="0"/>
          <w:i w:val="0"/>
          <w:highlight w:val="yellow"/>
        </w:rPr>
        <w:t>[deutsches]</w:t>
      </w:r>
      <w:r>
        <w:rPr>
          <w:b w:val="0"/>
          <w:i w:val="0"/>
        </w:rPr>
        <w:t xml:space="preserve"> Recht; Gerichtsstand </w:t>
      </w:r>
      <w:r>
        <w:rPr>
          <w:b w:val="0"/>
          <w:i w:val="0"/>
          <w:highlight w:val="yellow"/>
        </w:rPr>
        <w:t>[Ort]</w:t>
      </w:r>
      <w:r>
        <w:rPr>
          <w:b w:val="0"/>
          <w:i w:val="0"/>
        </w:rPr>
        <w:t>. Anlagen: 1 Investitionsplan, 2 Cap-Table, 3 Gesellschafterliste.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Gesellschaft / Gründer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Investor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