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GEHEIMHALTUNGSVEREINBARUNG (NDA)</w:t>
      </w:r>
    </w:p>
    <w:p>
      <w:r>
        <w:rPr>
          <w:b w:val="0"/>
          <w:i/>
          <w:color w:val="555B66"/>
          <w:sz w:val="21"/>
        </w:rPr>
        <w:t>Gegenseitig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Partei A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Partei B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 / Firma]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Vertrauliche Informationen</w:t>
      </w:r>
    </w:p>
    <w:p>
      <w:pPr>
        <w:ind w:left="0"/>
        <w:jc w:val="both"/>
      </w:pPr>
      <w:r>
        <w:rPr>
          <w:b w:val="0"/>
          <w:i w:val="0"/>
        </w:rPr>
        <w:t>Alle nicht öffentlichen Informationen, insbesondere Verträge, Finanzdaten, Strategien, Spielerdaten, Sponsoring-Konditionen, Pläne zu Branding und Roster, unabhängig von der Form.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Pflichten</w:t>
      </w:r>
    </w:p>
    <w:p>
      <w:pPr>
        <w:ind w:left="0"/>
        <w:jc w:val="both"/>
      </w:pPr>
      <w:r>
        <w:rPr>
          <w:b w:val="0"/>
          <w:i w:val="0"/>
        </w:rPr>
        <w:t xml:space="preserve">Nutzung nur zum Zweck </w:t>
      </w:r>
      <w:r>
        <w:rPr>
          <w:b w:val="0"/>
          <w:i w:val="0"/>
          <w:highlight w:val="yellow"/>
        </w:rPr>
        <w:t>[Zweck]</w:t>
      </w:r>
      <w:r>
        <w:rPr>
          <w:b w:val="0"/>
          <w:i w:val="0"/>
        </w:rPr>
        <w:t>; Weitergabe nur an Personen mit Need-to-know, die gleichwertig gebunden sind; angemessene Schutzmaßnahmen.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Ausnahmen</w:t>
      </w:r>
    </w:p>
    <w:p>
      <w:pPr>
        <w:ind w:left="0"/>
        <w:jc w:val="both"/>
      </w:pPr>
      <w:r>
        <w:rPr>
          <w:b w:val="0"/>
          <w:i w:val="0"/>
        </w:rPr>
        <w:t>Öffentlich bekannte, rechtmäßig von Dritten erhaltene oder eigenständig entwickelte Informationen; gesetzliche oder behördliche Offenlegungspflichten (mit Vorabinformation).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Dauer</w:t>
      </w:r>
    </w:p>
    <w:p>
      <w:pPr>
        <w:ind w:left="0"/>
        <w:jc w:val="both"/>
      </w:pPr>
      <w:r>
        <w:rPr>
          <w:b w:val="0"/>
          <w:i w:val="0"/>
        </w:rPr>
        <w:t xml:space="preserve">Die Pflichten gelten ab Unterzeichnung für </w:t>
      </w:r>
      <w:r>
        <w:rPr>
          <w:b w:val="0"/>
          <w:i w:val="0"/>
          <w:highlight w:val="yellow"/>
        </w:rPr>
        <w:t>[3]</w:t>
      </w:r>
      <w:r>
        <w:rPr>
          <w:b w:val="0"/>
          <w:i w:val="0"/>
        </w:rPr>
        <w:t xml:space="preserve"> Jahre über das Ende der Zusammenarbeit hinaus.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Vertragsstrafe</w:t>
      </w:r>
    </w:p>
    <w:p>
      <w:pPr>
        <w:ind w:left="0"/>
        <w:jc w:val="both"/>
      </w:pPr>
      <w:r>
        <w:rPr>
          <w:b w:val="0"/>
          <w:i w:val="0"/>
        </w:rPr>
        <w:t xml:space="preserve">Bei schuldhaftem Verstoß: </w:t>
      </w: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 xml:space="preserve"> € je Fall (angemessen, nach billigem Ermessen konkretisierbar); weitergehende Ansprüche bleiben unberührt.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Recht und Gericht</w:t>
      </w:r>
    </w:p>
    <w:p>
      <w:pPr>
        <w:ind w:left="0"/>
        <w:jc w:val="both"/>
      </w:pPr>
      <w:r>
        <w:rPr>
          <w:b w:val="0"/>
          <w:i w:val="0"/>
          <w:highlight w:val="yellow"/>
        </w:rPr>
        <w:t>[Deutsches]</w:t>
      </w:r>
      <w:r>
        <w:rPr>
          <w:b w:val="0"/>
          <w:i w:val="0"/>
        </w:rPr>
        <w:t xml:space="preserve"> Recht; Gerichtsstand </w:t>
      </w:r>
      <w:r>
        <w:rPr>
          <w:b w:val="0"/>
          <w:i w:val="0"/>
          <w:highlight w:val="yellow"/>
        </w:rPr>
        <w:t>[Ort]</w:t>
      </w:r>
      <w:r>
        <w:rPr>
          <w:b w:val="0"/>
          <w:i w:val="0"/>
        </w:rPr>
        <w:t>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Partei A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Partei B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