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38397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a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97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EINWILLIGUNG BILD- &amp; PERSÖNLICHKEITSRECHTE</w:t>
      </w:r>
    </w:p>
    <w:p>
      <w:r>
        <w:rPr>
          <w:b w:val="0"/>
          <w:i/>
          <w:color w:val="555B66"/>
          <w:sz w:val="21"/>
        </w:rPr>
        <w:t>Anlage 3 zum Spieler-/Staff-/Creator-Vertrag</w:t>
      </w:r>
    </w:p>
    <w:p>
      <w:pPr>
        <w:spacing w:after="160"/>
        <w:pBdr>
          <w:bottom w:val="single" w:sz="8" w:space="1" w:color="8E96A3"/>
        </w:pBdr>
      </w:pPr>
    </w:p>
    <w:p>
      <w:pPr>
        <w:ind w:left="0"/>
        <w:jc w:val="both"/>
      </w:pPr>
      <w:r>
        <w:rPr>
          <w:b w:val="0"/>
          <w:i w:val="0"/>
        </w:rPr>
        <w:t>Ich willige ein, dass VALIOUX Fotos, Videos, Audioaufnahmen, Name, Spielername/Handle und Spielstatistiken zu folgenden Zwecken nutzen darf: Website, Social Media, Streams, Presse, Merchandise, Sponsoring-Materialien, Ausstellungen/Events.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1 Umfang</w:t>
      </w:r>
    </w:p>
    <w:p>
      <w:pPr>
        <w:ind w:left="0"/>
        <w:jc w:val="both"/>
      </w:pPr>
      <w:r>
        <w:rPr>
          <w:b w:val="0"/>
          <w:i w:val="0"/>
        </w:rPr>
        <w:t>Räumlich unbeschränkt, zeitlich für die Dauer der Zusammenarbeit; bereits veröffentlichte Inhalte dürfen als Archiv bestehen bleiben. Bearbeitung (Schnitt, Grafik) ist zulässig, entstellende Darstellungen nicht.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2 Merchandise</w:t>
      </w:r>
    </w:p>
    <w:p>
      <w:pPr>
        <w:ind w:left="0"/>
        <w:jc w:val="both"/>
      </w:pPr>
      <w:r>
        <w:rPr>
          <w:b w:val="0"/>
          <w:i w:val="0"/>
        </w:rPr>
        <w:t xml:space="preserve">Nutzung des Namens/Handles auf Merch nur nach Absprache; Beteiligung: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% des Netto-Erlöses mit Spielerbezug.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3 Widerruf</w:t>
      </w:r>
    </w:p>
    <w:p>
      <w:pPr>
        <w:ind w:left="0"/>
        <w:jc w:val="both"/>
      </w:pPr>
      <w:r>
        <w:rPr>
          <w:b w:val="0"/>
          <w:i w:val="0"/>
        </w:rPr>
        <w:t>Widerruf mit Wirkung für die Zukunft aus wichtigem Grund möglich; bereits gedruckte/produzierte Materialien müssen nicht zurückgerufen werden.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4 Datenschutz</w:t>
      </w:r>
    </w:p>
    <w:p>
      <w:pPr>
        <w:ind w:left="0"/>
        <w:jc w:val="both"/>
      </w:pPr>
      <w:r>
        <w:rPr>
          <w:b w:val="0"/>
          <w:i w:val="0"/>
        </w:rPr>
        <w:t xml:space="preserve">Ich wurde über Zwecke der Verarbeitung, Rechte (Auskunft, Löschung, Widerruf) und Ansprechpartner </w:t>
      </w:r>
      <w:r>
        <w:rPr>
          <w:b w:val="0"/>
          <w:i w:val="0"/>
          <w:highlight w:val="yellow"/>
        </w:rPr>
        <w:t>[Datenschutzkontakt]</w:t>
      </w:r>
      <w:r>
        <w:rPr>
          <w:b w:val="0"/>
          <w:i w:val="0"/>
        </w:rPr>
        <w:t xml:space="preserve"> informiert.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</w:rPr>
              <w:t>Organisation</w:t>
            </w:r>
          </w:p>
        </w:tc>
        <w:tc>
          <w:tcPr>
            <w:tcW w:type="dxa" w:w="4873"/>
          </w:tcPr>
          <w:p>
            <w:r>
              <w:rPr>
                <w:b/>
                <w:i w:val="0"/>
              </w:rPr>
              <w:t>Einwilligende/r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