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AgentFlow 本地多平台 MVP：系统架构与技术实现方案</w:t>
      </w:r>
    </w:p>
    <w:p>
      <w:r>
        <w:t>方案评审稿 v0.3｜2026-09-18</w:t>
      </w:r>
    </w:p>
    <w:p>
      <w:r>
        <w:rPr>
          <w:b/>
        </w:rPr>
        <w:t>推荐方案：一个本地控制端，连接自有的 Linux、macOS、Windows 执行环境，完成 Web、API、iOS、Android、Windows、macOS、Linux 原生应用的研发与真实测试闭环。</w:t>
      </w:r>
      <w:r>
        <w:t xml:space="preserve"> 控制端采用 FastAPI、SQLite WAL、本地文件和纯 Git；OpenHands SDK 承载专业角色会话，Codex 承载编码任务；平台统一管理并行、版本、人审、执行证据和交付。</w:t>
      </w:r>
    </w:p>
    <w:p>
      <w:r>
        <w:t>本地优先指状态、代码、执行和产物保存在用户控制的设备上。不同系统使用合适的自有主机或虚拟机，不能要求一台任意操作系统的电脑原生执行全部平台工具。MVP 的完成标准包含七类目标的实际参考验收，不以预留接口、生成脚本或模拟报告代替。</w:t>
      </w:r>
    </w:p>
    <w:p>
      <w:r>
        <w:t>本文件交付架构设计与实施约束；配套接口、工作包和验收项用于评审及开发。平台功能、模型兼容和各操作系统的实际测试尚未实施验证。</w:t>
      </w:r>
    </w:p>
    <w:p>
      <w:pPr>
        <w:pStyle w:val="Heading1"/>
      </w:pPr>
      <w:r>
        <w:t>1. 版本调整统一对照</w:t>
      </w:r>
    </w:p>
    <w:p>
      <w:r>
        <w:t>本表集中记录文档版本差异；其余正文只定义当前架构。</w:t>
      </w:r>
    </w:p>
    <w:tbl>
      <w:tblPr>
        <w:tblW w:type="auto" w:w="0"/>
        <w:tblLayout w:type="fixed"/>
        <w:tblLook w:firstColumn="1" w:firstRow="1" w:lastColumn="0" w:lastRow="0" w:noHBand="0" w:noVBand="1" w:val="04A0"/>
      </w:tblPr>
      <w:tblGrid>
        <w:gridCol w:w="1950"/>
        <w:gridCol w:w="3900"/>
        <w:gridCol w:w="3900"/>
      </w:tblGrid>
      <w:tr>
        <w:trPr>
          <w:cantSplit/>
          <w:tblHeader/>
        </w:trPr>
        <w:tc>
          <w:tcPr>
            <w:tcW w:type="dxa" w:w="1950"/>
            <w:tcMar>
              <w:top w:w="90" w:type="dxa"/>
              <w:bottom w:w="90" w:type="dxa"/>
              <w:left w:w="100" w:type="dxa"/>
              <w:right w:w="100" w:type="dxa"/>
            </w:tcMar>
            <w:shd w:fill="163553"/>
          </w:tcPr>
          <w:p>
            <w:pPr>
              <w:spacing w:after="20" w:line="269" w:lineRule="auto"/>
            </w:pPr>
            <w:r>
              <w:rPr>
                <w:b/>
                <w:color w:val="FFFFFF"/>
                <w:sz w:val="18"/>
              </w:rPr>
              <w:t>主题</w:t>
            </w:r>
          </w:p>
        </w:tc>
        <w:tc>
          <w:tcPr>
            <w:tcW w:type="dxa" w:w="3900"/>
            <w:tcMar>
              <w:top w:w="90" w:type="dxa"/>
              <w:bottom w:w="90" w:type="dxa"/>
              <w:left w:w="100" w:type="dxa"/>
              <w:right w:w="100" w:type="dxa"/>
            </w:tcMar>
            <w:shd w:fill="163553"/>
          </w:tcPr>
          <w:p>
            <w:pPr>
              <w:spacing w:after="20" w:line="269" w:lineRule="auto"/>
            </w:pPr>
            <w:r>
              <w:rPr>
                <w:b/>
                <w:color w:val="FFFFFF"/>
                <w:sz w:val="18"/>
              </w:rPr>
              <w:t>既有版本安排</w:t>
            </w:r>
          </w:p>
        </w:tc>
        <w:tc>
          <w:tcPr>
            <w:tcW w:type="dxa" w:w="3900"/>
            <w:tcMar>
              <w:top w:w="90" w:type="dxa"/>
              <w:bottom w:w="90" w:type="dxa"/>
              <w:left w:w="100" w:type="dxa"/>
              <w:right w:w="100" w:type="dxa"/>
            </w:tcMar>
            <w:shd w:fill="163553"/>
          </w:tcPr>
          <w:p>
            <w:pPr>
              <w:spacing w:after="20" w:line="269" w:lineRule="auto"/>
            </w:pPr>
            <w:r>
              <w:rPr>
                <w:b/>
                <w:color w:val="FFFFFF"/>
                <w:sz w:val="18"/>
              </w:rPr>
              <w:t>当前 v0.3 方案</w:t>
            </w:r>
          </w:p>
        </w:tc>
      </w:tr>
      <w:tr>
        <w:trPr>
          <w:cantSplit/>
        </w:trPr>
        <w:tc>
          <w:tcPr>
            <w:tcW w:type="dxa" w:w="1950"/>
            <w:tcMar>
              <w:top w:w="90" w:type="dxa"/>
              <w:bottom w:w="90" w:type="dxa"/>
              <w:left w:w="100" w:type="dxa"/>
              <w:right w:w="100" w:type="dxa"/>
            </w:tcMar>
            <w:shd w:fill="F1F5F9"/>
          </w:tcPr>
          <w:p>
            <w:pPr>
              <w:spacing w:after="20" w:line="269" w:lineRule="auto"/>
            </w:pPr>
            <w:r>
              <w:rPr>
                <w:sz w:val="18"/>
              </w:rPr>
              <w:t>产品目标</w:t>
            </w:r>
          </w:p>
        </w:tc>
        <w:tc>
          <w:tcPr>
            <w:tcW w:type="dxa" w:w="3900"/>
            <w:tcMar>
              <w:top w:w="90" w:type="dxa"/>
              <w:bottom w:w="90" w:type="dxa"/>
              <w:left w:w="100" w:type="dxa"/>
              <w:right w:w="100" w:type="dxa"/>
            </w:tcMar>
            <w:shd w:fill="F1F5F9"/>
          </w:tcPr>
          <w:p>
            <w:pPr>
              <w:spacing w:after="20" w:line="269" w:lineRule="auto"/>
            </w:pPr>
            <w:r>
              <w:rPr>
                <w:sz w:val="18"/>
              </w:rPr>
              <w:t>PRD v0.5 描述完整产品；技术 v0.1 覆盖六类目标，未单列 Linux 原生</w:t>
            </w:r>
          </w:p>
        </w:tc>
        <w:tc>
          <w:tcPr>
            <w:tcW w:type="dxa" w:w="3900"/>
            <w:tcMar>
              <w:top w:w="90" w:type="dxa"/>
              <w:bottom w:w="90" w:type="dxa"/>
              <w:left w:w="100" w:type="dxa"/>
              <w:right w:w="100" w:type="dxa"/>
            </w:tcMar>
            <w:shd w:fill="F1F5F9"/>
          </w:tcPr>
          <w:p>
            <w:pPr>
              <w:spacing w:after="20" w:line="269" w:lineRule="auto"/>
            </w:pPr>
            <w:r>
              <w:rPr>
                <w:sz w:val="18"/>
              </w:rPr>
              <w:t>以完整产品目标为依据，MVP 明确七类目标及每类真实参考验收</w:t>
            </w:r>
          </w:p>
        </w:tc>
      </w:tr>
      <w:tr>
        <w:trPr>
          <w:cantSplit/>
        </w:trPr>
        <w:tc>
          <w:tcPr>
            <w:tcW w:type="dxa" w:w="1950"/>
            <w:tcMar>
              <w:top w:w="90" w:type="dxa"/>
              <w:bottom w:w="90" w:type="dxa"/>
              <w:left w:w="100" w:type="dxa"/>
              <w:right w:w="100" w:type="dxa"/>
            </w:tcMar>
            <w:shd w:fill="FFFFFF"/>
          </w:tcPr>
          <w:p>
            <w:pPr>
              <w:spacing w:after="20" w:line="269" w:lineRule="auto"/>
            </w:pPr>
            <w:r>
              <w:rPr>
                <w:sz w:val="18"/>
              </w:rPr>
              <w:t>原生范围</w:t>
            </w:r>
          </w:p>
        </w:tc>
        <w:tc>
          <w:tcPr>
            <w:tcW w:type="dxa" w:w="3900"/>
            <w:tcMar>
              <w:top w:w="90" w:type="dxa"/>
              <w:bottom w:w="90" w:type="dxa"/>
              <w:left w:w="100" w:type="dxa"/>
              <w:right w:w="100" w:type="dxa"/>
            </w:tcMar>
            <w:shd w:fill="FFFFFF"/>
          </w:tcPr>
          <w:p>
            <w:pPr>
              <w:spacing w:after="20" w:line="269" w:lineRule="auto"/>
            </w:pPr>
            <w:r>
              <w:rPr>
                <w:sz w:val="18"/>
              </w:rPr>
              <w:t>技术 v0.2 只要求 Web/API，原生适配延期</w:t>
            </w:r>
          </w:p>
        </w:tc>
        <w:tc>
          <w:tcPr>
            <w:tcW w:type="dxa" w:w="3900"/>
            <w:tcMar>
              <w:top w:w="90" w:type="dxa"/>
              <w:bottom w:w="90" w:type="dxa"/>
              <w:left w:w="100" w:type="dxa"/>
              <w:right w:w="100" w:type="dxa"/>
            </w:tcMar>
            <w:shd w:fill="FFFFFF"/>
          </w:tcPr>
          <w:p>
            <w:pPr>
              <w:spacing w:after="20" w:line="269" w:lineRule="auto"/>
            </w:pPr>
            <w:r>
              <w:rPr>
                <w:sz w:val="18"/>
              </w:rPr>
              <w:t>iOS、Android、Windows、macOS、Linux 原生构建、执行、测试、证据和门禁全部纳入 MVP</w:t>
            </w:r>
          </w:p>
        </w:tc>
      </w:tr>
      <w:tr>
        <w:trPr>
          <w:cantSplit/>
        </w:trPr>
        <w:tc>
          <w:tcPr>
            <w:tcW w:type="dxa" w:w="1950"/>
            <w:tcMar>
              <w:top w:w="90" w:type="dxa"/>
              <w:bottom w:w="90" w:type="dxa"/>
              <w:left w:w="100" w:type="dxa"/>
              <w:right w:w="100" w:type="dxa"/>
            </w:tcMar>
            <w:shd w:fill="F1F5F9"/>
          </w:tcPr>
          <w:p>
            <w:pPr>
              <w:spacing w:after="20" w:line="269" w:lineRule="auto"/>
            </w:pPr>
            <w:r>
              <w:rPr>
                <w:sz w:val="18"/>
              </w:rPr>
              <w:t>执行拓扑</w:t>
            </w:r>
          </w:p>
        </w:tc>
        <w:tc>
          <w:tcPr>
            <w:tcW w:type="dxa" w:w="3900"/>
            <w:tcMar>
              <w:top w:w="90" w:type="dxa"/>
              <w:bottom w:w="90" w:type="dxa"/>
              <w:left w:w="100" w:type="dxa"/>
              <w:right w:w="100" w:type="dxa"/>
            </w:tcMar>
            <w:shd w:fill="F1F5F9"/>
          </w:tcPr>
          <w:p>
            <w:pPr>
              <w:spacing w:after="20" w:line="269" w:lineRule="auto"/>
            </w:pPr>
            <w:r>
              <w:rPr>
                <w:sz w:val="18"/>
              </w:rPr>
              <w:t>技术 v0.2 使用当前主机执行</w:t>
            </w:r>
          </w:p>
        </w:tc>
        <w:tc>
          <w:tcPr>
            <w:tcW w:type="dxa" w:w="3900"/>
            <w:tcMar>
              <w:top w:w="90" w:type="dxa"/>
              <w:bottom w:w="90" w:type="dxa"/>
              <w:left w:w="100" w:type="dxa"/>
              <w:right w:w="100" w:type="dxa"/>
            </w:tcMar>
            <w:shd w:fill="F1F5F9"/>
          </w:tcPr>
          <w:p>
            <w:pPr>
              <w:spacing w:after="20" w:line="269" w:lineRule="auto"/>
            </w:pPr>
            <w:r>
              <w:rPr>
                <w:sz w:val="18"/>
              </w:rPr>
              <w:t>本地控制端＋自有本机/LAN 主机或 VM；节点按能力领取作业</w:t>
            </w:r>
          </w:p>
        </w:tc>
      </w:tr>
      <w:tr>
        <w:trPr>
          <w:cantSplit/>
        </w:trPr>
        <w:tc>
          <w:tcPr>
            <w:tcW w:type="dxa" w:w="1950"/>
            <w:tcMar>
              <w:top w:w="90" w:type="dxa"/>
              <w:bottom w:w="90" w:type="dxa"/>
              <w:left w:w="100" w:type="dxa"/>
              <w:right w:w="100" w:type="dxa"/>
            </w:tcMar>
            <w:shd w:fill="FFFFFF"/>
          </w:tcPr>
          <w:p>
            <w:pPr>
              <w:spacing w:after="20" w:line="269" w:lineRule="auto"/>
            </w:pPr>
            <w:r>
              <w:rPr>
                <w:sz w:val="18"/>
              </w:rPr>
              <w:t>网络入口</w:t>
            </w:r>
          </w:p>
        </w:tc>
        <w:tc>
          <w:tcPr>
            <w:tcW w:type="dxa" w:w="3900"/>
            <w:tcMar>
              <w:top w:w="90" w:type="dxa"/>
              <w:bottom w:w="90" w:type="dxa"/>
              <w:left w:w="100" w:type="dxa"/>
              <w:right w:w="100" w:type="dxa"/>
            </w:tcMar>
            <w:shd w:fill="FFFFFF"/>
          </w:tcPr>
          <w:p>
            <w:pPr>
              <w:spacing w:after="20" w:line="269" w:lineRule="auto"/>
            </w:pPr>
            <w:r>
              <w:rPr>
                <w:sz w:val="18"/>
              </w:rPr>
              <w:t>技术 v0.2 所有服务按回环入口设计</w:t>
            </w:r>
          </w:p>
        </w:tc>
        <w:tc>
          <w:tcPr>
            <w:tcW w:type="dxa" w:w="3900"/>
            <w:tcMar>
              <w:top w:w="90" w:type="dxa"/>
              <w:bottom w:w="90" w:type="dxa"/>
              <w:left w:w="100" w:type="dxa"/>
              <w:right w:w="100" w:type="dxa"/>
            </w:tcMar>
            <w:shd w:fill="FFFFFF"/>
          </w:tcPr>
          <w:p>
            <w:pPr>
              <w:spacing w:after="20" w:line="269" w:lineRule="auto"/>
            </w:pPr>
            <w:r>
              <w:rPr>
                <w:sz w:val="18"/>
              </w:rPr>
              <w:t>所有者管理入口只回环；另设有配对、mTLS 和严格接口范围的私网执行入口</w:t>
            </w:r>
          </w:p>
        </w:tc>
      </w:tr>
      <w:tr>
        <w:trPr>
          <w:cantSplit/>
        </w:trPr>
        <w:tc>
          <w:tcPr>
            <w:tcW w:type="dxa" w:w="1950"/>
            <w:tcMar>
              <w:top w:w="90" w:type="dxa"/>
              <w:bottom w:w="90" w:type="dxa"/>
              <w:left w:w="100" w:type="dxa"/>
              <w:right w:w="100" w:type="dxa"/>
            </w:tcMar>
            <w:shd w:fill="F1F5F9"/>
          </w:tcPr>
          <w:p>
            <w:pPr>
              <w:spacing w:after="20" w:line="269" w:lineRule="auto"/>
            </w:pPr>
            <w:r>
              <w:rPr>
                <w:sz w:val="18"/>
              </w:rPr>
              <w:t>状态与存储</w:t>
            </w:r>
          </w:p>
        </w:tc>
        <w:tc>
          <w:tcPr>
            <w:tcW w:type="dxa" w:w="3900"/>
            <w:tcMar>
              <w:top w:w="90" w:type="dxa"/>
              <w:bottom w:w="90" w:type="dxa"/>
              <w:left w:w="100" w:type="dxa"/>
              <w:right w:w="100" w:type="dxa"/>
            </w:tcMar>
            <w:shd w:fill="F1F5F9"/>
          </w:tcPr>
          <w:p>
            <w:pPr>
              <w:spacing w:after="20" w:line="269" w:lineRule="auto"/>
            </w:pPr>
            <w:r>
              <w:rPr>
                <w:sz w:val="18"/>
              </w:rPr>
              <w:t>技术 v0.1 提出 PostgreSQL/Temporal/对象存储方向；v0.2 使用 SQLite/本地文件</w:t>
            </w:r>
          </w:p>
        </w:tc>
        <w:tc>
          <w:tcPr>
            <w:tcW w:type="dxa" w:w="3900"/>
            <w:tcMar>
              <w:top w:w="90" w:type="dxa"/>
              <w:bottom w:w="90" w:type="dxa"/>
              <w:left w:w="100" w:type="dxa"/>
              <w:right w:w="100" w:type="dxa"/>
            </w:tcMar>
            <w:shd w:fill="F1F5F9"/>
          </w:tcPr>
          <w:p>
            <w:pPr>
              <w:spacing w:after="20" w:line="269" w:lineRule="auto"/>
            </w:pPr>
            <w:r>
              <w:rPr>
                <w:sz w:val="18"/>
              </w:rPr>
              <w:t>SQLite 单写者、本地持久 DAG、内容寻址文件库；节点不访问数据库文件</w:t>
            </w:r>
          </w:p>
        </w:tc>
      </w:tr>
      <w:tr>
        <w:trPr>
          <w:cantSplit/>
        </w:trPr>
        <w:tc>
          <w:tcPr>
            <w:tcW w:type="dxa" w:w="1950"/>
            <w:tcMar>
              <w:top w:w="90" w:type="dxa"/>
              <w:bottom w:w="90" w:type="dxa"/>
              <w:left w:w="100" w:type="dxa"/>
              <w:right w:w="100" w:type="dxa"/>
            </w:tcMar>
            <w:shd w:fill="FFFFFF"/>
          </w:tcPr>
          <w:p>
            <w:pPr>
              <w:spacing w:after="20" w:line="269" w:lineRule="auto"/>
            </w:pPr>
            <w:r>
              <w:rPr>
                <w:sz w:val="18"/>
              </w:rPr>
              <w:t>仓库与交付</w:t>
            </w:r>
          </w:p>
        </w:tc>
        <w:tc>
          <w:tcPr>
            <w:tcW w:type="dxa" w:w="3900"/>
            <w:tcMar>
              <w:top w:w="90" w:type="dxa"/>
              <w:bottom w:w="90" w:type="dxa"/>
              <w:left w:w="100" w:type="dxa"/>
              <w:right w:w="100" w:type="dxa"/>
            </w:tcMar>
            <w:shd w:fill="FFFFFF"/>
          </w:tcPr>
          <w:p>
            <w:pPr>
              <w:spacing w:after="20" w:line="269" w:lineRule="auto"/>
            </w:pPr>
            <w:r>
              <w:rPr>
                <w:sz w:val="18"/>
              </w:rPr>
              <w:t>技术 v0.1 提出 GitHub/PR；v0.2 使用本地 Git</w:t>
            </w:r>
          </w:p>
        </w:tc>
        <w:tc>
          <w:tcPr>
            <w:tcW w:type="dxa" w:w="3900"/>
            <w:tcMar>
              <w:top w:w="90" w:type="dxa"/>
              <w:bottom w:w="90" w:type="dxa"/>
              <w:left w:w="100" w:type="dxa"/>
              <w:right w:w="100" w:type="dxa"/>
            </w:tcMar>
            <w:shd w:fill="FFFFFF"/>
          </w:tcPr>
          <w:p>
            <w:pPr>
              <w:spacing w:after="20" w:line="269" w:lineRule="auto"/>
            </w:pPr>
            <w:r>
              <w:rPr>
                <w:sz w:val="18"/>
              </w:rPr>
              <w:t>纯本地 Git、候选对象导入、引用事务与交付对账</w:t>
            </w:r>
          </w:p>
        </w:tc>
      </w:tr>
      <w:tr>
        <w:trPr>
          <w:cantSplit/>
        </w:trPr>
        <w:tc>
          <w:tcPr>
            <w:tcW w:type="dxa" w:w="1950"/>
            <w:tcMar>
              <w:top w:w="90" w:type="dxa"/>
              <w:bottom w:w="90" w:type="dxa"/>
              <w:left w:w="100" w:type="dxa"/>
              <w:right w:w="100" w:type="dxa"/>
            </w:tcMar>
            <w:shd w:fill="F1F5F9"/>
          </w:tcPr>
          <w:p>
            <w:pPr>
              <w:spacing w:after="20" w:line="269" w:lineRule="auto"/>
            </w:pPr>
            <w:r>
              <w:rPr>
                <w:sz w:val="18"/>
              </w:rPr>
              <w:t>用户与 Agent</w:t>
            </w:r>
          </w:p>
        </w:tc>
        <w:tc>
          <w:tcPr>
            <w:tcW w:type="dxa" w:w="3900"/>
            <w:tcMar>
              <w:top w:w="90" w:type="dxa"/>
              <w:bottom w:w="90" w:type="dxa"/>
              <w:left w:w="100" w:type="dxa"/>
              <w:right w:w="100" w:type="dxa"/>
            </w:tcMar>
            <w:shd w:fill="F1F5F9"/>
          </w:tcPr>
          <w:p>
            <w:pPr>
              <w:spacing w:after="20" w:line="269" w:lineRule="auto"/>
            </w:pPr>
            <w:r>
              <w:rPr>
                <w:sz w:val="18"/>
              </w:rPr>
              <w:t>技术 v0.2 使用单用户、OpenHands＋Codex</w:t>
            </w:r>
          </w:p>
        </w:tc>
        <w:tc>
          <w:tcPr>
            <w:tcW w:type="dxa" w:w="3900"/>
            <w:tcMar>
              <w:top w:w="90" w:type="dxa"/>
              <w:bottom w:w="90" w:type="dxa"/>
              <w:left w:w="100" w:type="dxa"/>
              <w:right w:w="100" w:type="dxa"/>
            </w:tcMar>
            <w:shd w:fill="F1F5F9"/>
          </w:tcPr>
          <w:p>
            <w:pPr>
              <w:spacing w:after="20" w:line="269" w:lineRule="auto"/>
            </w:pPr>
            <w:r>
              <w:rPr>
                <w:sz w:val="18"/>
              </w:rPr>
              <w:t>单所有者；七角色按需多实例并行；角色/编码进程由控制端统一管理</w:t>
            </w:r>
          </w:p>
        </w:tc>
      </w:tr>
      <w:tr>
        <w:trPr>
          <w:cantSplit/>
        </w:trPr>
        <w:tc>
          <w:tcPr>
            <w:tcW w:type="dxa" w:w="1950"/>
            <w:tcMar>
              <w:top w:w="90" w:type="dxa"/>
              <w:bottom w:w="90" w:type="dxa"/>
              <w:left w:w="100" w:type="dxa"/>
              <w:right w:w="100" w:type="dxa"/>
            </w:tcMar>
            <w:shd w:fill="FFFFFF"/>
          </w:tcPr>
          <w:p>
            <w:pPr>
              <w:spacing w:after="20" w:line="269" w:lineRule="auto"/>
            </w:pPr>
            <w:r>
              <w:rPr>
                <w:sz w:val="18"/>
              </w:rPr>
              <w:t>候选身份</w:t>
            </w:r>
          </w:p>
        </w:tc>
        <w:tc>
          <w:tcPr>
            <w:tcW w:type="dxa" w:w="3900"/>
            <w:tcMar>
              <w:top w:w="90" w:type="dxa"/>
              <w:bottom w:w="90" w:type="dxa"/>
              <w:left w:w="100" w:type="dxa"/>
              <w:right w:w="100" w:type="dxa"/>
            </w:tcMar>
            <w:shd w:fill="FFFFFF"/>
          </w:tcPr>
          <w:p>
            <w:pPr>
              <w:spacing w:after="20" w:line="269" w:lineRule="auto"/>
            </w:pPr>
            <w:r>
              <w:rPr>
                <w:sz w:val="18"/>
              </w:rPr>
              <w:t>技术 v0.2 主要绑定本地 Web/API 源码和测试</w:t>
            </w:r>
          </w:p>
        </w:tc>
        <w:tc>
          <w:tcPr>
            <w:tcW w:type="dxa" w:w="3900"/>
            <w:tcMar>
              <w:top w:w="90" w:type="dxa"/>
              <w:bottom w:w="90" w:type="dxa"/>
              <w:left w:w="100" w:type="dxa"/>
              <w:right w:w="100" w:type="dxa"/>
            </w:tcMar>
            <w:shd w:fill="FFFFFF"/>
          </w:tcPr>
          <w:p>
            <w:pPr>
              <w:spacing w:after="20" w:line="269" w:lineRule="auto"/>
            </w:pPr>
            <w:r>
              <w:rPr>
                <w:sz w:val="18"/>
              </w:rPr>
              <w:t>源码候选＋分平台构建物＋后端＋测试包＋环境矩阵共同构成不可变候选清单</w:t>
            </w:r>
          </w:p>
        </w:tc>
      </w:tr>
      <w:tr>
        <w:trPr>
          <w:cantSplit/>
        </w:trPr>
        <w:tc>
          <w:tcPr>
            <w:tcW w:type="dxa" w:w="1950"/>
            <w:tcMar>
              <w:top w:w="90" w:type="dxa"/>
              <w:bottom w:w="90" w:type="dxa"/>
              <w:left w:w="100" w:type="dxa"/>
              <w:right w:w="100" w:type="dxa"/>
            </w:tcMar>
            <w:shd w:fill="F1F5F9"/>
          </w:tcPr>
          <w:p>
            <w:pPr>
              <w:spacing w:after="20" w:line="269" w:lineRule="auto"/>
            </w:pPr>
            <w:r>
              <w:rPr>
                <w:sz w:val="18"/>
              </w:rPr>
              <w:t>模型配置</w:t>
            </w:r>
          </w:p>
        </w:tc>
        <w:tc>
          <w:tcPr>
            <w:tcW w:type="dxa" w:w="3900"/>
            <w:tcMar>
              <w:top w:w="90" w:type="dxa"/>
              <w:bottom w:w="90" w:type="dxa"/>
              <w:left w:w="100" w:type="dxa"/>
              <w:right w:w="100" w:type="dxa"/>
            </w:tcMar>
            <w:shd w:fill="F1F5F9"/>
          </w:tcPr>
          <w:p>
            <w:pPr>
              <w:spacing w:after="20" w:line="269" w:lineRule="auto"/>
            </w:pPr>
            <w:r>
              <w:rPr>
                <w:sz w:val="18"/>
              </w:rPr>
              <w:t>用户最初指定 DeepSeek V4 Flash；现有官方资料显示兼容别名由当前 Flash 服务承接</w:t>
            </w:r>
          </w:p>
        </w:tc>
        <w:tc>
          <w:tcPr>
            <w:tcW w:type="dxa" w:w="3900"/>
            <w:tcMar>
              <w:top w:w="90" w:type="dxa"/>
              <w:bottom w:w="90" w:type="dxa"/>
              <w:left w:w="100" w:type="dxa"/>
              <w:right w:w="100" w:type="dxa"/>
            </w:tcMar>
            <w:shd w:fill="F1F5F9"/>
          </w:tcPr>
          <w:p>
            <w:pPr>
              <w:spacing w:after="20" w:line="269" w:lineRule="auto"/>
            </w:pPr>
            <w:r>
              <w:rPr>
                <w:sz w:val="18"/>
              </w:rPr>
              <w:t>使用可替换 ModelProvider；当前服务是否接受保持待确认，不静默改模型或调用</w:t>
            </w:r>
          </w:p>
        </w:tc>
      </w:tr>
      <w:tr>
        <w:trPr>
          <w:cantSplit/>
        </w:trPr>
        <w:tc>
          <w:tcPr>
            <w:tcW w:type="dxa" w:w="1950"/>
            <w:tcMar>
              <w:top w:w="90" w:type="dxa"/>
              <w:bottom w:w="90" w:type="dxa"/>
              <w:left w:w="100" w:type="dxa"/>
              <w:right w:w="100" w:type="dxa"/>
            </w:tcMar>
            <w:shd w:fill="FFFFFF"/>
          </w:tcPr>
          <w:p>
            <w:pPr>
              <w:spacing w:after="20" w:line="269" w:lineRule="auto"/>
            </w:pPr>
            <w:r>
              <w:rPr>
                <w:sz w:val="18"/>
              </w:rPr>
              <w:t>文档组织</w:t>
            </w:r>
          </w:p>
        </w:tc>
        <w:tc>
          <w:tcPr>
            <w:tcW w:type="dxa" w:w="3900"/>
            <w:tcMar>
              <w:top w:w="90" w:type="dxa"/>
              <w:bottom w:w="90" w:type="dxa"/>
              <w:left w:w="100" w:type="dxa"/>
              <w:right w:w="100" w:type="dxa"/>
            </w:tcMar>
            <w:shd w:fill="FFFFFF"/>
          </w:tcPr>
          <w:p>
            <w:pPr>
              <w:spacing w:after="20" w:line="269" w:lineRule="auto"/>
            </w:pPr>
            <w:r>
              <w:rPr>
                <w:sz w:val="18"/>
              </w:rPr>
              <w:t>既有技术稿在多个章节穿插范围变化与延期说明</w:t>
            </w:r>
          </w:p>
        </w:tc>
        <w:tc>
          <w:tcPr>
            <w:tcW w:type="dxa" w:w="3900"/>
            <w:tcMar>
              <w:top w:w="90" w:type="dxa"/>
              <w:bottom w:w="90" w:type="dxa"/>
              <w:left w:w="100" w:type="dxa"/>
              <w:right w:w="100" w:type="dxa"/>
            </w:tcMar>
            <w:shd w:fill="FFFFFF"/>
          </w:tcPr>
          <w:p>
            <w:pPr>
              <w:spacing w:after="20" w:line="269" w:lineRule="auto"/>
            </w:pPr>
            <w:r>
              <w:rPr>
                <w:sz w:val="18"/>
              </w:rPr>
              <w:t>版本比较仅集中于本表；正文、接口和清单描述当前方案</w:t>
            </w:r>
          </w:p>
        </w:tc>
      </w:tr>
    </w:tbl>
    <w:p>
      <w:pPr>
        <w:spacing w:after="0" w:before="0" w:line="60" w:lineRule="exact"/>
      </w:pPr>
    </w:p>
    <w:p>
      <w:pPr>
        <w:pStyle w:val="Heading1"/>
      </w:pPr>
      <w:r>
        <w:t>2. MVP 范围与完成定义</w:t>
      </w:r>
    </w:p>
    <w:p>
      <w:pPr>
        <w:pStyle w:val="Heading2"/>
      </w:pPr>
      <w:r>
        <w:t>2.1 产品闭环</w:t>
      </w:r>
    </w:p>
    <w:p>
      <w:pPr>
        <w:ind w:left="255" w:hanging="255"/>
      </w:pPr>
      <w:r>
        <w:t>1. 接受产品目标和资料，形成有来源的市场/竞品调研、PRD、需求项和验收标准。</w:t>
      </w:r>
    </w:p>
    <w:p>
      <w:pPr>
        <w:ind w:left="255" w:hanging="255"/>
      </w:pPr>
      <w:r>
        <w:t>2. 形成或调整架构包：系统/模块/部署图、技术方案、主要 API、数据与依赖约束、变更影响分析。</w:t>
      </w:r>
    </w:p>
    <w:p>
      <w:pPr>
        <w:ind w:left="255" w:hanging="255"/>
      </w:pPr>
      <w:r>
        <w:t>3. 将需求和架构拆为带输入版本、写范围、依赖、资源与验收条件的开发任务。</w:t>
      </w:r>
    </w:p>
    <w:p>
      <w:pPr>
        <w:ind w:left="255" w:hanging="255"/>
      </w:pPr>
      <w:r>
        <w:t>4. 调研、产品、架构、开发、Review、单元测试、集成测试七类专业角色均可多实例并行。</w:t>
      </w:r>
    </w:p>
    <w:p>
      <w:pPr>
        <w:ind w:left="255" w:hanging="255"/>
      </w:pPr>
      <w:r>
        <w:t>5. 由独立角色审查功能和测试代码，在适当操作系统上实际构建、运行单测与集成测试。</w:t>
      </w:r>
    </w:p>
    <w:p>
      <w:pPr>
        <w:ind w:left="255" w:hanging="255"/>
      </w:pPr>
      <w:r>
        <w:t>6. 每个产物步骤可选人工审核；驳回产生修订，重新执行受影响的工作和检查。</w:t>
      </w:r>
    </w:p>
    <w:p>
      <w:pPr>
        <w:ind w:left="255" w:hanging="255"/>
      </w:pPr>
      <w:r>
        <w:t>7. 同一候选满足所有必需检查及适用人审后，交付到本地 Git，并保留可追溯证据。</w:t>
      </w:r>
    </w:p>
    <w:p>
      <w:pPr>
        <w:ind w:left="255" w:hanging="255"/>
      </w:pPr>
      <w:r>
        <w:t>8. 已有项目可从所选步骤开始、在所选步骤结束，进行功能新增、修改和删除。</w:t>
      </w:r>
    </w:p>
    <w:p>
      <w:r>
        <w:t>单个所有者可以管理多个本地项目。默认 Agent 并发建议为 3，可配置；各角色、模型请求、构建作业、设备和桌面另有配额。Agent 并发与测试节点并发独立计算。</w:t>
      </w:r>
    </w:p>
    <w:p>
      <w:pPr>
        <w:pStyle w:val="Heading2"/>
      </w:pPr>
      <w:r>
        <w:t>2.2 七目标验收口径</w:t>
      </w:r>
    </w:p>
    <w:p>
      <w:r>
        <w:t>产品项目按其声明的必需目标执行，不要求每个项目同时包含七种客户端。平台 MVP 的总验收必须覆盖全部七类，每类至少有一个锁定版本的真实参考组合，并验证正常与故障两种结果。</w:t>
      </w:r>
    </w:p>
    <w:p>
      <w:r>
        <w:t>每类支持包含：技术识别、方案生成、测试代码实现、环境预检、真实构建/安装/执行、原始报告与证据归档、质量门禁、人工审核接入及失败回传。Simulator/AVD 可以构成所声明组合的真实原生执行；其结果不代表真机硬件能力。</w:t>
      </w:r>
    </w:p>
    <w:p>
      <w:r>
        <w:t>首批参考产品采用“工单”领域，共享一个真实 API 后端，分别提供 Web 和五种原生客户端。各客户端使用相应平台的原生控件和构建物。开发前冻结“登录、建单、修改、重开后持久存在、权限拒绝”等验收旅程，再生成实现和测试。</w:t>
      </w:r>
    </w:p>
    <w:p>
      <w:pPr>
        <w:pStyle w:val="Heading2"/>
      </w:pPr>
      <w:r>
        <w:t>2.3 范围边界</w:t>
      </w:r>
    </w:p>
    <w:p>
      <w:r>
        <w:t>MVP 不包含多用户/组织/RBAC、托管数据库或工作流、S3、GitHub 云计算、设备云、自动生产部署、跨仓库事务及插件市场。不安装 GitLab Server；本地 Git 提供版本和交付能力。</w:t>
      </w:r>
    </w:p>
    <w:p>
      <w:r>
        <w:t>不承诺所有 OS 版本、CPU 架构、GUI 框架、设备型号和系统权限组合均兼容。支持以“目标配置＋工具链＋环境探针＋实际验收”登记。某项目要求的能力不可用时，保留该必需项并阻塞，不能删除分母或将跳过算成通过。</w:t>
      </w:r>
    </w:p>
    <w:p>
      <w:r>
        <w:t>调研使用本地文件及受控 DirectWebReader；联网允许时读取实际可访问的公开 URL，保存来源和时间。安装依赖及公开资料读取按独立网络策略控制。模型 API 是唯一必需的外部运行服务；不依赖云端研发或存储平台。</w:t>
      </w:r>
    </w:p>
    <w:p>
      <w:pPr>
        <w:pStyle w:val="Heading1"/>
        <w:keepNext/>
      </w:pPr>
      <w:r>
        <w:t>3. 系统架构与部署</w:t>
      </w:r>
    </w:p>
    <w:p>
      <w:pPr>
        <w:jc w:val="center"/>
      </w:pPr>
      <w:r>
        <w:drawing>
          <wp:inline xmlns:a="http://schemas.openxmlformats.org/drawingml/2006/main" xmlns:pic="http://schemas.openxmlformats.org/drawingml/2006/picture">
            <wp:extent cx="6156000" cy="4948477"/>
            <wp:docPr id="1" name="Picture 1"/>
            <wp:cNvGraphicFramePr>
              <a:graphicFrameLocks noChangeAspect="1"/>
            </wp:cNvGraphicFramePr>
            <a:graphic>
              <a:graphicData uri="http://schemas.openxmlformats.org/drawingml/2006/picture">
                <pic:pic>
                  <pic:nvPicPr>
                    <pic:cNvPr id="0" name="AgentFlow-MVP-本地多平台系统架构-v0.3.png"/>
                    <pic:cNvPicPr/>
                  </pic:nvPicPr>
                  <pic:blipFill>
                    <a:blip r:embed="rId11"/>
                    <a:stretch>
                      <a:fillRect/>
                    </a:stretch>
                  </pic:blipFill>
                  <pic:spPr>
                    <a:xfrm>
                      <a:off x="0" y="0"/>
                      <a:ext cx="6156000" cy="4948477"/>
                    </a:xfrm>
                    <a:prstGeom prst="rect"/>
                  </pic:spPr>
                </pic:pic>
              </a:graphicData>
            </a:graphic>
          </wp:inline>
        </w:drawing>
      </w:r>
    </w:p>
    <w:p>
      <w:pPr>
        <w:pStyle w:val="Heading2"/>
      </w:pPr>
      <w:r>
        <w:t>3.1 三种职责</w:t>
      </w:r>
    </w:p>
    <w:tbl>
      <w:tblPr>
        <w:tblW w:type="auto" w:w="0"/>
        <w:tblLayout w:type="fixed"/>
        <w:tblLook w:firstColumn="1" w:firstRow="1" w:lastColumn="0" w:lastRow="0" w:noHBand="0" w:noVBand="1" w:val="04A0"/>
      </w:tblPr>
      <w:tblGrid>
        <w:gridCol w:w="1950"/>
        <w:gridCol w:w="3900"/>
        <w:gridCol w:w="3900"/>
      </w:tblGrid>
      <w:tr>
        <w:trPr>
          <w:cantSplit/>
          <w:tblHeader/>
        </w:trPr>
        <w:tc>
          <w:tcPr>
            <w:tcW w:type="dxa" w:w="1950"/>
            <w:tcMar>
              <w:top w:w="90" w:type="dxa"/>
              <w:bottom w:w="90" w:type="dxa"/>
              <w:left w:w="100" w:type="dxa"/>
              <w:right w:w="100" w:type="dxa"/>
            </w:tcMar>
            <w:shd w:fill="163553"/>
          </w:tcPr>
          <w:p>
            <w:pPr>
              <w:spacing w:after="20" w:line="269" w:lineRule="auto"/>
            </w:pPr>
            <w:r>
              <w:rPr>
                <w:b/>
                <w:color w:val="FFFFFF"/>
                <w:sz w:val="18"/>
              </w:rPr>
              <w:t>部分</w:t>
            </w:r>
          </w:p>
        </w:tc>
        <w:tc>
          <w:tcPr>
            <w:tcW w:type="dxa" w:w="3900"/>
            <w:tcMar>
              <w:top w:w="90" w:type="dxa"/>
              <w:bottom w:w="90" w:type="dxa"/>
              <w:left w:w="100" w:type="dxa"/>
              <w:right w:w="100" w:type="dxa"/>
            </w:tcMar>
            <w:shd w:fill="163553"/>
          </w:tcPr>
          <w:p>
            <w:pPr>
              <w:spacing w:after="20" w:line="269" w:lineRule="auto"/>
            </w:pPr>
            <w:r>
              <w:rPr>
                <w:b/>
                <w:color w:val="FFFFFF"/>
                <w:sz w:val="18"/>
              </w:rPr>
              <w:t>部署及职责</w:t>
            </w:r>
          </w:p>
        </w:tc>
        <w:tc>
          <w:tcPr>
            <w:tcW w:type="dxa" w:w="3900"/>
            <w:tcMar>
              <w:top w:w="90" w:type="dxa"/>
              <w:bottom w:w="90" w:type="dxa"/>
              <w:left w:w="100" w:type="dxa"/>
              <w:right w:w="100" w:type="dxa"/>
            </w:tcMar>
            <w:shd w:fill="163553"/>
          </w:tcPr>
          <w:p>
            <w:pPr>
              <w:spacing w:after="20" w:line="269" w:lineRule="auto"/>
            </w:pPr>
            <w:r>
              <w:rPr>
                <w:b/>
                <w:color w:val="FFFFFF"/>
                <w:sz w:val="18"/>
              </w:rPr>
              <w:t>权限与边界</w:t>
            </w:r>
          </w:p>
        </w:tc>
      </w:tr>
      <w:tr>
        <w:trPr>
          <w:cantSplit/>
        </w:trPr>
        <w:tc>
          <w:tcPr>
            <w:tcW w:type="dxa" w:w="1950"/>
            <w:tcMar>
              <w:top w:w="90" w:type="dxa"/>
              <w:bottom w:w="90" w:type="dxa"/>
              <w:left w:w="100" w:type="dxa"/>
              <w:right w:w="100" w:type="dxa"/>
            </w:tcMar>
            <w:shd w:fill="F1F5F9"/>
          </w:tcPr>
          <w:p>
            <w:pPr>
              <w:spacing w:after="20" w:line="269" w:lineRule="auto"/>
            </w:pPr>
            <w:r>
              <w:rPr>
                <w:sz w:val="18"/>
              </w:rPr>
              <w:t>本地控制端</w:t>
            </w:r>
          </w:p>
        </w:tc>
        <w:tc>
          <w:tcPr>
            <w:tcW w:type="dxa" w:w="3900"/>
            <w:tcMar>
              <w:top w:w="90" w:type="dxa"/>
              <w:bottom w:w="90" w:type="dxa"/>
              <w:left w:w="100" w:type="dxa"/>
              <w:right w:w="100" w:type="dxa"/>
            </w:tcMar>
            <w:shd w:fill="F1F5F9"/>
          </w:tcPr>
          <w:p>
            <w:pPr>
              <w:spacing w:after="20" w:line="269" w:lineRule="auto"/>
            </w:pPr>
            <w:r>
              <w:rPr>
                <w:sz w:val="18"/>
              </w:rPr>
              <w:t>所有者 UI/API、持久调度、OpenHands/Codex、模型代理、文件库、SQLite、Git 交付</w:t>
            </w:r>
          </w:p>
        </w:tc>
        <w:tc>
          <w:tcPr>
            <w:tcW w:type="dxa" w:w="3900"/>
            <w:tcMar>
              <w:top w:w="90" w:type="dxa"/>
              <w:bottom w:w="90" w:type="dxa"/>
              <w:left w:w="100" w:type="dxa"/>
              <w:right w:w="100" w:type="dxa"/>
            </w:tcMar>
            <w:shd w:fill="F1F5F9"/>
          </w:tcPr>
          <w:p>
            <w:pPr>
              <w:spacing w:after="20" w:line="269" w:lineRule="auto"/>
            </w:pPr>
            <w:r>
              <w:rPr>
                <w:sz w:val="18"/>
              </w:rPr>
              <w:t>唯一业务状态写入方；审批和交付只由控制端判定</w:t>
            </w:r>
          </w:p>
        </w:tc>
      </w:tr>
      <w:tr>
        <w:trPr>
          <w:cantSplit/>
        </w:trPr>
        <w:tc>
          <w:tcPr>
            <w:tcW w:type="dxa" w:w="1950"/>
            <w:tcMar>
              <w:top w:w="90" w:type="dxa"/>
              <w:bottom w:w="90" w:type="dxa"/>
              <w:left w:w="100" w:type="dxa"/>
              <w:right w:w="100" w:type="dxa"/>
            </w:tcMar>
            <w:shd w:fill="FFFFFF"/>
          </w:tcPr>
          <w:p>
            <w:pPr>
              <w:spacing w:after="20" w:line="269" w:lineRule="auto"/>
            </w:pPr>
            <w:r>
              <w:rPr>
                <w:sz w:val="18"/>
              </w:rPr>
              <w:t>执行入口</w:t>
            </w:r>
          </w:p>
        </w:tc>
        <w:tc>
          <w:tcPr>
            <w:tcW w:type="dxa" w:w="3900"/>
            <w:tcMar>
              <w:top w:w="90" w:type="dxa"/>
              <w:bottom w:w="90" w:type="dxa"/>
              <w:left w:w="100" w:type="dxa"/>
              <w:right w:w="100" w:type="dxa"/>
            </w:tcMar>
            <w:shd w:fill="FFFFFF"/>
          </w:tcPr>
          <w:p>
            <w:pPr>
              <w:spacing w:after="20" w:line="269" w:lineRule="auto"/>
            </w:pPr>
            <w:r>
              <w:rPr>
                <w:sz w:val="18"/>
              </w:rPr>
              <w:t>控制端同一应用中的独立 HTTPS listener；服务已配对的自有节点</w:t>
            </w:r>
          </w:p>
        </w:tc>
        <w:tc>
          <w:tcPr>
            <w:tcW w:type="dxa" w:w="3900"/>
            <w:tcMar>
              <w:top w:w="90" w:type="dxa"/>
              <w:bottom w:w="90" w:type="dxa"/>
              <w:left w:w="100" w:type="dxa"/>
              <w:right w:w="100" w:type="dxa"/>
            </w:tcMar>
            <w:shd w:fill="FFFFFF"/>
          </w:tcPr>
          <w:p>
            <w:pPr>
              <w:spacing w:after="20" w:line="269" w:lineRule="auto"/>
            </w:pPr>
            <w:r>
              <w:rPr>
                <w:sz w:val="18"/>
              </w:rPr>
              <w:t>只提供作业领取、心跳、资源/结果与受限文件传输；不暴露所有者管理接口</w:t>
            </w:r>
          </w:p>
        </w:tc>
      </w:tr>
      <w:tr>
        <w:trPr>
          <w:cantSplit/>
        </w:trPr>
        <w:tc>
          <w:tcPr>
            <w:tcW w:type="dxa" w:w="1950"/>
            <w:tcMar>
              <w:top w:w="90" w:type="dxa"/>
              <w:bottom w:w="90" w:type="dxa"/>
              <w:left w:w="100" w:type="dxa"/>
              <w:right w:w="100" w:type="dxa"/>
            </w:tcMar>
            <w:shd w:fill="F1F5F9"/>
          </w:tcPr>
          <w:p>
            <w:pPr>
              <w:spacing w:after="20" w:line="269" w:lineRule="auto"/>
            </w:pPr>
            <w:r>
              <w:rPr>
                <w:sz w:val="18"/>
              </w:rPr>
              <w:t>执行节点</w:t>
            </w:r>
          </w:p>
        </w:tc>
        <w:tc>
          <w:tcPr>
            <w:tcW w:type="dxa" w:w="3900"/>
            <w:tcMar>
              <w:top w:w="90" w:type="dxa"/>
              <w:bottom w:w="90" w:type="dxa"/>
              <w:left w:w="100" w:type="dxa"/>
              <w:right w:w="100" w:type="dxa"/>
            </w:tcMar>
            <w:shd w:fill="F1F5F9"/>
          </w:tcPr>
          <w:p>
            <w:pPr>
              <w:spacing w:after="20" w:line="269" w:lineRule="auto"/>
            </w:pPr>
            <w:r>
              <w:rPr>
                <w:sz w:val="18"/>
              </w:rPr>
              <w:t>受管 node agent、构建器、测试适配器、隔离目录、设备/桌面会话、本地日志</w:t>
            </w:r>
          </w:p>
        </w:tc>
        <w:tc>
          <w:tcPr>
            <w:tcW w:type="dxa" w:w="3900"/>
            <w:tcMar>
              <w:top w:w="90" w:type="dxa"/>
              <w:bottom w:w="90" w:type="dxa"/>
              <w:left w:w="100" w:type="dxa"/>
              <w:right w:w="100" w:type="dxa"/>
            </w:tcMar>
            <w:shd w:fill="F1F5F9"/>
          </w:tcPr>
          <w:p>
            <w:pPr>
              <w:spacing w:after="20" w:line="269" w:lineRule="auto"/>
            </w:pPr>
            <w:r>
              <w:rPr>
                <w:sz w:val="18"/>
              </w:rPr>
              <w:t>执行冻结源码/测试包；无上游 LLM 密钥，不写控制数据库，不批准或发布</w:t>
            </w:r>
          </w:p>
        </w:tc>
      </w:tr>
    </w:tbl>
    <w:p>
      <w:pPr>
        <w:spacing w:after="0" w:before="0" w:line="60" w:lineRule="exact"/>
      </w:pPr>
    </w:p>
    <w:p>
      <w:r>
        <w:t>OpenHands 和 Codex 的受管进程运行在控制端。平台将原生构建错误、测试报告和诊断回传给相关角色；Codex 根据这些证据生成新修订，再交给适配节点验证。这样可完成 Swift、Kotlin、C#、GTK 等项目的编码闭环，而无需在控制端安装所有原生 SDK。</w:t>
      </w:r>
    </w:p>
    <w:p>
      <w:r>
        <w:t>控制端建议使用经过 OpenHands/Codex 探针验证的 Linux 开发环境；macOS 控制端作为另一可登记组合。控制面可放在自有 VM 中。Windows 原生节点支持不依赖 Windows 能否运行控制端 SDK。</w:t>
      </w:r>
    </w:p>
    <w:p>
      <w:pPr>
        <w:pStyle w:val="Heading2"/>
      </w:pPr>
      <w:r>
        <w:t>3.2 实现栈</w:t>
      </w:r>
    </w:p>
    <w:tbl>
      <w:tblPr>
        <w:tblW w:type="auto" w:w="0"/>
        <w:tblLayout w:type="fixed"/>
        <w:tblLook w:firstColumn="1" w:firstRow="1" w:lastColumn="0" w:lastRow="0" w:noHBand="0" w:noVBand="1" w:val="04A0"/>
      </w:tblPr>
      <w:tblGrid>
        <w:gridCol w:w="1950"/>
        <w:gridCol w:w="3900"/>
        <w:gridCol w:w="3900"/>
      </w:tblGrid>
      <w:tr>
        <w:trPr>
          <w:cantSplit/>
          <w:tblHeader/>
        </w:trPr>
        <w:tc>
          <w:tcPr>
            <w:tcW w:type="dxa" w:w="1950"/>
            <w:tcMar>
              <w:top w:w="90" w:type="dxa"/>
              <w:bottom w:w="90" w:type="dxa"/>
              <w:left w:w="100" w:type="dxa"/>
              <w:right w:w="100" w:type="dxa"/>
            </w:tcMar>
            <w:shd w:fill="163553"/>
          </w:tcPr>
          <w:p>
            <w:pPr>
              <w:spacing w:after="20" w:line="269" w:lineRule="auto"/>
            </w:pPr>
            <w:r>
              <w:rPr>
                <w:b/>
                <w:color w:val="FFFFFF"/>
                <w:sz w:val="18"/>
              </w:rPr>
              <w:t>模块</w:t>
            </w:r>
          </w:p>
        </w:tc>
        <w:tc>
          <w:tcPr>
            <w:tcW w:type="dxa" w:w="3900"/>
            <w:tcMar>
              <w:top w:w="90" w:type="dxa"/>
              <w:bottom w:w="90" w:type="dxa"/>
              <w:left w:w="100" w:type="dxa"/>
              <w:right w:w="100" w:type="dxa"/>
            </w:tcMar>
            <w:shd w:fill="163553"/>
          </w:tcPr>
          <w:p>
            <w:pPr>
              <w:spacing w:after="20" w:line="269" w:lineRule="auto"/>
            </w:pPr>
            <w:r>
              <w:rPr>
                <w:b/>
                <w:color w:val="FFFFFF"/>
                <w:sz w:val="18"/>
              </w:rPr>
              <w:t>技术选择</w:t>
            </w:r>
          </w:p>
        </w:tc>
        <w:tc>
          <w:tcPr>
            <w:tcW w:type="dxa" w:w="3900"/>
            <w:tcMar>
              <w:top w:w="90" w:type="dxa"/>
              <w:bottom w:w="90" w:type="dxa"/>
              <w:left w:w="100" w:type="dxa"/>
              <w:right w:w="100" w:type="dxa"/>
            </w:tcMar>
            <w:shd w:fill="163553"/>
          </w:tcPr>
          <w:p>
            <w:pPr>
              <w:spacing w:after="20" w:line="269" w:lineRule="auto"/>
            </w:pPr>
            <w:r>
              <w:rPr>
                <w:b/>
                <w:color w:val="FFFFFF"/>
                <w:sz w:val="18"/>
              </w:rPr>
              <w:t>关键实现</w:t>
            </w:r>
          </w:p>
        </w:tc>
      </w:tr>
      <w:tr>
        <w:trPr>
          <w:cantSplit/>
        </w:trPr>
        <w:tc>
          <w:tcPr>
            <w:tcW w:type="dxa" w:w="1950"/>
            <w:tcMar>
              <w:top w:w="90" w:type="dxa"/>
              <w:bottom w:w="90" w:type="dxa"/>
              <w:left w:w="100" w:type="dxa"/>
              <w:right w:w="100" w:type="dxa"/>
            </w:tcMar>
            <w:shd w:fill="F1F5F9"/>
          </w:tcPr>
          <w:p>
            <w:pPr>
              <w:spacing w:after="20" w:line="269" w:lineRule="auto"/>
            </w:pPr>
            <w:r>
              <w:rPr>
                <w:sz w:val="18"/>
              </w:rPr>
              <w:t>Dashboard</w:t>
            </w:r>
          </w:p>
        </w:tc>
        <w:tc>
          <w:tcPr>
            <w:tcW w:type="dxa" w:w="3900"/>
            <w:tcMar>
              <w:top w:w="90" w:type="dxa"/>
              <w:bottom w:w="90" w:type="dxa"/>
              <w:left w:w="100" w:type="dxa"/>
              <w:right w:w="100" w:type="dxa"/>
            </w:tcMar>
            <w:shd w:fill="F1F5F9"/>
          </w:tcPr>
          <w:p>
            <w:pPr>
              <w:spacing w:after="20" w:line="269" w:lineRule="auto"/>
            </w:pPr>
            <w:r>
              <w:rPr>
                <w:sz w:val="18"/>
              </w:rPr>
              <w:t>React、TypeScript、Vite</w:t>
            </w:r>
          </w:p>
        </w:tc>
        <w:tc>
          <w:tcPr>
            <w:tcW w:type="dxa" w:w="3900"/>
            <w:tcMar>
              <w:top w:w="90" w:type="dxa"/>
              <w:bottom w:w="90" w:type="dxa"/>
              <w:left w:w="100" w:type="dxa"/>
              <w:right w:w="100" w:type="dxa"/>
            </w:tcMar>
            <w:shd w:fill="F1F5F9"/>
          </w:tcPr>
          <w:p>
            <w:pPr>
              <w:spacing w:after="20" w:line="269" w:lineRule="auto"/>
            </w:pPr>
            <w:r>
              <w:rPr>
                <w:sz w:val="18"/>
              </w:rPr>
              <w:t>静态构建由管理 API 提供；fetch 流式读取 SSE</w:t>
            </w:r>
          </w:p>
        </w:tc>
      </w:tr>
      <w:tr>
        <w:trPr>
          <w:cantSplit/>
        </w:trPr>
        <w:tc>
          <w:tcPr>
            <w:tcW w:type="dxa" w:w="1950"/>
            <w:tcMar>
              <w:top w:w="90" w:type="dxa"/>
              <w:bottom w:w="90" w:type="dxa"/>
              <w:left w:w="100" w:type="dxa"/>
              <w:right w:w="100" w:type="dxa"/>
            </w:tcMar>
            <w:shd w:fill="FFFFFF"/>
          </w:tcPr>
          <w:p>
            <w:pPr>
              <w:spacing w:after="20" w:line="269" w:lineRule="auto"/>
            </w:pPr>
            <w:r>
              <w:rPr>
                <w:sz w:val="18"/>
              </w:rPr>
              <w:t>控制服务</w:t>
            </w:r>
          </w:p>
        </w:tc>
        <w:tc>
          <w:tcPr>
            <w:tcW w:type="dxa" w:w="3900"/>
            <w:tcMar>
              <w:top w:w="90" w:type="dxa"/>
              <w:bottom w:w="90" w:type="dxa"/>
              <w:left w:w="100" w:type="dxa"/>
              <w:right w:w="100" w:type="dxa"/>
            </w:tcMar>
            <w:shd w:fill="FFFFFF"/>
          </w:tcPr>
          <w:p>
            <w:pPr>
              <w:spacing w:after="20" w:line="269" w:lineRule="auto"/>
            </w:pPr>
            <w:r>
              <w:rPr>
                <w:sz w:val="18"/>
              </w:rPr>
              <w:t>Python 3.12、FastAPI、Pydantic 2、asyncio</w:t>
            </w:r>
          </w:p>
        </w:tc>
        <w:tc>
          <w:tcPr>
            <w:tcW w:type="dxa" w:w="3900"/>
            <w:tcMar>
              <w:top w:w="90" w:type="dxa"/>
              <w:bottom w:w="90" w:type="dxa"/>
              <w:left w:w="100" w:type="dxa"/>
              <w:right w:w="100" w:type="dxa"/>
            </w:tcMar>
            <w:shd w:fill="FFFFFF"/>
          </w:tcPr>
          <w:p>
            <w:pPr>
              <w:spacing w:after="20" w:line="269" w:lineRule="auto"/>
            </w:pPr>
            <w:r>
              <w:rPr>
                <w:sz w:val="18"/>
              </w:rPr>
              <w:t>单进程领域服务、SQLite 写入 actor、受管子进程</w:t>
            </w:r>
          </w:p>
        </w:tc>
      </w:tr>
      <w:tr>
        <w:trPr>
          <w:cantSplit/>
        </w:trPr>
        <w:tc>
          <w:tcPr>
            <w:tcW w:type="dxa" w:w="1950"/>
            <w:tcMar>
              <w:top w:w="90" w:type="dxa"/>
              <w:bottom w:w="90" w:type="dxa"/>
              <w:left w:w="100" w:type="dxa"/>
              <w:right w:w="100" w:type="dxa"/>
            </w:tcMar>
            <w:shd w:fill="F1F5F9"/>
          </w:tcPr>
          <w:p>
            <w:pPr>
              <w:spacing w:after="20" w:line="269" w:lineRule="auto"/>
            </w:pPr>
            <w:r>
              <w:rPr>
                <w:sz w:val="18"/>
              </w:rPr>
              <w:t>持久状态</w:t>
            </w:r>
          </w:p>
        </w:tc>
        <w:tc>
          <w:tcPr>
            <w:tcW w:type="dxa" w:w="3900"/>
            <w:tcMar>
              <w:top w:w="90" w:type="dxa"/>
              <w:bottom w:w="90" w:type="dxa"/>
              <w:left w:w="100" w:type="dxa"/>
              <w:right w:w="100" w:type="dxa"/>
            </w:tcMar>
            <w:shd w:fill="F1F5F9"/>
          </w:tcPr>
          <w:p>
            <w:pPr>
              <w:spacing w:after="20" w:line="269" w:lineRule="auto"/>
            </w:pPr>
            <w:r>
              <w:rPr>
                <w:sz w:val="18"/>
              </w:rPr>
              <w:t>SQLite WAL</w:t>
            </w:r>
          </w:p>
        </w:tc>
        <w:tc>
          <w:tcPr>
            <w:tcW w:type="dxa" w:w="3900"/>
            <w:tcMar>
              <w:top w:w="90" w:type="dxa"/>
              <w:bottom w:w="90" w:type="dxa"/>
              <w:left w:w="100" w:type="dxa"/>
              <w:right w:w="100" w:type="dxa"/>
            </w:tcMar>
            <w:shd w:fill="F1F5F9"/>
          </w:tcPr>
          <w:p>
            <w:pPr>
              <w:spacing w:after="20" w:line="269" w:lineRule="auto"/>
            </w:pPr>
            <w:r>
              <w:rPr>
                <w:sz w:val="18"/>
              </w:rPr>
              <w:t>本地磁盘、外键、显式迁移、单实例锁、事务内事件</w:t>
            </w:r>
          </w:p>
        </w:tc>
      </w:tr>
      <w:tr>
        <w:trPr>
          <w:cantSplit/>
        </w:trPr>
        <w:tc>
          <w:tcPr>
            <w:tcW w:type="dxa" w:w="1950"/>
            <w:tcMar>
              <w:top w:w="90" w:type="dxa"/>
              <w:bottom w:w="90" w:type="dxa"/>
              <w:left w:w="100" w:type="dxa"/>
              <w:right w:w="100" w:type="dxa"/>
            </w:tcMar>
            <w:shd w:fill="FFFFFF"/>
          </w:tcPr>
          <w:p>
            <w:pPr>
              <w:spacing w:after="20" w:line="269" w:lineRule="auto"/>
            </w:pPr>
            <w:r>
              <w:rPr>
                <w:sz w:val="18"/>
              </w:rPr>
              <w:t>文件</w:t>
            </w:r>
          </w:p>
        </w:tc>
        <w:tc>
          <w:tcPr>
            <w:tcW w:type="dxa" w:w="3900"/>
            <w:tcMar>
              <w:top w:w="90" w:type="dxa"/>
              <w:bottom w:w="90" w:type="dxa"/>
              <w:left w:w="100" w:type="dxa"/>
              <w:right w:w="100" w:type="dxa"/>
            </w:tcMar>
            <w:shd w:fill="FFFFFF"/>
          </w:tcPr>
          <w:p>
            <w:pPr>
              <w:spacing w:after="20" w:line="269" w:lineRule="auto"/>
            </w:pPr>
            <w:r>
              <w:rPr>
                <w:sz w:val="18"/>
              </w:rPr>
              <w:t>LocalArtifactStore</w:t>
            </w:r>
          </w:p>
        </w:tc>
        <w:tc>
          <w:tcPr>
            <w:tcW w:type="dxa" w:w="3900"/>
            <w:tcMar>
              <w:top w:w="90" w:type="dxa"/>
              <w:bottom w:w="90" w:type="dxa"/>
              <w:left w:w="100" w:type="dxa"/>
              <w:right w:w="100" w:type="dxa"/>
            </w:tcMar>
            <w:shd w:fill="FFFFFF"/>
          </w:tcPr>
          <w:p>
            <w:pPr>
              <w:spacing w:after="20" w:line="269" w:lineRule="auto"/>
            </w:pPr>
            <w:r>
              <w:rPr>
                <w:sz w:val="18"/>
              </w:rPr>
              <w:t>SHA-256 内容寻址、原子落盘、索引与引用校验</w:t>
            </w:r>
          </w:p>
        </w:tc>
      </w:tr>
      <w:tr>
        <w:trPr>
          <w:cantSplit/>
        </w:trPr>
        <w:tc>
          <w:tcPr>
            <w:tcW w:type="dxa" w:w="1950"/>
            <w:tcMar>
              <w:top w:w="90" w:type="dxa"/>
              <w:bottom w:w="90" w:type="dxa"/>
              <w:left w:w="100" w:type="dxa"/>
              <w:right w:w="100" w:type="dxa"/>
            </w:tcMar>
            <w:shd w:fill="F1F5F9"/>
          </w:tcPr>
          <w:p>
            <w:pPr>
              <w:spacing w:after="20" w:line="269" w:lineRule="auto"/>
            </w:pPr>
            <w:r>
              <w:rPr>
                <w:sz w:val="18"/>
              </w:rPr>
              <w:t>专业角色/编码</w:t>
            </w:r>
          </w:p>
        </w:tc>
        <w:tc>
          <w:tcPr>
            <w:tcW w:type="dxa" w:w="3900"/>
            <w:tcMar>
              <w:top w:w="90" w:type="dxa"/>
              <w:bottom w:w="90" w:type="dxa"/>
              <w:left w:w="100" w:type="dxa"/>
              <w:right w:w="100" w:type="dxa"/>
            </w:tcMar>
            <w:shd w:fill="F1F5F9"/>
          </w:tcPr>
          <w:p>
            <w:pPr>
              <w:spacing w:after="20" w:line="269" w:lineRule="auto"/>
            </w:pPr>
            <w:r>
              <w:rPr>
                <w:sz w:val="18"/>
              </w:rPr>
              <w:t>OpenHandsRoleAdapter、CodexExecAdapter</w:t>
            </w:r>
          </w:p>
        </w:tc>
        <w:tc>
          <w:tcPr>
            <w:tcW w:type="dxa" w:w="3900"/>
            <w:tcMar>
              <w:top w:w="90" w:type="dxa"/>
              <w:bottom w:w="90" w:type="dxa"/>
              <w:left w:w="100" w:type="dxa"/>
              <w:right w:w="100" w:type="dxa"/>
            </w:tcMar>
            <w:shd w:fill="F1F5F9"/>
          </w:tcPr>
          <w:p>
            <w:pPr>
              <w:spacing w:after="20" w:line="269" w:lineRule="auto"/>
            </w:pPr>
            <w:r>
              <w:rPr>
                <w:sz w:val="18"/>
              </w:rPr>
              <w:t>统一 TaskEnvelope、生命周期、产物与能力契约</w:t>
            </w:r>
          </w:p>
        </w:tc>
      </w:tr>
      <w:tr>
        <w:trPr>
          <w:cantSplit/>
        </w:trPr>
        <w:tc>
          <w:tcPr>
            <w:tcW w:type="dxa" w:w="1950"/>
            <w:tcMar>
              <w:top w:w="90" w:type="dxa"/>
              <w:bottom w:w="90" w:type="dxa"/>
              <w:left w:w="100" w:type="dxa"/>
              <w:right w:w="100" w:type="dxa"/>
            </w:tcMar>
            <w:shd w:fill="FFFFFF"/>
          </w:tcPr>
          <w:p>
            <w:pPr>
              <w:spacing w:after="20" w:line="269" w:lineRule="auto"/>
            </w:pPr>
            <w:r>
              <w:rPr>
                <w:sz w:val="18"/>
              </w:rPr>
              <w:t>模型</w:t>
            </w:r>
          </w:p>
        </w:tc>
        <w:tc>
          <w:tcPr>
            <w:tcW w:type="dxa" w:w="3900"/>
            <w:tcMar>
              <w:top w:w="90" w:type="dxa"/>
              <w:bottom w:w="90" w:type="dxa"/>
              <w:left w:w="100" w:type="dxa"/>
              <w:right w:w="100" w:type="dxa"/>
            </w:tcMar>
            <w:shd w:fill="FFFFFF"/>
          </w:tcPr>
          <w:p>
            <w:pPr>
              <w:spacing w:after="20" w:line="269" w:lineRule="auto"/>
            </w:pPr>
            <w:r>
              <w:rPr>
                <w:sz w:val="18"/>
              </w:rPr>
              <w:t>本地 ModelProxy、ModelProvider</w:t>
            </w:r>
          </w:p>
        </w:tc>
        <w:tc>
          <w:tcPr>
            <w:tcW w:type="dxa" w:w="3900"/>
            <w:tcMar>
              <w:top w:w="90" w:type="dxa"/>
              <w:bottom w:w="90" w:type="dxa"/>
              <w:left w:w="100" w:type="dxa"/>
              <w:right w:w="100" w:type="dxa"/>
            </w:tcMar>
            <w:shd w:fill="FFFFFF"/>
          </w:tcPr>
          <w:p>
            <w:pPr>
              <w:spacing w:after="20" w:line="269" w:lineRule="auto"/>
            </w:pPr>
            <w:r>
              <w:rPr>
                <w:sz w:val="18"/>
              </w:rPr>
              <w:t>Chat Completions/Responses 原生协议路径与可验证准入</w:t>
            </w:r>
          </w:p>
        </w:tc>
      </w:tr>
      <w:tr>
        <w:trPr>
          <w:cantSplit/>
        </w:trPr>
        <w:tc>
          <w:tcPr>
            <w:tcW w:type="dxa" w:w="1950"/>
            <w:tcMar>
              <w:top w:w="90" w:type="dxa"/>
              <w:bottom w:w="90" w:type="dxa"/>
              <w:left w:w="100" w:type="dxa"/>
              <w:right w:w="100" w:type="dxa"/>
            </w:tcMar>
            <w:shd w:fill="F1F5F9"/>
          </w:tcPr>
          <w:p>
            <w:pPr>
              <w:spacing w:after="20" w:line="269" w:lineRule="auto"/>
            </w:pPr>
            <w:r>
              <w:rPr>
                <w:sz w:val="18"/>
              </w:rPr>
              <w:t>执行节点</w:t>
            </w:r>
          </w:p>
        </w:tc>
        <w:tc>
          <w:tcPr>
            <w:tcW w:type="dxa" w:w="3900"/>
            <w:tcMar>
              <w:top w:w="90" w:type="dxa"/>
              <w:bottom w:w="90" w:type="dxa"/>
              <w:left w:w="100" w:type="dxa"/>
              <w:right w:w="100" w:type="dxa"/>
            </w:tcMar>
            <w:shd w:fill="F1F5F9"/>
          </w:tcPr>
          <w:p>
            <w:pPr>
              <w:spacing w:after="20" w:line="269" w:lineRule="auto"/>
            </w:pPr>
            <w:r>
              <w:rPr>
                <w:sz w:val="18"/>
              </w:rPr>
              <w:t>Python node agent＋按 OS 实现的进程监督器</w:t>
            </w:r>
          </w:p>
        </w:tc>
        <w:tc>
          <w:tcPr>
            <w:tcW w:type="dxa" w:w="3900"/>
            <w:tcMar>
              <w:top w:w="90" w:type="dxa"/>
              <w:bottom w:w="90" w:type="dxa"/>
              <w:left w:w="100" w:type="dxa"/>
              <w:right w:w="100" w:type="dxa"/>
            </w:tcMar>
            <w:shd w:fill="F1F5F9"/>
          </w:tcPr>
          <w:p>
            <w:pPr>
              <w:spacing w:after="20" w:line="269" w:lineRule="auto"/>
            </w:pPr>
            <w:r>
              <w:rPr>
                <w:sz w:val="18"/>
              </w:rPr>
              <w:t>pull 作业、本地 journal、租约、受限凭据、构建/测试适配</w:t>
            </w:r>
          </w:p>
        </w:tc>
      </w:tr>
      <w:tr>
        <w:trPr>
          <w:cantSplit/>
        </w:trPr>
        <w:tc>
          <w:tcPr>
            <w:tcW w:type="dxa" w:w="1950"/>
            <w:tcMar>
              <w:top w:w="90" w:type="dxa"/>
              <w:bottom w:w="90" w:type="dxa"/>
              <w:left w:w="100" w:type="dxa"/>
              <w:right w:w="100" w:type="dxa"/>
            </w:tcMar>
            <w:shd w:fill="FFFFFF"/>
          </w:tcPr>
          <w:p>
            <w:pPr>
              <w:spacing w:after="20" w:line="269" w:lineRule="auto"/>
            </w:pPr>
            <w:r>
              <w:rPr>
                <w:sz w:val="18"/>
              </w:rPr>
              <w:t>原生进程管理</w:t>
            </w:r>
          </w:p>
        </w:tc>
        <w:tc>
          <w:tcPr>
            <w:tcW w:type="dxa" w:w="3900"/>
            <w:tcMar>
              <w:top w:w="90" w:type="dxa"/>
              <w:bottom w:w="90" w:type="dxa"/>
              <w:left w:w="100" w:type="dxa"/>
              <w:right w:w="100" w:type="dxa"/>
            </w:tcMar>
            <w:shd w:fill="FFFFFF"/>
          </w:tcPr>
          <w:p>
            <w:pPr>
              <w:spacing w:after="20" w:line="269" w:lineRule="auto"/>
            </w:pPr>
            <w:r>
              <w:rPr>
                <w:sz w:val="18"/>
              </w:rPr>
              <w:t>POSIX 进程组；Windows Job Object 等平台能力</w:t>
            </w:r>
          </w:p>
        </w:tc>
        <w:tc>
          <w:tcPr>
            <w:tcW w:type="dxa" w:w="3900"/>
            <w:tcMar>
              <w:top w:w="90" w:type="dxa"/>
              <w:bottom w:w="90" w:type="dxa"/>
              <w:left w:w="100" w:type="dxa"/>
              <w:right w:w="100" w:type="dxa"/>
            </w:tcMar>
            <w:shd w:fill="FFFFFF"/>
          </w:tcPr>
          <w:p>
            <w:pPr>
              <w:spacing w:after="20" w:line="269" w:lineRule="auto"/>
            </w:pPr>
            <w:r>
              <w:rPr>
                <w:sz w:val="18"/>
              </w:rPr>
              <w:t>身份校验、超时、中断、子进程清理与结果收集</w:t>
            </w:r>
          </w:p>
        </w:tc>
      </w:tr>
      <w:tr>
        <w:trPr>
          <w:cantSplit/>
        </w:trPr>
        <w:tc>
          <w:tcPr>
            <w:tcW w:type="dxa" w:w="1950"/>
            <w:tcMar>
              <w:top w:w="90" w:type="dxa"/>
              <w:bottom w:w="90" w:type="dxa"/>
              <w:left w:w="100" w:type="dxa"/>
              <w:right w:w="100" w:type="dxa"/>
            </w:tcMar>
            <w:shd w:fill="F1F5F9"/>
          </w:tcPr>
          <w:p>
            <w:pPr>
              <w:spacing w:after="20" w:line="269" w:lineRule="auto"/>
            </w:pPr>
            <w:r>
              <w:rPr>
                <w:sz w:val="18"/>
              </w:rPr>
              <w:t>仓库</w:t>
            </w:r>
          </w:p>
        </w:tc>
        <w:tc>
          <w:tcPr>
            <w:tcW w:type="dxa" w:w="3900"/>
            <w:tcMar>
              <w:top w:w="90" w:type="dxa"/>
              <w:bottom w:w="90" w:type="dxa"/>
              <w:left w:w="100" w:type="dxa"/>
              <w:right w:w="100" w:type="dxa"/>
            </w:tcMar>
            <w:shd w:fill="F1F5F9"/>
          </w:tcPr>
          <w:p>
            <w:pPr>
              <w:spacing w:after="20" w:line="269" w:lineRule="auto"/>
            </w:pPr>
            <w:r>
              <w:rPr>
                <w:sz w:val="18"/>
              </w:rPr>
              <w:t>本地 Git、独立克隆</w:t>
            </w:r>
          </w:p>
        </w:tc>
        <w:tc>
          <w:tcPr>
            <w:tcW w:type="dxa" w:w="3900"/>
            <w:tcMar>
              <w:top w:w="90" w:type="dxa"/>
              <w:bottom w:w="90" w:type="dxa"/>
              <w:left w:w="100" w:type="dxa"/>
              <w:right w:w="100" w:type="dxa"/>
            </w:tcMar>
            <w:shd w:fill="F1F5F9"/>
          </w:tcPr>
          <w:p>
            <w:pPr>
              <w:spacing w:after="20" w:line="269" w:lineRule="auto"/>
            </w:pPr>
            <w:r>
              <w:rPr>
                <w:sz w:val="18"/>
              </w:rPr>
              <w:t>源码冻结、对象导入、候选校验与引用事务</w:t>
            </w:r>
          </w:p>
        </w:tc>
      </w:tr>
      <w:tr>
        <w:trPr>
          <w:cantSplit/>
        </w:trPr>
        <w:tc>
          <w:tcPr>
            <w:tcW w:type="dxa" w:w="1950"/>
            <w:tcMar>
              <w:top w:w="90" w:type="dxa"/>
              <w:bottom w:w="90" w:type="dxa"/>
              <w:left w:w="100" w:type="dxa"/>
              <w:right w:w="100" w:type="dxa"/>
            </w:tcMar>
            <w:shd w:fill="FFFFFF"/>
          </w:tcPr>
          <w:p>
            <w:pPr>
              <w:spacing w:after="20" w:line="269" w:lineRule="auto"/>
            </w:pPr>
            <w:r>
              <w:rPr>
                <w:sz w:val="18"/>
              </w:rPr>
              <w:t>节点传输</w:t>
            </w:r>
          </w:p>
        </w:tc>
        <w:tc>
          <w:tcPr>
            <w:tcW w:type="dxa" w:w="3900"/>
            <w:tcMar>
              <w:top w:w="90" w:type="dxa"/>
              <w:bottom w:w="90" w:type="dxa"/>
              <w:left w:w="100" w:type="dxa"/>
              <w:right w:w="100" w:type="dxa"/>
            </w:tcMar>
            <w:shd w:fill="FFFFFF"/>
          </w:tcPr>
          <w:p>
            <w:pPr>
              <w:spacing w:after="20" w:line="269" w:lineRule="auto"/>
            </w:pPr>
            <w:r>
              <w:rPr>
                <w:sz w:val="18"/>
              </w:rPr>
              <w:t>私网 HTTPS、单次配对、mTLS</w:t>
            </w:r>
          </w:p>
        </w:tc>
        <w:tc>
          <w:tcPr>
            <w:tcW w:type="dxa" w:w="3900"/>
            <w:tcMar>
              <w:top w:w="90" w:type="dxa"/>
              <w:bottom w:w="90" w:type="dxa"/>
              <w:left w:w="100" w:type="dxa"/>
              <w:right w:w="100" w:type="dxa"/>
            </w:tcMar>
            <w:shd w:fill="FFFFFF"/>
          </w:tcPr>
          <w:p>
            <w:pPr>
              <w:spacing w:after="20" w:line="269" w:lineRule="auto"/>
            </w:pPr>
            <w:r>
              <w:rPr>
                <w:sz w:val="18"/>
              </w:rPr>
              <w:t>证书指纹固定、权限绑定、文件摘要校验</w:t>
            </w:r>
          </w:p>
        </w:tc>
      </w:tr>
    </w:tbl>
    <w:p>
      <w:pPr>
        <w:spacing w:after="0" w:before="0" w:line="60" w:lineRule="exact"/>
      </w:pPr>
    </w:p>
    <w:p>
      <w:r>
        <w:t>控制进程只运行一个业务实例。双 listener 共用领域层与写入 actor，使用不同路由、认证和中间件，不运行两个可各自修改状态的服务。节点可以位于同一物理机，也可以是自有 LAN 主机或 VM。</w:t>
      </w:r>
    </w:p>
    <w:p>
      <w:pPr>
        <w:pStyle w:val="Heading2"/>
      </w:pPr>
      <w:r>
        <w:t>3.3 最小环境组成</w:t>
      </w:r>
    </w:p>
    <w:tbl>
      <w:tblPr>
        <w:tblW w:type="auto" w:w="0"/>
        <w:tblLayout w:type="fixed"/>
        <w:tblLook w:firstColumn="1" w:firstRow="1" w:lastColumn="0" w:lastRow="0" w:noHBand="0" w:noVBand="1" w:val="04A0"/>
      </w:tblPr>
      <w:tblGrid>
        <w:gridCol w:w="1950"/>
        <w:gridCol w:w="3900"/>
        <w:gridCol w:w="3900"/>
      </w:tblGrid>
      <w:tr>
        <w:trPr>
          <w:cantSplit/>
          <w:tblHeader/>
        </w:trPr>
        <w:tc>
          <w:tcPr>
            <w:tcW w:type="dxa" w:w="1950"/>
            <w:tcMar>
              <w:top w:w="90" w:type="dxa"/>
              <w:bottom w:w="90" w:type="dxa"/>
              <w:left w:w="100" w:type="dxa"/>
              <w:right w:w="100" w:type="dxa"/>
            </w:tcMar>
            <w:shd w:fill="163553"/>
          </w:tcPr>
          <w:p>
            <w:pPr>
              <w:spacing w:after="20" w:line="269" w:lineRule="auto"/>
            </w:pPr>
            <w:r>
              <w:rPr>
                <w:b/>
                <w:color w:val="FFFFFF"/>
                <w:sz w:val="18"/>
              </w:rPr>
              <w:t>环境</w:t>
            </w:r>
          </w:p>
        </w:tc>
        <w:tc>
          <w:tcPr>
            <w:tcW w:type="dxa" w:w="3900"/>
            <w:tcMar>
              <w:top w:w="90" w:type="dxa"/>
              <w:bottom w:w="90" w:type="dxa"/>
              <w:left w:w="100" w:type="dxa"/>
              <w:right w:w="100" w:type="dxa"/>
            </w:tcMar>
            <w:shd w:fill="163553"/>
          </w:tcPr>
          <w:p>
            <w:pPr>
              <w:spacing w:after="20" w:line="269" w:lineRule="auto"/>
            </w:pPr>
            <w:r>
              <w:rPr>
                <w:b/>
                <w:color w:val="FFFFFF"/>
                <w:sz w:val="18"/>
              </w:rPr>
              <w:t>可承担目标</w:t>
            </w:r>
          </w:p>
        </w:tc>
        <w:tc>
          <w:tcPr>
            <w:tcW w:type="dxa" w:w="3900"/>
            <w:tcMar>
              <w:top w:w="90" w:type="dxa"/>
              <w:bottom w:w="90" w:type="dxa"/>
              <w:left w:w="100" w:type="dxa"/>
              <w:right w:w="100" w:type="dxa"/>
            </w:tcMar>
            <w:shd w:fill="163553"/>
          </w:tcPr>
          <w:p>
            <w:pPr>
              <w:spacing w:after="20" w:line="269" w:lineRule="auto"/>
            </w:pPr>
            <w:r>
              <w:rPr>
                <w:b/>
                <w:color w:val="FFFFFF"/>
                <w:sz w:val="18"/>
              </w:rPr>
              <w:t>必备条件</w:t>
            </w:r>
          </w:p>
        </w:tc>
      </w:tr>
      <w:tr>
        <w:trPr>
          <w:cantSplit/>
        </w:trPr>
        <w:tc>
          <w:tcPr>
            <w:tcW w:type="dxa" w:w="1950"/>
            <w:tcMar>
              <w:top w:w="90" w:type="dxa"/>
              <w:bottom w:w="90" w:type="dxa"/>
              <w:left w:w="100" w:type="dxa"/>
              <w:right w:w="100" w:type="dxa"/>
            </w:tcMar>
            <w:shd w:fill="F1F5F9"/>
          </w:tcPr>
          <w:p>
            <w:pPr>
              <w:spacing w:after="20" w:line="269" w:lineRule="auto"/>
            </w:pPr>
            <w:r>
              <w:rPr>
                <w:sz w:val="18"/>
              </w:rPr>
              <w:t>Linux 主机或 VM</w:t>
            </w:r>
          </w:p>
        </w:tc>
        <w:tc>
          <w:tcPr>
            <w:tcW w:type="dxa" w:w="3900"/>
            <w:tcMar>
              <w:top w:w="90" w:type="dxa"/>
              <w:bottom w:w="90" w:type="dxa"/>
              <w:left w:w="100" w:type="dxa"/>
              <w:right w:w="100" w:type="dxa"/>
            </w:tcMar>
            <w:shd w:fill="F1F5F9"/>
          </w:tcPr>
          <w:p>
            <w:pPr>
              <w:spacing w:after="20" w:line="269" w:lineRule="auto"/>
            </w:pPr>
            <w:r>
              <w:rPr>
                <w:sz w:val="18"/>
              </w:rPr>
              <w:t>控制端、Web/API、Android、Linux 原生</w:t>
            </w:r>
          </w:p>
        </w:tc>
        <w:tc>
          <w:tcPr>
            <w:tcW w:type="dxa" w:w="3900"/>
            <w:tcMar>
              <w:top w:w="90" w:type="dxa"/>
              <w:bottom w:w="90" w:type="dxa"/>
              <w:left w:w="100" w:type="dxa"/>
              <w:right w:w="100" w:type="dxa"/>
            </w:tcMar>
            <w:shd w:fill="F1F5F9"/>
          </w:tcPr>
          <w:p>
            <w:pPr>
              <w:spacing w:after="20" w:line="269" w:lineRule="auto"/>
            </w:pPr>
            <w:r>
              <w:rPr>
                <w:sz w:val="18"/>
              </w:rPr>
              <w:t>工具链与可写隔离目录；Android 需硬件加速/合适虚拟化；Linux GUI 需声明的桌面与辅助功能会话</w:t>
            </w:r>
          </w:p>
        </w:tc>
      </w:tr>
      <w:tr>
        <w:trPr>
          <w:cantSplit/>
        </w:trPr>
        <w:tc>
          <w:tcPr>
            <w:tcW w:type="dxa" w:w="1950"/>
            <w:tcMar>
              <w:top w:w="90" w:type="dxa"/>
              <w:bottom w:w="90" w:type="dxa"/>
              <w:left w:w="100" w:type="dxa"/>
              <w:right w:w="100" w:type="dxa"/>
            </w:tcMar>
            <w:shd w:fill="FFFFFF"/>
          </w:tcPr>
          <w:p>
            <w:pPr>
              <w:spacing w:after="20" w:line="269" w:lineRule="auto"/>
            </w:pPr>
            <w:r>
              <w:rPr>
                <w:sz w:val="18"/>
              </w:rPr>
              <w:t>Apple 硬件上的 macOS</w:t>
            </w:r>
          </w:p>
        </w:tc>
        <w:tc>
          <w:tcPr>
            <w:tcW w:type="dxa" w:w="3900"/>
            <w:tcMar>
              <w:top w:w="90" w:type="dxa"/>
              <w:bottom w:w="90" w:type="dxa"/>
              <w:left w:w="100" w:type="dxa"/>
              <w:right w:w="100" w:type="dxa"/>
            </w:tcMar>
            <w:shd w:fill="FFFFFF"/>
          </w:tcPr>
          <w:p>
            <w:pPr>
              <w:spacing w:after="20" w:line="269" w:lineRule="auto"/>
            </w:pPr>
            <w:r>
              <w:rPr>
                <w:sz w:val="18"/>
              </w:rPr>
              <w:t>iOS Simulator、macOS 原生</w:t>
            </w:r>
          </w:p>
        </w:tc>
        <w:tc>
          <w:tcPr>
            <w:tcW w:type="dxa" w:w="3900"/>
            <w:tcMar>
              <w:top w:w="90" w:type="dxa"/>
              <w:bottom w:w="90" w:type="dxa"/>
              <w:left w:w="100" w:type="dxa"/>
              <w:right w:w="100" w:type="dxa"/>
            </w:tcMar>
            <w:shd w:fill="FFFFFF"/>
          </w:tcPr>
          <w:p>
            <w:pPr>
              <w:spacing w:after="20" w:line="269" w:lineRule="auto"/>
            </w:pPr>
            <w:r>
              <w:rPr>
                <w:sz w:val="18"/>
              </w:rPr>
              <w:t>合适的 macOS/Xcode/SDK、Simulator runtime、测试 runner、GUI/辅助功能权限</w:t>
            </w:r>
          </w:p>
        </w:tc>
      </w:tr>
      <w:tr>
        <w:trPr>
          <w:cantSplit/>
        </w:trPr>
        <w:tc>
          <w:tcPr>
            <w:tcW w:type="dxa" w:w="1950"/>
            <w:tcMar>
              <w:top w:w="90" w:type="dxa"/>
              <w:bottom w:w="90" w:type="dxa"/>
              <w:left w:w="100" w:type="dxa"/>
              <w:right w:w="100" w:type="dxa"/>
            </w:tcMar>
            <w:shd w:fill="F1F5F9"/>
          </w:tcPr>
          <w:p>
            <w:pPr>
              <w:spacing w:after="20" w:line="269" w:lineRule="auto"/>
            </w:pPr>
            <w:r>
              <w:rPr>
                <w:sz w:val="18"/>
              </w:rPr>
              <w:t>Windows 主机或 VM</w:t>
            </w:r>
          </w:p>
        </w:tc>
        <w:tc>
          <w:tcPr>
            <w:tcW w:type="dxa" w:w="3900"/>
            <w:tcMar>
              <w:top w:w="90" w:type="dxa"/>
              <w:bottom w:w="90" w:type="dxa"/>
              <w:left w:w="100" w:type="dxa"/>
              <w:right w:w="100" w:type="dxa"/>
            </w:tcMar>
            <w:shd w:fill="F1F5F9"/>
          </w:tcPr>
          <w:p>
            <w:pPr>
              <w:spacing w:after="20" w:line="269" w:lineRule="auto"/>
            </w:pPr>
            <w:r>
              <w:rPr>
                <w:sz w:val="18"/>
              </w:rPr>
              <w:t>Windows 原生</w:t>
            </w:r>
          </w:p>
        </w:tc>
        <w:tc>
          <w:tcPr>
            <w:tcW w:type="dxa" w:w="3900"/>
            <w:tcMar>
              <w:top w:w="90" w:type="dxa"/>
              <w:bottom w:w="90" w:type="dxa"/>
              <w:left w:w="100" w:type="dxa"/>
              <w:right w:w="100" w:type="dxa"/>
            </w:tcMar>
            <w:shd w:fill="F1F5F9"/>
          </w:tcPr>
          <w:p>
            <w:pPr>
              <w:spacing w:after="20" w:line="269" w:lineRule="auto"/>
            </w:pPr>
            <w:r>
              <w:rPr>
                <w:sz w:val="18"/>
              </w:rPr>
              <w:t>合适的 .NET SDK、交互式桌面、UI Automation、应用与测试权限</w:t>
            </w:r>
          </w:p>
        </w:tc>
      </w:tr>
    </w:tbl>
    <w:p>
      <w:pPr>
        <w:spacing w:after="0" w:before="0" w:line="60" w:lineRule="exact"/>
      </w:pPr>
    </w:p>
    <w:p>
      <w:r>
        <w:t>可将控制端与测试节点放在同机的不同受控环境中；设备、桌面和资源许可由探针决定可并发程度。iOS/macOS 可以共用一台 Mac，Android 可以共用合适的 Linux 主机。不能假设任意 VM 都支持嵌套虚拟化或 Android 加速。</w:t>
      </w:r>
    </w:p>
    <w:p>
      <w:r>
        <w:t>Windows 无人值守服务的 Session 0 不能直接代替用户交互桌面；锁屏、RDP 断开、分辨率改变须被探测。Mac 节点需处理测试驱动、屏幕录制和辅助功能许可。签名凭据仅在确有需要的节点上受控引用，普通 Agent 不读取私钥；模拟器测试不等于商店签名或真机分发验收。</w:t>
      </w:r>
    </w:p>
    <w:p>
      <w:pPr>
        <w:pStyle w:val="Heading1"/>
      </w:pPr>
      <w:r>
        <w:t>4. 七类执行与测试适配</w:t>
      </w:r>
    </w:p>
    <w:p>
      <w:pPr>
        <w:pStyle w:val="Heading2"/>
      </w:pPr>
      <w:r>
        <w:t>4.1 首批参考组合</w:t>
      </w:r>
    </w:p>
    <w:p>
      <w:r>
        <w:t>以下是需要实现并验证的参考组合。精确 OS、SDK、运行时、框架和驱动版本在首次验收前由能力探针锁定，并保存到支持清单；此表不表示已完成兼容测试。</w:t>
      </w:r>
    </w:p>
    <w:tbl>
      <w:tblPr>
        <w:tblW w:type="auto" w:w="0"/>
        <w:tblLayout w:type="fixed"/>
        <w:tblLook w:firstColumn="1" w:firstRow="1" w:lastColumn="0" w:lastRow="0" w:noHBand="0" w:noVBand="1" w:val="04A0"/>
      </w:tblPr>
      <w:tblGrid>
        <w:gridCol w:w="1950"/>
        <w:gridCol w:w="3900"/>
        <w:gridCol w:w="3900"/>
      </w:tblGrid>
      <w:tr>
        <w:trPr>
          <w:cantSplit/>
          <w:tblHeader/>
        </w:trPr>
        <w:tc>
          <w:tcPr>
            <w:tcW w:type="dxa" w:w="1950"/>
            <w:tcMar>
              <w:top w:w="90" w:type="dxa"/>
              <w:bottom w:w="90" w:type="dxa"/>
              <w:left w:w="100" w:type="dxa"/>
              <w:right w:w="100" w:type="dxa"/>
            </w:tcMar>
            <w:shd w:fill="163553"/>
          </w:tcPr>
          <w:p>
            <w:pPr>
              <w:spacing w:after="20" w:line="269" w:lineRule="auto"/>
            </w:pPr>
            <w:r>
              <w:rPr>
                <w:b/>
                <w:color w:val="FFFFFF"/>
                <w:sz w:val="18"/>
              </w:rPr>
              <w:t>目标</w:t>
            </w:r>
          </w:p>
        </w:tc>
        <w:tc>
          <w:tcPr>
            <w:tcW w:type="dxa" w:w="3900"/>
            <w:tcMar>
              <w:top w:w="90" w:type="dxa"/>
              <w:bottom w:w="90" w:type="dxa"/>
              <w:left w:w="100" w:type="dxa"/>
              <w:right w:w="100" w:type="dxa"/>
            </w:tcMar>
            <w:shd w:fill="163553"/>
          </w:tcPr>
          <w:p>
            <w:pPr>
              <w:spacing w:after="20" w:line="269" w:lineRule="auto"/>
            </w:pPr>
            <w:r>
              <w:rPr>
                <w:b/>
                <w:color w:val="FFFFFF"/>
                <w:sz w:val="18"/>
              </w:rPr>
              <w:t>参考技术及工具</w:t>
            </w:r>
          </w:p>
        </w:tc>
        <w:tc>
          <w:tcPr>
            <w:tcW w:type="dxa" w:w="3900"/>
            <w:tcMar>
              <w:top w:w="90" w:type="dxa"/>
              <w:bottom w:w="90" w:type="dxa"/>
              <w:left w:w="100" w:type="dxa"/>
              <w:right w:w="100" w:type="dxa"/>
            </w:tcMar>
            <w:shd w:fill="163553"/>
          </w:tcPr>
          <w:p>
            <w:pPr>
              <w:spacing w:after="20" w:line="269" w:lineRule="auto"/>
            </w:pPr>
            <w:r>
              <w:rPr>
                <w:b/>
                <w:color w:val="FFFFFF"/>
                <w:sz w:val="18"/>
              </w:rPr>
              <w:t>必须实际验证与归档</w:t>
            </w:r>
          </w:p>
        </w:tc>
      </w:tr>
      <w:tr>
        <w:trPr>
          <w:cantSplit/>
        </w:trPr>
        <w:tc>
          <w:tcPr>
            <w:tcW w:type="dxa" w:w="1950"/>
            <w:tcMar>
              <w:top w:w="90" w:type="dxa"/>
              <w:bottom w:w="90" w:type="dxa"/>
              <w:left w:w="100" w:type="dxa"/>
              <w:right w:w="100" w:type="dxa"/>
            </w:tcMar>
            <w:shd w:fill="F1F5F9"/>
          </w:tcPr>
          <w:p>
            <w:pPr>
              <w:spacing w:after="20" w:line="269" w:lineRule="auto"/>
            </w:pPr>
            <w:r>
              <w:rPr>
                <w:sz w:val="18"/>
              </w:rPr>
              <w:t>Web</w:t>
            </w:r>
          </w:p>
        </w:tc>
        <w:tc>
          <w:tcPr>
            <w:tcW w:type="dxa" w:w="3900"/>
            <w:tcMar>
              <w:top w:w="90" w:type="dxa"/>
              <w:bottom w:w="90" w:type="dxa"/>
              <w:left w:w="100" w:type="dxa"/>
              <w:right w:w="100" w:type="dxa"/>
            </w:tcMar>
            <w:shd w:fill="F1F5F9"/>
          </w:tcPr>
          <w:p>
            <w:pPr>
              <w:spacing w:after="20" w:line="269" w:lineRule="auto"/>
            </w:pPr>
            <w:r>
              <w:rPr>
                <w:sz w:val="18"/>
              </w:rPr>
              <w:t>React/TypeScript，Chromium，Playwright Test</w:t>
            </w:r>
          </w:p>
        </w:tc>
        <w:tc>
          <w:tcPr>
            <w:tcW w:type="dxa" w:w="3900"/>
            <w:tcMar>
              <w:top w:w="90" w:type="dxa"/>
              <w:bottom w:w="90" w:type="dxa"/>
              <w:left w:w="100" w:type="dxa"/>
              <w:right w:w="100" w:type="dxa"/>
            </w:tcMar>
            <w:shd w:fill="F1F5F9"/>
          </w:tcPr>
          <w:p>
            <w:pPr>
              <w:spacing w:after="20" w:line="269" w:lineRule="auto"/>
            </w:pPr>
            <w:r>
              <w:rPr>
                <w:sz w:val="18"/>
              </w:rPr>
              <w:t>UI 登录/建单/修改、刷新持久性、权限拒绝；trace、截图、报告和后端断言</w:t>
            </w:r>
          </w:p>
        </w:tc>
      </w:tr>
      <w:tr>
        <w:trPr>
          <w:cantSplit/>
        </w:trPr>
        <w:tc>
          <w:tcPr>
            <w:tcW w:type="dxa" w:w="1950"/>
            <w:tcMar>
              <w:top w:w="90" w:type="dxa"/>
              <w:bottom w:w="90" w:type="dxa"/>
              <w:left w:w="100" w:type="dxa"/>
              <w:right w:w="100" w:type="dxa"/>
            </w:tcMar>
            <w:shd w:fill="FFFFFF"/>
          </w:tcPr>
          <w:p>
            <w:pPr>
              <w:spacing w:after="20" w:line="269" w:lineRule="auto"/>
            </w:pPr>
            <w:r>
              <w:rPr>
                <w:sz w:val="18"/>
              </w:rPr>
              <w:t>API</w:t>
            </w:r>
          </w:p>
        </w:tc>
        <w:tc>
          <w:tcPr>
            <w:tcW w:type="dxa" w:w="3900"/>
            <w:tcMar>
              <w:top w:w="90" w:type="dxa"/>
              <w:bottom w:w="90" w:type="dxa"/>
              <w:left w:w="100" w:type="dxa"/>
              <w:right w:w="100" w:type="dxa"/>
            </w:tcMar>
            <w:shd w:fill="FFFFFF"/>
          </w:tcPr>
          <w:p>
            <w:pPr>
              <w:spacing w:after="20" w:line="269" w:lineRule="auto"/>
            </w:pPr>
            <w:r>
              <w:rPr>
                <w:sz w:val="18"/>
              </w:rPr>
              <w:t>Node.js REST、本地数据库，Playwright APIRequestContext＋契约断言</w:t>
            </w:r>
          </w:p>
        </w:tc>
        <w:tc>
          <w:tcPr>
            <w:tcW w:type="dxa" w:w="3900"/>
            <w:tcMar>
              <w:top w:w="90" w:type="dxa"/>
              <w:bottom w:w="90" w:type="dxa"/>
              <w:left w:w="100" w:type="dxa"/>
              <w:right w:w="100" w:type="dxa"/>
            </w:tcMar>
            <w:shd w:fill="FFFFFF"/>
          </w:tcPr>
          <w:p>
            <w:pPr>
              <w:spacing w:after="20" w:line="269" w:lineRule="auto"/>
            </w:pPr>
            <w:r>
              <w:rPr>
                <w:sz w:val="18"/>
              </w:rPr>
              <w:t>鉴权、请求响应、幂等、数据持久性和业务错误；请求摘要、契约/断言结果</w:t>
            </w:r>
          </w:p>
        </w:tc>
      </w:tr>
      <w:tr>
        <w:trPr>
          <w:cantSplit/>
        </w:trPr>
        <w:tc>
          <w:tcPr>
            <w:tcW w:type="dxa" w:w="1950"/>
            <w:tcMar>
              <w:top w:w="90" w:type="dxa"/>
              <w:bottom w:w="90" w:type="dxa"/>
              <w:left w:w="100" w:type="dxa"/>
              <w:right w:w="100" w:type="dxa"/>
            </w:tcMar>
            <w:shd w:fill="F1F5F9"/>
          </w:tcPr>
          <w:p>
            <w:pPr>
              <w:spacing w:after="20" w:line="269" w:lineRule="auto"/>
            </w:pPr>
            <w:r>
              <w:rPr>
                <w:sz w:val="18"/>
              </w:rPr>
              <w:t>iOS 原生</w:t>
            </w:r>
          </w:p>
        </w:tc>
        <w:tc>
          <w:tcPr>
            <w:tcW w:type="dxa" w:w="3900"/>
            <w:tcMar>
              <w:top w:w="90" w:type="dxa"/>
              <w:bottom w:w="90" w:type="dxa"/>
              <w:left w:w="100" w:type="dxa"/>
              <w:right w:w="100" w:type="dxa"/>
            </w:tcMar>
            <w:shd w:fill="F1F5F9"/>
          </w:tcPr>
          <w:p>
            <w:pPr>
              <w:spacing w:after="20" w:line="269" w:lineRule="auto"/>
            </w:pPr>
            <w:r>
              <w:rPr>
                <w:sz w:val="18"/>
              </w:rPr>
              <w:t>SwiftUI，XCTest/XCUITest，指定 iPhone Simulator</w:t>
            </w:r>
          </w:p>
        </w:tc>
        <w:tc>
          <w:tcPr>
            <w:tcW w:type="dxa" w:w="3900"/>
            <w:tcMar>
              <w:top w:w="90" w:type="dxa"/>
              <w:bottom w:w="90" w:type="dxa"/>
              <w:left w:w="100" w:type="dxa"/>
              <w:right w:w="100" w:type="dxa"/>
            </w:tcMar>
            <w:shd w:fill="F1F5F9"/>
          </w:tcPr>
          <w:p>
            <w:pPr>
              <w:spacing w:after="20" w:line="269" w:lineRule="auto"/>
            </w:pPr>
            <w:r>
              <w:rPr>
                <w:sz w:val="18"/>
              </w:rPr>
              <w:t>原生安装、控件输入/导航、重进与前后台旅程；xcresult、设备日志、截图、实际 app 身份</w:t>
            </w:r>
          </w:p>
        </w:tc>
      </w:tr>
      <w:tr>
        <w:trPr>
          <w:cantSplit/>
        </w:trPr>
        <w:tc>
          <w:tcPr>
            <w:tcW w:type="dxa" w:w="1950"/>
            <w:tcMar>
              <w:top w:w="90" w:type="dxa"/>
              <w:bottom w:w="90" w:type="dxa"/>
              <w:left w:w="100" w:type="dxa"/>
              <w:right w:w="100" w:type="dxa"/>
            </w:tcMar>
            <w:shd w:fill="FFFFFF"/>
          </w:tcPr>
          <w:p>
            <w:pPr>
              <w:spacing w:after="20" w:line="269" w:lineRule="auto"/>
            </w:pPr>
            <w:r>
              <w:rPr>
                <w:sz w:val="18"/>
              </w:rPr>
              <w:t>Android 原生</w:t>
            </w:r>
          </w:p>
        </w:tc>
        <w:tc>
          <w:tcPr>
            <w:tcW w:type="dxa" w:w="3900"/>
            <w:tcMar>
              <w:top w:w="90" w:type="dxa"/>
              <w:bottom w:w="90" w:type="dxa"/>
              <w:left w:w="100" w:type="dxa"/>
              <w:right w:w="100" w:type="dxa"/>
            </w:tcMar>
            <w:shd w:fill="FFFFFF"/>
          </w:tcPr>
          <w:p>
            <w:pPr>
              <w:spacing w:after="20" w:line="269" w:lineRule="auto"/>
            </w:pPr>
            <w:r>
              <w:rPr>
                <w:sz w:val="18"/>
              </w:rPr>
              <w:t>Kotlin View，Espresso/UI Automator，指定 AVD/API level</w:t>
            </w:r>
          </w:p>
        </w:tc>
        <w:tc>
          <w:tcPr>
            <w:tcW w:type="dxa" w:w="3900"/>
            <w:tcMar>
              <w:top w:w="90" w:type="dxa"/>
              <w:bottom w:w="90" w:type="dxa"/>
              <w:left w:w="100" w:type="dxa"/>
              <w:right w:w="100" w:type="dxa"/>
            </w:tcMar>
            <w:shd w:fill="FFFFFF"/>
          </w:tcPr>
          <w:p>
            <w:pPr>
              <w:spacing w:after="20" w:line="269" w:lineRule="auto"/>
            </w:pPr>
            <w:r>
              <w:rPr>
                <w:sz w:val="18"/>
              </w:rPr>
              <w:t>应用/测试包安装、原生控件与约定系统交互、重启查询；instrumentation、logcat、截图</w:t>
            </w:r>
          </w:p>
        </w:tc>
      </w:tr>
      <w:tr>
        <w:trPr>
          <w:cantSplit/>
        </w:trPr>
        <w:tc>
          <w:tcPr>
            <w:tcW w:type="dxa" w:w="1950"/>
            <w:tcMar>
              <w:top w:w="90" w:type="dxa"/>
              <w:bottom w:w="90" w:type="dxa"/>
              <w:left w:w="100" w:type="dxa"/>
              <w:right w:w="100" w:type="dxa"/>
            </w:tcMar>
            <w:shd w:fill="F1F5F9"/>
          </w:tcPr>
          <w:p>
            <w:pPr>
              <w:spacing w:after="20" w:line="269" w:lineRule="auto"/>
            </w:pPr>
            <w:r>
              <w:rPr>
                <w:sz w:val="18"/>
              </w:rPr>
              <w:t>Windows 原生</w:t>
            </w:r>
          </w:p>
        </w:tc>
        <w:tc>
          <w:tcPr>
            <w:tcW w:type="dxa" w:w="3900"/>
            <w:tcMar>
              <w:top w:w="90" w:type="dxa"/>
              <w:bottom w:w="90" w:type="dxa"/>
              <w:left w:w="100" w:type="dxa"/>
              <w:right w:w="100" w:type="dxa"/>
            </w:tcMar>
            <w:shd w:fill="F1F5F9"/>
          </w:tcPr>
          <w:p>
            <w:pPr>
              <w:spacing w:after="20" w:line="269" w:lineRule="auto"/>
            </w:pPr>
            <w:r>
              <w:rPr>
                <w:sz w:val="18"/>
              </w:rPr>
              <w:t>WPF/.NET，NUnit、FlaUI UIA3，交互桌面</w:t>
            </w:r>
          </w:p>
        </w:tc>
        <w:tc>
          <w:tcPr>
            <w:tcW w:type="dxa" w:w="3900"/>
            <w:tcMar>
              <w:top w:w="90" w:type="dxa"/>
              <w:bottom w:w="90" w:type="dxa"/>
              <w:left w:w="100" w:type="dxa"/>
              <w:right w:w="100" w:type="dxa"/>
            </w:tcMar>
            <w:shd w:fill="F1F5F9"/>
          </w:tcPr>
          <w:p>
            <w:pPr>
              <w:spacing w:after="20" w:line="269" w:lineRule="auto"/>
            </w:pPr>
            <w:r>
              <w:rPr>
                <w:sz w:val="18"/>
              </w:rPr>
              <w:t>窗口/控件登录与保存、原生文件导出、重开及后端一致性；测试报告、UIA 证据、日志</w:t>
            </w:r>
          </w:p>
        </w:tc>
      </w:tr>
      <w:tr>
        <w:trPr>
          <w:cantSplit/>
        </w:trPr>
        <w:tc>
          <w:tcPr>
            <w:tcW w:type="dxa" w:w="1950"/>
            <w:tcMar>
              <w:top w:w="90" w:type="dxa"/>
              <w:bottom w:w="90" w:type="dxa"/>
              <w:left w:w="100" w:type="dxa"/>
              <w:right w:w="100" w:type="dxa"/>
            </w:tcMar>
            <w:shd w:fill="FFFFFF"/>
          </w:tcPr>
          <w:p>
            <w:pPr>
              <w:spacing w:after="20" w:line="269" w:lineRule="auto"/>
            </w:pPr>
            <w:r>
              <w:rPr>
                <w:sz w:val="18"/>
              </w:rPr>
              <w:t>macOS 原生</w:t>
            </w:r>
          </w:p>
        </w:tc>
        <w:tc>
          <w:tcPr>
            <w:tcW w:type="dxa" w:w="3900"/>
            <w:tcMar>
              <w:top w:w="90" w:type="dxa"/>
              <w:bottom w:w="90" w:type="dxa"/>
              <w:left w:w="100" w:type="dxa"/>
              <w:right w:w="100" w:type="dxa"/>
            </w:tcMar>
            <w:shd w:fill="FFFFFF"/>
          </w:tcPr>
          <w:p>
            <w:pPr>
              <w:spacing w:after="20" w:line="269" w:lineRule="auto"/>
            </w:pPr>
            <w:r>
              <w:rPr>
                <w:sz w:val="18"/>
              </w:rPr>
              <w:t>SwiftUI/AppKit，XCTest/XCUITest</w:t>
            </w:r>
          </w:p>
        </w:tc>
        <w:tc>
          <w:tcPr>
            <w:tcW w:type="dxa" w:w="3900"/>
            <w:tcMar>
              <w:top w:w="90" w:type="dxa"/>
              <w:bottom w:w="90" w:type="dxa"/>
              <w:left w:w="100" w:type="dxa"/>
              <w:right w:w="100" w:type="dxa"/>
            </w:tcMar>
            <w:shd w:fill="FFFFFF"/>
          </w:tcPr>
          <w:p>
            <w:pPr>
              <w:spacing w:after="20" w:line="269" w:lineRule="auto"/>
            </w:pPr>
            <w:r>
              <w:rPr>
                <w:sz w:val="18"/>
              </w:rPr>
              <w:t>原生窗口/菜单/控件、保存后重开、受控目录导出；xcresult、日志、截图与实际 app 身份</w:t>
            </w:r>
          </w:p>
        </w:tc>
      </w:tr>
      <w:tr>
        <w:trPr>
          <w:cantSplit/>
        </w:trPr>
        <w:tc>
          <w:tcPr>
            <w:tcW w:type="dxa" w:w="1950"/>
            <w:tcMar>
              <w:top w:w="90" w:type="dxa"/>
              <w:bottom w:w="90" w:type="dxa"/>
              <w:left w:w="100" w:type="dxa"/>
              <w:right w:w="100" w:type="dxa"/>
            </w:tcMar>
            <w:shd w:fill="F1F5F9"/>
          </w:tcPr>
          <w:p>
            <w:pPr>
              <w:spacing w:after="20" w:line="269" w:lineRule="auto"/>
            </w:pPr>
            <w:r>
              <w:rPr>
                <w:sz w:val="18"/>
              </w:rPr>
              <w:t>Linux 原生</w:t>
            </w:r>
          </w:p>
        </w:tc>
        <w:tc>
          <w:tcPr>
            <w:tcW w:type="dxa" w:w="3900"/>
            <w:tcMar>
              <w:top w:w="90" w:type="dxa"/>
              <w:bottom w:w="90" w:type="dxa"/>
              <w:left w:w="100" w:type="dxa"/>
              <w:right w:w="100" w:type="dxa"/>
            </w:tcMar>
            <w:shd w:fill="F1F5F9"/>
          </w:tcPr>
          <w:p>
            <w:pPr>
              <w:spacing w:after="20" w:line="269" w:lineRule="auto"/>
            </w:pPr>
            <w:r>
              <w:rPr>
                <w:sz w:val="18"/>
              </w:rPr>
              <w:t>锁定 Ubuntu LTS、GNOME/X11、GTK3、AT-SPI2，dogtail＋pytest</w:t>
            </w:r>
          </w:p>
        </w:tc>
        <w:tc>
          <w:tcPr>
            <w:tcW w:type="dxa" w:w="3900"/>
            <w:tcMar>
              <w:top w:w="90" w:type="dxa"/>
              <w:bottom w:w="90" w:type="dxa"/>
              <w:left w:w="100" w:type="dxa"/>
              <w:right w:w="100" w:type="dxa"/>
            </w:tcMar>
            <w:shd w:fill="F1F5F9"/>
          </w:tcPr>
          <w:p>
            <w:pPr>
              <w:spacing w:after="20" w:line="269" w:lineRule="auto"/>
            </w:pPr>
            <w:r>
              <w:rPr>
                <w:sz w:val="18"/>
              </w:rPr>
              <w:t>真实辅助功能树、输入/选择/保存、文件对话框、重开；JUnit 报告、控件树、截图、文件/API 断言</w:t>
            </w:r>
          </w:p>
        </w:tc>
      </w:tr>
    </w:tbl>
    <w:p>
      <w:pPr>
        <w:spacing w:after="0" w:before="0" w:line="60" w:lineRule="exact"/>
      </w:pPr>
    </w:p>
    <w:p>
      <w:r>
        <w:t>Web/API 和原生应用都使用真实业务断言。HTTP 200、窗口出现、截图看似正确、Agent 宣称通过或进程退出 0 都不能单独决定成功。每类必须包含至少一个已知业务缺陷的负向验证，证明测试能够发现问题。</w:t>
      </w:r>
    </w:p>
    <w:p>
      <w:pPr>
        <w:pStyle w:val="Heading2"/>
      </w:pPr>
      <w:r>
        <w:t>4.2 工具选择算法</w:t>
      </w:r>
    </w:p>
    <w:p>
      <w:r>
        <w:t>IntegrationTest Agent 读取 ProductProfile、架构包、模块/API 契约和目标配置，生成 TestPlan。识别依据包含应用形态、UI 框架、平台 API、可访问性、构建工具和实际功能，不只依据语言或文件扩展名。</w:t>
      </w:r>
    </w:p>
    <w:p>
      <w:r>
        <w:t>工具选择按以下步骤执行：匹配产品必需能力 → 过滤节点与工具链能力 → 选择已验证组合 → 生成环境、数据、用例、断言及证据方案 → 检查需求覆盖 → 执行适用人审 → 创建测试编码和执行工作项。没有合适组合时产生明确能力缺口，不静默降级为截图检查或 Web 测试。</w:t>
      </w:r>
    </w:p>
    <w:p>
      <w:r>
        <w:t xml:space="preserve">TestAdapter 统一提供 </w:t>
      </w:r>
      <w:r>
        <w:rPr>
          <w:color w:val="36576D"/>
        </w:rPr>
        <w:t>probe / prepare / build / install / discover / execute / collect / cleanup</w:t>
      </w:r>
      <w:r>
        <w:t>。各方法是平台契约，内部调用实际框架；不假定所有框架有同名 API。API/Web 等无安装动作的组合显式声明“不适用”，不返回伪造安装成功。</w:t>
      </w:r>
    </w:p>
    <w:p>
      <w:r>
        <w:t>UnitTest Agent 使用项目原生单测框架：JS/TS 项目的既有框架、Swift XCTest、Android JUnit、本机 .NET 测试及 Linux 项目框架等。单元和集成测试都有独立方案、实现、Review 和执行结果。必须依赖平台 SDK 的编译与单测同样派发到匹配节点。</w:t>
      </w:r>
    </w:p>
    <w:p>
      <w:pPr>
        <w:pStyle w:val="Heading2"/>
      </w:pPr>
      <w:r>
        <w:t>4.3 Linux GUI 的明确边界</w:t>
      </w:r>
    </w:p>
    <w:p>
      <w:r>
        <w:t>Linux 原生的首个验收组合是 GTK3＋AT-SPI2＋GNOME/X11。节点报告桌面/合成器、X11/Wayland、D-Bus/辅助功能总线、会话、字体、语言、缩放和截图/输入能力；必须能发现真实控件树并操作目标应用。</w:t>
      </w:r>
    </w:p>
    <w:p>
      <w:r>
        <w:t>Wayland 是独立能力组合，需要验证控件动作、输入注入、窗口识别及截图权限。不得静默退到 XWayland 后仍标为原生 Wayland。Xvfb 只有经独立验证后才能登记为虚拟 X11，不能代表完整实体桌面。Qt、自绘 UI 等按其可访问性和驱动另建组合，GTK 验收不自动覆盖它们。</w:t>
      </w:r>
    </w:p>
    <w:p>
      <w:pPr>
        <w:pStyle w:val="Heading2"/>
      </w:pPr>
      <w:r>
        <w:t>4.4 设备、后端与测试数据</w:t>
      </w:r>
    </w:p>
    <w:p>
      <w:r>
        <w:t>原生测试可访问本地/LAN 的受控参考后端。TestPlan 声明服务启动节点、地址、健康检查、测试数据命名空间和清理规则；API 端口不与管理入口共用。项目应用拿到的是短期业务测试账号/令牌，无 owner 或 node 凭据。</w:t>
      </w:r>
    </w:p>
    <w:p>
      <w:r>
        <w:t>跨端验收至少包含“API 建单 → Android 原生客户端修改 → Linux 原生客户端读取/更新 → Web 查询”，所有组件绑定同一候选集合与独立数据空间。摄像头、蓝牙、通知等需真实设备才能证明的必需能力，必须使用匹配真机和专用用例；Simulator/AVD 结果仅覆盖已声明范围。</w:t>
      </w:r>
    </w:p>
    <w:p>
      <w:pPr>
        <w:pStyle w:val="Heading1"/>
      </w:pPr>
      <w:r>
        <w:t>5. 领域模型、状态和文件</w:t>
      </w:r>
    </w:p>
    <w:p>
      <w:pPr>
        <w:pStyle w:val="Heading2"/>
      </w:pPr>
      <w:r>
        <w:t>5.1 核心实体</w:t>
      </w:r>
    </w:p>
    <w:tbl>
      <w:tblPr>
        <w:tblW w:type="auto" w:w="0"/>
        <w:tblLayout w:type="fixed"/>
        <w:tblLook w:firstColumn="1" w:firstRow="1" w:lastColumn="0" w:lastRow="0" w:noHBand="0" w:noVBand="1" w:val="04A0"/>
      </w:tblPr>
      <w:tblGrid>
        <w:gridCol w:w="2243"/>
        <w:gridCol w:w="7508"/>
      </w:tblGrid>
      <w:tr>
        <w:trPr>
          <w:cantSplit/>
          <w:tblHeader/>
        </w:trPr>
        <w:tc>
          <w:tcPr>
            <w:tcW w:type="dxa" w:w="2243"/>
            <w:tcMar>
              <w:top w:w="90" w:type="dxa"/>
              <w:bottom w:w="90" w:type="dxa"/>
              <w:left w:w="100" w:type="dxa"/>
              <w:right w:w="100" w:type="dxa"/>
            </w:tcMar>
            <w:shd w:fill="163553"/>
          </w:tcPr>
          <w:p>
            <w:pPr>
              <w:spacing w:after="20" w:line="269" w:lineRule="auto"/>
            </w:pPr>
            <w:r>
              <w:rPr>
                <w:b/>
                <w:color w:val="FFFFFF"/>
                <w:sz w:val="18"/>
              </w:rPr>
              <w:t>实体</w:t>
            </w:r>
          </w:p>
        </w:tc>
        <w:tc>
          <w:tcPr>
            <w:tcW w:type="dxa" w:w="7508"/>
            <w:tcMar>
              <w:top w:w="90" w:type="dxa"/>
              <w:bottom w:w="90" w:type="dxa"/>
              <w:left w:w="100" w:type="dxa"/>
              <w:right w:w="100" w:type="dxa"/>
            </w:tcMar>
            <w:shd w:fill="163553"/>
          </w:tcPr>
          <w:p>
            <w:pPr>
              <w:spacing w:after="20" w:line="269" w:lineRule="auto"/>
            </w:pPr>
            <w:r>
              <w:rPr>
                <w:b/>
                <w:color w:val="FFFFFF"/>
                <w:sz w:val="18"/>
              </w:rPr>
              <w:t>必需信息与关系</w:t>
            </w:r>
          </w:p>
        </w:tc>
      </w:tr>
      <w:tr>
        <w:trPr>
          <w:cantSplit/>
        </w:trPr>
        <w:tc>
          <w:tcPr>
            <w:tcW w:type="dxa" w:w="2243"/>
            <w:tcMar>
              <w:top w:w="90" w:type="dxa"/>
              <w:bottom w:w="90" w:type="dxa"/>
              <w:left w:w="100" w:type="dxa"/>
              <w:right w:w="100" w:type="dxa"/>
            </w:tcMar>
            <w:shd w:fill="F1F5F9"/>
          </w:tcPr>
          <w:p>
            <w:pPr>
              <w:spacing w:after="20" w:line="269" w:lineRule="auto"/>
            </w:pPr>
            <w:r>
              <w:rPr>
                <w:sz w:val="18"/>
              </w:rPr>
              <w:t>Project / Iteration / Run</w:t>
            </w:r>
          </w:p>
        </w:tc>
        <w:tc>
          <w:tcPr>
            <w:tcW w:type="dxa" w:w="7508"/>
            <w:tcMar>
              <w:top w:w="90" w:type="dxa"/>
              <w:bottom w:w="90" w:type="dxa"/>
              <w:left w:w="100" w:type="dxa"/>
              <w:right w:w="100" w:type="dxa"/>
            </w:tcMar>
            <w:shd w:fill="F1F5F9"/>
          </w:tcPr>
          <w:p>
            <w:pPr>
              <w:spacing w:after="20" w:line="269" w:lineRule="auto"/>
            </w:pPr>
            <w:r>
              <w:rPr>
                <w:sz w:val="18"/>
              </w:rPr>
              <w:t>仓库、目标、迭代、起止步骤、运行范围和累计预算</w:t>
            </w:r>
          </w:p>
        </w:tc>
      </w:tr>
      <w:tr>
        <w:trPr>
          <w:cantSplit/>
        </w:trPr>
        <w:tc>
          <w:tcPr>
            <w:tcW w:type="dxa" w:w="2243"/>
            <w:tcMar>
              <w:top w:w="90" w:type="dxa"/>
              <w:bottom w:w="90" w:type="dxa"/>
              <w:left w:w="100" w:type="dxa"/>
              <w:right w:w="100" w:type="dxa"/>
            </w:tcMar>
            <w:shd w:fill="FFFFFF"/>
          </w:tcPr>
          <w:p>
            <w:pPr>
              <w:spacing w:after="20" w:line="269" w:lineRule="auto"/>
            </w:pPr>
            <w:r>
              <w:rPr>
                <w:sz w:val="18"/>
              </w:rPr>
              <w:t>PlanVersion / WorkItem / Attempt</w:t>
            </w:r>
          </w:p>
        </w:tc>
        <w:tc>
          <w:tcPr>
            <w:tcW w:type="dxa" w:w="7508"/>
            <w:tcMar>
              <w:top w:w="90" w:type="dxa"/>
              <w:bottom w:w="90" w:type="dxa"/>
              <w:left w:w="100" w:type="dxa"/>
              <w:right w:w="100" w:type="dxa"/>
            </w:tcMar>
            <w:shd w:fill="FFFFFF"/>
          </w:tcPr>
          <w:p>
            <w:pPr>
              <w:spacing w:after="20" w:line="269" w:lineRule="auto"/>
            </w:pPr>
            <w:r>
              <w:rPr>
                <w:sz w:val="18"/>
              </w:rPr>
              <w:t>不可变 DAG、角色、输入指纹、依赖、写范围、作业身份、fence 与状态</w:t>
            </w:r>
          </w:p>
        </w:tc>
      </w:tr>
      <w:tr>
        <w:trPr>
          <w:cantSplit/>
        </w:trPr>
        <w:tc>
          <w:tcPr>
            <w:tcW w:type="dxa" w:w="2243"/>
            <w:tcMar>
              <w:top w:w="90" w:type="dxa"/>
              <w:bottom w:w="90" w:type="dxa"/>
              <w:left w:w="100" w:type="dxa"/>
              <w:right w:w="100" w:type="dxa"/>
            </w:tcMar>
            <w:shd w:fill="F1F5F9"/>
          </w:tcPr>
          <w:p>
            <w:pPr>
              <w:spacing w:after="20" w:line="269" w:lineRule="auto"/>
            </w:pPr>
            <w:r>
              <w:rPr>
                <w:sz w:val="18"/>
              </w:rPr>
              <w:t>ArtifactVersion / Approval</w:t>
            </w:r>
          </w:p>
        </w:tc>
        <w:tc>
          <w:tcPr>
            <w:tcW w:type="dxa" w:w="7508"/>
            <w:tcMar>
              <w:top w:w="90" w:type="dxa"/>
              <w:bottom w:w="90" w:type="dxa"/>
              <w:left w:w="100" w:type="dxa"/>
              <w:right w:w="100" w:type="dxa"/>
            </w:tcMar>
            <w:shd w:fill="F1F5F9"/>
          </w:tcPr>
          <w:p>
            <w:pPr>
              <w:spacing w:after="20" w:line="269" w:lineRule="auto"/>
            </w:pPr>
            <w:r>
              <w:rPr>
                <w:sz w:val="18"/>
              </w:rPr>
              <w:t>产物类型、摘要、父版本；审核对象、策略指纹、决定、理由及有效性</w:t>
            </w:r>
          </w:p>
        </w:tc>
      </w:tr>
      <w:tr>
        <w:trPr>
          <w:cantSplit/>
        </w:trPr>
        <w:tc>
          <w:tcPr>
            <w:tcW w:type="dxa" w:w="2243"/>
            <w:tcMar>
              <w:top w:w="90" w:type="dxa"/>
              <w:bottom w:w="90" w:type="dxa"/>
              <w:left w:w="100" w:type="dxa"/>
              <w:right w:w="100" w:type="dxa"/>
            </w:tcMar>
            <w:shd w:fill="FFFFFF"/>
          </w:tcPr>
          <w:p>
            <w:pPr>
              <w:spacing w:after="20" w:line="269" w:lineRule="auto"/>
            </w:pPr>
            <w:r>
              <w:rPr>
                <w:sz w:val="18"/>
              </w:rPr>
              <w:t>AppTarget / TargetConfig</w:t>
            </w:r>
          </w:p>
        </w:tc>
        <w:tc>
          <w:tcPr>
            <w:tcW w:type="dxa" w:w="7508"/>
            <w:tcMar>
              <w:top w:w="90" w:type="dxa"/>
              <w:bottom w:w="90" w:type="dxa"/>
              <w:left w:w="100" w:type="dxa"/>
              <w:right w:w="100" w:type="dxa"/>
            </w:tcMar>
            <w:shd w:fill="FFFFFF"/>
          </w:tcPr>
          <w:p>
            <w:pPr>
              <w:spacing w:after="20" w:line="269" w:lineRule="auto"/>
            </w:pPr>
            <w:r>
              <w:rPr>
                <w:sz w:val="18"/>
              </w:rPr>
              <w:t>七种目标类型；模块、OS/CPU、UI 框架、SDK/设备/显示、所需能力及必需性</w:t>
            </w:r>
          </w:p>
        </w:tc>
      </w:tr>
      <w:tr>
        <w:trPr>
          <w:cantSplit/>
        </w:trPr>
        <w:tc>
          <w:tcPr>
            <w:tcW w:type="dxa" w:w="2243"/>
            <w:tcMar>
              <w:top w:w="90" w:type="dxa"/>
              <w:bottom w:w="90" w:type="dxa"/>
              <w:left w:w="100" w:type="dxa"/>
              <w:right w:w="100" w:type="dxa"/>
            </w:tcMar>
            <w:shd w:fill="F1F5F9"/>
          </w:tcPr>
          <w:p>
            <w:pPr>
              <w:spacing w:after="20" w:line="269" w:lineRule="auto"/>
            </w:pPr>
            <w:r>
              <w:rPr>
                <w:sz w:val="18"/>
              </w:rPr>
              <w:t>ExecutionNode / CapabilityReport</w:t>
            </w:r>
          </w:p>
        </w:tc>
        <w:tc>
          <w:tcPr>
            <w:tcW w:type="dxa" w:w="7508"/>
            <w:tcMar>
              <w:top w:w="90" w:type="dxa"/>
              <w:bottom w:w="90" w:type="dxa"/>
              <w:left w:w="100" w:type="dxa"/>
              <w:right w:w="100" w:type="dxa"/>
            </w:tcMar>
            <w:shd w:fill="F1F5F9"/>
          </w:tcPr>
          <w:p>
            <w:pPr>
              <w:spacing w:after="20" w:line="269" w:lineRule="auto"/>
            </w:pPr>
            <w:r>
              <w:rPr>
                <w:sz w:val="18"/>
              </w:rPr>
              <w:t>节点身份、证书、状态、受控环境、版本、探针时间及证据</w:t>
            </w:r>
          </w:p>
        </w:tc>
      </w:tr>
      <w:tr>
        <w:trPr>
          <w:cantSplit/>
        </w:trPr>
        <w:tc>
          <w:tcPr>
            <w:tcW w:type="dxa" w:w="2243"/>
            <w:tcMar>
              <w:top w:w="90" w:type="dxa"/>
              <w:bottom w:w="90" w:type="dxa"/>
              <w:left w:w="100" w:type="dxa"/>
              <w:right w:w="100" w:type="dxa"/>
            </w:tcMar>
            <w:shd w:fill="FFFFFF"/>
          </w:tcPr>
          <w:p>
            <w:pPr>
              <w:spacing w:after="20" w:line="269" w:lineRule="auto"/>
            </w:pPr>
            <w:r>
              <w:rPr>
                <w:sz w:val="18"/>
              </w:rPr>
              <w:t>ExecutionJob / ResourceLease</w:t>
            </w:r>
          </w:p>
        </w:tc>
        <w:tc>
          <w:tcPr>
            <w:tcW w:type="dxa" w:w="7508"/>
            <w:tcMar>
              <w:top w:w="90" w:type="dxa"/>
              <w:bottom w:w="90" w:type="dxa"/>
              <w:left w:w="100" w:type="dxa"/>
              <w:right w:w="100" w:type="dxa"/>
            </w:tcMar>
            <w:shd w:fill="FFFFFF"/>
          </w:tcPr>
          <w:p>
            <w:pPr>
              <w:spacing w:after="20" w:line="269" w:lineRule="auto"/>
            </w:pPr>
            <w:r>
              <w:rPr>
                <w:sz w:val="18"/>
              </w:rPr>
              <w:t>构建或测试作业、输入包、节点、租约/独占资源、heartbeat、有效 fence</w:t>
            </w:r>
          </w:p>
        </w:tc>
      </w:tr>
      <w:tr>
        <w:trPr>
          <w:cantSplit/>
        </w:trPr>
        <w:tc>
          <w:tcPr>
            <w:tcW w:type="dxa" w:w="2243"/>
            <w:tcMar>
              <w:top w:w="90" w:type="dxa"/>
              <w:bottom w:w="90" w:type="dxa"/>
              <w:left w:w="100" w:type="dxa"/>
              <w:right w:w="100" w:type="dxa"/>
            </w:tcMar>
            <w:shd w:fill="F1F5F9"/>
          </w:tcPr>
          <w:p>
            <w:pPr>
              <w:spacing w:after="20" w:line="269" w:lineRule="auto"/>
            </w:pPr>
            <w:r>
              <w:rPr>
                <w:sz w:val="18"/>
              </w:rPr>
              <w:t>SourceCandidate / BuildArtifact</w:t>
            </w:r>
          </w:p>
        </w:tc>
        <w:tc>
          <w:tcPr>
            <w:tcW w:type="dxa" w:w="7508"/>
            <w:tcMar>
              <w:top w:w="90" w:type="dxa"/>
              <w:bottom w:w="90" w:type="dxa"/>
              <w:left w:w="100" w:type="dxa"/>
              <w:right w:w="100" w:type="dxa"/>
            </w:tcMar>
            <w:shd w:fill="F1F5F9"/>
          </w:tcPr>
          <w:p>
            <w:pPr>
              <w:spacing w:after="20" w:line="269" w:lineRule="auto"/>
            </w:pPr>
            <w:r>
              <w:rPr>
                <w:sz w:val="18"/>
              </w:rPr>
              <w:t>commit/tree、源码与测试包；平台构建物摘要、bundle/package ID、构建/签名配置引用</w:t>
            </w:r>
          </w:p>
        </w:tc>
      </w:tr>
      <w:tr>
        <w:trPr>
          <w:cantSplit/>
        </w:trPr>
        <w:tc>
          <w:tcPr>
            <w:tcW w:type="dxa" w:w="2243"/>
            <w:tcMar>
              <w:top w:w="90" w:type="dxa"/>
              <w:bottom w:w="90" w:type="dxa"/>
              <w:left w:w="100" w:type="dxa"/>
              <w:right w:w="100" w:type="dxa"/>
            </w:tcMar>
            <w:shd w:fill="FFFFFF"/>
          </w:tcPr>
          <w:p>
            <w:pPr>
              <w:spacing w:after="20" w:line="269" w:lineRule="auto"/>
            </w:pPr>
            <w:r>
              <w:rPr>
                <w:sz w:val="18"/>
              </w:rPr>
              <w:t>CandidateManifest / TestMatrix</w:t>
            </w:r>
          </w:p>
        </w:tc>
        <w:tc>
          <w:tcPr>
            <w:tcW w:type="dxa" w:w="7508"/>
            <w:tcMar>
              <w:top w:w="90" w:type="dxa"/>
              <w:bottom w:w="90" w:type="dxa"/>
              <w:left w:w="100" w:type="dxa"/>
              <w:right w:w="100" w:type="dxa"/>
            </w:tcMar>
            <w:shd w:fill="FFFFFF"/>
          </w:tcPr>
          <w:p>
            <w:pPr>
              <w:spacing w:after="20" w:line="269" w:lineRule="auto"/>
            </w:pPr>
            <w:r>
              <w:rPr>
                <w:sz w:val="18"/>
              </w:rPr>
              <w:t>不可变组件集合、后端及数据版本；必需执行键、用例发现、结果和缺口</w:t>
            </w:r>
          </w:p>
        </w:tc>
      </w:tr>
      <w:tr>
        <w:trPr>
          <w:cantSplit/>
        </w:trPr>
        <w:tc>
          <w:tcPr>
            <w:tcW w:type="dxa" w:w="2243"/>
            <w:tcMar>
              <w:top w:w="90" w:type="dxa"/>
              <w:bottom w:w="90" w:type="dxa"/>
              <w:left w:w="100" w:type="dxa"/>
              <w:right w:w="100" w:type="dxa"/>
            </w:tcMar>
            <w:shd w:fill="F1F5F9"/>
          </w:tcPr>
          <w:p>
            <w:pPr>
              <w:spacing w:after="20" w:line="269" w:lineRule="auto"/>
            </w:pPr>
            <w:r>
              <w:rPr>
                <w:sz w:val="18"/>
              </w:rPr>
              <w:t>CheckRun / DeliveryIntent / Delivery</w:t>
            </w:r>
          </w:p>
        </w:tc>
        <w:tc>
          <w:tcPr>
            <w:tcW w:type="dxa" w:w="7508"/>
            <w:tcMar>
              <w:top w:w="90" w:type="dxa"/>
              <w:bottom w:w="90" w:type="dxa"/>
              <w:left w:w="100" w:type="dxa"/>
              <w:right w:w="100" w:type="dxa"/>
            </w:tcMar>
            <w:shd w:fill="F1F5F9"/>
          </w:tcPr>
          <w:p>
            <w:pPr>
              <w:spacing w:after="20" w:line="269" w:lineRule="auto"/>
            </w:pPr>
            <w:r>
              <w:rPr>
                <w:sz w:val="18"/>
              </w:rPr>
              <w:t>确定性检查、证据与候选关系；Git 交付意图、引用和对账</w:t>
            </w:r>
          </w:p>
        </w:tc>
      </w:tr>
      <w:tr>
        <w:trPr>
          <w:cantSplit/>
        </w:trPr>
        <w:tc>
          <w:tcPr>
            <w:tcW w:type="dxa" w:w="2243"/>
            <w:tcMar>
              <w:top w:w="90" w:type="dxa"/>
              <w:bottom w:w="90" w:type="dxa"/>
              <w:left w:w="100" w:type="dxa"/>
              <w:right w:w="100" w:type="dxa"/>
            </w:tcMar>
            <w:shd w:fill="FFFFFF"/>
          </w:tcPr>
          <w:p>
            <w:pPr>
              <w:spacing w:after="20" w:line="269" w:lineRule="auto"/>
            </w:pPr>
            <w:r>
              <w:rPr>
                <w:sz w:val="18"/>
              </w:rPr>
              <w:t>BudgetReservation / ExternalInvocation / Event</w:t>
            </w:r>
          </w:p>
        </w:tc>
        <w:tc>
          <w:tcPr>
            <w:tcW w:type="dxa" w:w="7508"/>
            <w:tcMar>
              <w:top w:w="90" w:type="dxa"/>
              <w:bottom w:w="90" w:type="dxa"/>
              <w:left w:w="100" w:type="dxa"/>
              <w:right w:w="100" w:type="dxa"/>
            </w:tcMar>
            <w:shd w:fill="FFFFFF"/>
          </w:tcPr>
          <w:p>
            <w:pPr>
              <w:spacing w:after="20" w:line="269" w:lineRule="auto"/>
            </w:pPr>
            <w:r>
              <w:rPr>
                <w:sz w:val="18"/>
              </w:rPr>
              <w:t>额度预留、调用/用量/未知责任、事务内事实事件</w:t>
            </w:r>
          </w:p>
        </w:tc>
      </w:tr>
    </w:tbl>
    <w:p>
      <w:pPr>
        <w:spacing w:after="0" w:before="0" w:line="60" w:lineRule="exact"/>
      </w:pPr>
    </w:p>
    <w:p>
      <w:r>
        <w:t xml:space="preserve">AppTarget 的规范值为 </w:t>
      </w:r>
      <w:r>
        <w:rPr>
          <w:color w:val="36576D"/>
        </w:rPr>
        <w:t>web / api / ios_native / android_native / windows_native / macos_native / linux_native</w:t>
      </w:r>
      <w:r>
        <w:t>。GUI 与 API 的差别来自目标和能力，不能把“运行在 Linux”直接当成“Linux 原生应用”。</w:t>
      </w:r>
    </w:p>
    <w:p>
      <w:pPr>
        <w:pStyle w:val="Heading2"/>
      </w:pPr>
      <w:r>
        <w:t>5.2 SQLite 与事件</w:t>
      </w:r>
    </w:p>
    <w:p>
      <w:r>
        <w:t>控制端持有 OS 单实例锁，SQLite 使用 WAL、外键、busy_timeout 和耐久提交。单个写入 actor 将领域状态、幂等回执、审计事件和待协调标记放在同一事务中；提交后才回应 UI 或节点。</w:t>
      </w:r>
    </w:p>
    <w:p>
      <w:r>
        <w:t>调度器从已提交事实扫描就绪项、重试和等待条件；内存队列仅唤醒。读接口使用快照；event 表的已提交序列用于 SSE 重放。SQLite 文件不放在网络盘/自动同步目录，节点永远不直接打开数据库或 WAL。</w:t>
      </w:r>
    </w:p>
    <w:p>
      <w:r>
        <w:t>部分清单使用带 schema_version 的 JSON 字段，关系与唯一性由领域校验/数据库约束保证。Gate、领取、结果接收、人审与交付均即时核对输入版本，不只依赖异步过期通知。</w:t>
      </w:r>
    </w:p>
    <w:p>
      <w:pPr>
        <w:pStyle w:val="Heading2"/>
      </w:pPr>
      <w:r>
        <w:t>5.3 数据目录与产物</w:t>
      </w:r>
    </w:p>
    <w:p>
      <w:pPr>
        <w:spacing w:after="20" w:line="252" w:lineRule="auto"/>
      </w:pPr>
      <w:r>
        <w:rPr>
          <w:rFonts w:ascii="Menlo" w:hAnsi="Menlo" w:eastAsia="Hiragino Sans GB"/>
          <w:sz w:val="17"/>
        </w:rPr>
        <w:t>agentflow-data/</w:t>
      </w:r>
    </w:p>
    <w:p>
      <w:pPr>
        <w:spacing w:after="20" w:line="252" w:lineRule="auto"/>
      </w:pPr>
      <w:r>
        <w:rPr>
          <w:rFonts w:ascii="Menlo" w:hAnsi="Menlo" w:eastAsia="Hiragino Sans GB"/>
          <w:sz w:val="17"/>
        </w:rPr>
        <w:t xml:space="preserve">  state/agentflow.sqlite3       唯一业务状态、事件、审核和预算</w:t>
      </w:r>
    </w:p>
    <w:p>
      <w:pPr>
        <w:spacing w:after="20" w:line="252" w:lineRule="auto"/>
      </w:pPr>
      <w:r>
        <w:rPr>
          <w:rFonts w:ascii="Menlo" w:hAnsi="Menlo" w:eastAsia="Hiragino Sans GB"/>
          <w:sz w:val="17"/>
        </w:rPr>
        <w:t xml:space="preserve">  artifacts/sha256/             文档、源码包、二进制、测试证据</w:t>
      </w:r>
    </w:p>
    <w:p>
      <w:pPr>
        <w:spacing w:after="20" w:line="252" w:lineRule="auto"/>
      </w:pPr>
      <w:r>
        <w:rPr>
          <w:rFonts w:ascii="Menlo" w:hAnsi="Menlo" w:eastAsia="Hiragino Sans GB"/>
          <w:sz w:val="17"/>
        </w:rPr>
        <w:t xml:space="preserve">  repos/                       受控仓库及交付对象</w:t>
      </w:r>
    </w:p>
    <w:p>
      <w:pPr>
        <w:spacing w:after="20" w:line="252" w:lineRule="auto"/>
      </w:pPr>
      <w:r>
        <w:rPr>
          <w:rFonts w:ascii="Menlo" w:hAnsi="Menlo" w:eastAsia="Hiragino Sans GB"/>
          <w:sz w:val="17"/>
        </w:rPr>
        <w:t xml:space="preserve">  workspaces/                  Agent attempt 独立克隆</w:t>
      </w:r>
    </w:p>
    <w:p>
      <w:pPr>
        <w:spacing w:after="20" w:line="252" w:lineRule="auto"/>
      </w:pPr>
      <w:r>
        <w:rPr>
          <w:rFonts w:ascii="Menlo" w:hAnsi="Menlo" w:eastAsia="Hiragino Sans GB"/>
          <w:sz w:val="17"/>
        </w:rPr>
        <w:t xml:space="preserve">  jobs/                        受保护启动意图、进程身份、日志</w:t>
      </w:r>
    </w:p>
    <w:p>
      <w:pPr>
        <w:spacing w:after="20" w:line="252" w:lineRule="auto"/>
      </w:pPr>
      <w:r>
        <w:rPr>
          <w:rFonts w:ascii="Menlo" w:hAnsi="Menlo" w:eastAsia="Hiragino Sans GB"/>
          <w:sz w:val="17"/>
        </w:rPr>
        <w:t xml:space="preserve">  nodes/                       节点元数据、证书引用、传输暂存</w:t>
      </w:r>
    </w:p>
    <w:p>
      <w:pPr>
        <w:spacing w:after="20" w:line="252" w:lineRule="auto"/>
      </w:pPr>
      <w:r>
        <w:rPr>
          <w:rFonts w:ascii="Menlo" w:hAnsi="Menlo" w:eastAsia="Hiragino Sans GB"/>
          <w:sz w:val="17"/>
        </w:rPr>
        <w:t xml:space="preserve">  exports/                     交付与评审导出</w:t>
      </w:r>
    </w:p>
    <w:p>
      <w:pPr>
        <w:spacing w:after="20" w:line="252" w:lineRule="auto"/>
      </w:pPr>
      <w:r>
        <w:rPr>
          <w:rFonts w:ascii="Menlo" w:hAnsi="Menlo" w:eastAsia="Hiragino Sans GB"/>
          <w:sz w:val="17"/>
        </w:rPr>
        <w:t xml:space="preserve">  backups/                     一致性备份清单</w:t>
      </w:r>
    </w:p>
    <w:p>
      <w:pPr>
        <w:spacing w:after="20" w:line="252" w:lineRule="auto"/>
      </w:pPr>
      <w:r>
        <w:rPr>
          <w:rFonts w:ascii="Menlo" w:hAnsi="Menlo" w:eastAsia="Hiragino Sans GB"/>
          <w:sz w:val="17"/>
        </w:rPr>
      </w:r>
    </w:p>
    <w:p>
      <w:pPr>
        <w:spacing w:after="20" w:line="252" w:lineRule="auto"/>
      </w:pPr>
      <w:r>
        <w:rPr>
          <w:rFonts w:ascii="Menlo" w:hAnsi="Menlo" w:eastAsia="Hiragino Sans GB"/>
          <w:sz w:val="17"/>
        </w:rPr>
        <w:t>node-data/</w:t>
      </w:r>
    </w:p>
    <w:p>
      <w:pPr>
        <w:spacing w:after="20" w:line="252" w:lineRule="auto"/>
      </w:pPr>
      <w:r>
        <w:rPr>
          <w:rFonts w:ascii="Menlo" w:hAnsi="Menlo" w:eastAsia="Hiragino Sans GB"/>
          <w:sz w:val="17"/>
        </w:rPr>
        <w:t xml:space="preserve">  journal/                     本节点作业/传输恢复记录</w:t>
      </w:r>
    </w:p>
    <w:p>
      <w:pPr>
        <w:spacing w:after="20" w:line="252" w:lineRule="auto"/>
      </w:pPr>
      <w:r>
        <w:rPr>
          <w:rFonts w:ascii="Menlo" w:hAnsi="Menlo" w:eastAsia="Hiragino Sans GB"/>
          <w:sz w:val="17"/>
        </w:rPr>
        <w:t xml:space="preserve">  cache/sha256/                校验后的输入包与产物</w:t>
      </w:r>
    </w:p>
    <w:p>
      <w:pPr>
        <w:spacing w:after="20" w:line="252" w:lineRule="auto"/>
      </w:pPr>
      <w:r>
        <w:rPr>
          <w:rFonts w:ascii="Menlo" w:hAnsi="Menlo" w:eastAsia="Hiragino Sans GB"/>
          <w:sz w:val="17"/>
        </w:rPr>
        <w:t xml:space="preserve">  jobs/                       每次执行的隔离目录</w:t>
      </w:r>
    </w:p>
    <w:p>
      <w:pPr>
        <w:spacing w:after="20" w:line="252" w:lineRule="auto"/>
      </w:pPr>
      <w:r>
        <w:rPr>
          <w:rFonts w:ascii="Menlo" w:hAnsi="Menlo" w:eastAsia="Hiragino Sans GB"/>
          <w:sz w:val="17"/>
        </w:rPr>
        <w:t xml:space="preserve">  evidence/                    待回传报告及日志</w:t>
      </w:r>
    </w:p>
    <w:p>
      <w:r>
        <w:t>节点 journal 只记录本机执行事实，不能成为第二个业务数据库。先暂存文件、校验大小与摘要、刷新并原子改名，再登记引用。文件与 SQLite 不是同一事务：孤立文件可回收；引用缺失或损坏文件则禁止门禁放行。</w:t>
      </w:r>
    </w:p>
    <w:p>
      <w:r>
        <w:t>备份使用 SQLite 一致性备份与文件清单，恢复时核对哈希；不直接复制活动主库而遗漏 WAL。保留期间内的报告、二进制和必要测试包不得被缓存清理误删。导出不包含模型密钥或节点私钥。</w:t>
      </w:r>
    </w:p>
    <w:p>
      <w:pPr>
        <w:pStyle w:val="Heading1"/>
        <w:keepNext/>
      </w:pPr>
      <w:r>
        <w:t>6. 完整的 Agent 执行底座</w:t>
      </w:r>
    </w:p>
    <w:p>
      <w:pPr>
        <w:jc w:val="center"/>
      </w:pPr>
      <w:r>
        <w:drawing>
          <wp:inline xmlns:a="http://schemas.openxmlformats.org/drawingml/2006/main" xmlns:pic="http://schemas.openxmlformats.org/drawingml/2006/picture">
            <wp:extent cx="6156000" cy="4998672"/>
            <wp:docPr id="2" name="Picture 2"/>
            <wp:cNvGraphicFramePr>
              <a:graphicFrameLocks noChangeAspect="1"/>
            </wp:cNvGraphicFramePr>
            <a:graphic>
              <a:graphicData uri="http://schemas.openxmlformats.org/drawingml/2006/picture">
                <pic:pic>
                  <pic:nvPicPr>
                    <pic:cNvPr id="0" name="AgentFlow-MVP-多平台执行底座-v0.3.png"/>
                    <pic:cNvPicPr/>
                  </pic:nvPicPr>
                  <pic:blipFill>
                    <a:blip r:embed="rId12"/>
                    <a:stretch>
                      <a:fillRect/>
                    </a:stretch>
                  </pic:blipFill>
                  <pic:spPr>
                    <a:xfrm>
                      <a:off x="0" y="0"/>
                      <a:ext cx="6156000" cy="4998672"/>
                    </a:xfrm>
                    <a:prstGeom prst="rect"/>
                  </pic:spPr>
                </pic:pic>
              </a:graphicData>
            </a:graphic>
          </wp:inline>
        </w:drawing>
      </w:r>
    </w:p>
    <w:p>
      <w:pPr>
        <w:pStyle w:val="Heading2"/>
      </w:pPr>
      <w:r>
        <w:t>6.1 角色与后端分离</w:t>
      </w:r>
    </w:p>
    <w:p>
      <w:r>
        <w:t>OpenHandsRoleAdapter 承担调研、产品、架构、Review、测试分析与规划；CodexExecAdapter 承担功能代码、测试代码及明确范围的修复。开发、单测和集成角色可以共用 CodingAgentAdapter 机制，但使用不同任务、上下文和写范围；功能作者不能自动批准自己的产物。</w:t>
      </w:r>
    </w:p>
    <w:p>
      <w:r>
        <w:t>ExecutionKernel 是唯一调度者。OpenHands 提出结构化 CodingWorkRequest，由内核校验、落库、配额准入后启动 Codex；不授予 SDK 任意派生未受管 Codex 的终端能力。后端内部未纳入平台的子委派默认不启用。同一工作区只有一个有效写入者。</w:t>
      </w:r>
    </w:p>
    <w:p>
      <w:r>
        <w:t>所有七类角色都可按模块拆分并行。跨模块契约由架构协调工作项汇总，计划对依赖和共享文件建立明确关系。等待人工审核、节点资源或上游产物时不占用活跃 Agent 槽位。并行 Review/测试输出需汇总全部必需项，不能由最快完成的一个替代整个阶段。</w:t>
      </w:r>
    </w:p>
    <w:p>
      <w:pPr>
        <w:pStyle w:val="Heading2"/>
      </w:pPr>
      <w:r>
        <w:t>6.2 Runtime 模块与接口</w:t>
      </w:r>
    </w:p>
    <w:tbl>
      <w:tblPr>
        <w:tblW w:type="auto" w:w="0"/>
        <w:tblLayout w:type="fixed"/>
        <w:tblLook w:firstColumn="1" w:firstRow="1" w:lastColumn="0" w:lastRow="0" w:noHBand="0" w:noVBand="1" w:val="04A0"/>
      </w:tblPr>
      <w:tblGrid>
        <w:gridCol w:w="2243"/>
        <w:gridCol w:w="7508"/>
      </w:tblGrid>
      <w:tr>
        <w:trPr>
          <w:cantSplit/>
          <w:tblHeader/>
        </w:trPr>
        <w:tc>
          <w:tcPr>
            <w:tcW w:type="dxa" w:w="2243"/>
            <w:tcMar>
              <w:top w:w="90" w:type="dxa"/>
              <w:bottom w:w="90" w:type="dxa"/>
              <w:left w:w="100" w:type="dxa"/>
              <w:right w:w="100" w:type="dxa"/>
            </w:tcMar>
            <w:shd w:fill="163553"/>
          </w:tcPr>
          <w:p>
            <w:pPr>
              <w:spacing w:after="20" w:line="269" w:lineRule="auto"/>
            </w:pPr>
            <w:r>
              <w:rPr>
                <w:b/>
                <w:color w:val="FFFFFF"/>
                <w:sz w:val="18"/>
              </w:rPr>
              <w:t>模块</w:t>
            </w:r>
          </w:p>
        </w:tc>
        <w:tc>
          <w:tcPr>
            <w:tcW w:type="dxa" w:w="7508"/>
            <w:tcMar>
              <w:top w:w="90" w:type="dxa"/>
              <w:bottom w:w="90" w:type="dxa"/>
              <w:left w:w="100" w:type="dxa"/>
              <w:right w:w="100" w:type="dxa"/>
            </w:tcMar>
            <w:shd w:fill="163553"/>
          </w:tcPr>
          <w:p>
            <w:pPr>
              <w:spacing w:after="20" w:line="269" w:lineRule="auto"/>
            </w:pPr>
            <w:r>
              <w:rPr>
                <w:b/>
                <w:color w:val="FFFFFF"/>
                <w:sz w:val="18"/>
              </w:rPr>
              <w:t>实现要求</w:t>
            </w:r>
          </w:p>
        </w:tc>
      </w:tr>
      <w:tr>
        <w:trPr>
          <w:cantSplit/>
        </w:trPr>
        <w:tc>
          <w:tcPr>
            <w:tcW w:type="dxa" w:w="2243"/>
            <w:tcMar>
              <w:top w:w="90" w:type="dxa"/>
              <w:bottom w:w="90" w:type="dxa"/>
              <w:left w:w="100" w:type="dxa"/>
              <w:right w:w="100" w:type="dxa"/>
            </w:tcMar>
            <w:shd w:fill="F1F5F9"/>
          </w:tcPr>
          <w:p>
            <w:pPr>
              <w:spacing w:after="20" w:line="269" w:lineRule="auto"/>
            </w:pPr>
            <w:r>
              <w:rPr>
                <w:sz w:val="18"/>
              </w:rPr>
              <w:t>CapabilityProbe</w:t>
            </w:r>
          </w:p>
        </w:tc>
        <w:tc>
          <w:tcPr>
            <w:tcW w:type="dxa" w:w="7508"/>
            <w:tcMar>
              <w:top w:w="90" w:type="dxa"/>
              <w:bottom w:w="90" w:type="dxa"/>
              <w:left w:w="100" w:type="dxa"/>
              <w:right w:w="100" w:type="dxa"/>
            </w:tcMar>
            <w:shd w:fill="F1F5F9"/>
          </w:tcPr>
          <w:p>
            <w:pPr>
              <w:spacing w:after="20" w:line="269" w:lineRule="auto"/>
            </w:pPr>
            <w:r>
              <w:rPr>
                <w:sz w:val="18"/>
              </w:rPr>
              <w:t>CLI/SDK、模型协议、事件、认证、工具、隔离、取消、恢复和用量；区分已验证、未知、不支持</w:t>
            </w:r>
          </w:p>
        </w:tc>
      </w:tr>
      <w:tr>
        <w:trPr>
          <w:cantSplit/>
        </w:trPr>
        <w:tc>
          <w:tcPr>
            <w:tcW w:type="dxa" w:w="2243"/>
            <w:tcMar>
              <w:top w:w="90" w:type="dxa"/>
              <w:bottom w:w="90" w:type="dxa"/>
              <w:left w:w="100" w:type="dxa"/>
              <w:right w:w="100" w:type="dxa"/>
            </w:tcMar>
            <w:shd w:fill="FFFFFF"/>
          </w:tcPr>
          <w:p>
            <w:pPr>
              <w:spacing w:after="20" w:line="269" w:lineRule="auto"/>
            </w:pPr>
            <w:r>
              <w:rPr>
                <w:sz w:val="18"/>
              </w:rPr>
              <w:t>TaskEnvelope</w:t>
            </w:r>
          </w:p>
        </w:tc>
        <w:tc>
          <w:tcPr>
            <w:tcW w:type="dxa" w:w="7508"/>
            <w:tcMar>
              <w:top w:w="90" w:type="dxa"/>
              <w:bottom w:w="90" w:type="dxa"/>
              <w:left w:w="100" w:type="dxa"/>
              <w:right w:w="100" w:type="dxa"/>
            </w:tcMar>
            <w:shd w:fill="FFFFFF"/>
          </w:tcPr>
          <w:p>
            <w:pPr>
              <w:spacing w:after="20" w:line="269" w:lineRule="auto"/>
            </w:pPr>
            <w:r>
              <w:rPr>
                <w:sz w:val="18"/>
              </w:rPr>
              <w:t>目标、角色、输入指纹、源码基线、写范围、网络/工具策略、预算、截止时间和产物要求</w:t>
            </w:r>
          </w:p>
        </w:tc>
      </w:tr>
      <w:tr>
        <w:trPr>
          <w:cantSplit/>
        </w:trPr>
        <w:tc>
          <w:tcPr>
            <w:tcW w:type="dxa" w:w="2243"/>
            <w:tcMar>
              <w:top w:w="90" w:type="dxa"/>
              <w:bottom w:w="90" w:type="dxa"/>
              <w:left w:w="100" w:type="dxa"/>
              <w:right w:w="100" w:type="dxa"/>
            </w:tcMar>
            <w:shd w:fill="F1F5F9"/>
          </w:tcPr>
          <w:p>
            <w:pPr>
              <w:spacing w:after="20" w:line="269" w:lineRule="auto"/>
            </w:pPr>
            <w:r>
              <w:rPr>
                <w:sz w:val="18"/>
              </w:rPr>
              <w:t>BackendRegistry</w:t>
            </w:r>
          </w:p>
        </w:tc>
        <w:tc>
          <w:tcPr>
            <w:tcW w:type="dxa" w:w="7508"/>
            <w:tcMar>
              <w:top w:w="90" w:type="dxa"/>
              <w:bottom w:w="90" w:type="dxa"/>
              <w:left w:w="100" w:type="dxa"/>
              <w:right w:w="100" w:type="dxa"/>
            </w:tcMar>
            <w:shd w:fill="F1F5F9"/>
          </w:tcPr>
          <w:p>
            <w:pPr>
              <w:spacing w:after="20" w:line="269" w:lineRule="auto"/>
            </w:pPr>
            <w:r>
              <w:rPr>
                <w:sz w:val="18"/>
              </w:rPr>
              <w:t>OpenHandsRole、CodexExec 注册；组合探针通过才可派发</w:t>
            </w:r>
          </w:p>
        </w:tc>
      </w:tr>
      <w:tr>
        <w:trPr>
          <w:cantSplit/>
        </w:trPr>
        <w:tc>
          <w:tcPr>
            <w:tcW w:type="dxa" w:w="2243"/>
            <w:tcMar>
              <w:top w:w="90" w:type="dxa"/>
              <w:bottom w:w="90" w:type="dxa"/>
              <w:left w:w="100" w:type="dxa"/>
              <w:right w:w="100" w:type="dxa"/>
            </w:tcMar>
            <w:shd w:fill="FFFFFF"/>
          </w:tcPr>
          <w:p>
            <w:pPr>
              <w:spacing w:after="20" w:line="269" w:lineRule="auto"/>
            </w:pPr>
            <w:r>
              <w:rPr>
                <w:sz w:val="18"/>
              </w:rPr>
              <w:t>Supervisor</w:t>
            </w:r>
          </w:p>
        </w:tc>
        <w:tc>
          <w:tcPr>
            <w:tcW w:type="dxa" w:w="7508"/>
            <w:tcMar>
              <w:top w:w="90" w:type="dxa"/>
              <w:bottom w:w="90" w:type="dxa"/>
              <w:left w:w="100" w:type="dxa"/>
              <w:right w:w="100" w:type="dxa"/>
            </w:tcMar>
            <w:shd w:fill="FFFFFF"/>
          </w:tcPr>
          <w:p>
            <w:pPr>
              <w:spacing w:after="20" w:line="269" w:lineRule="auto"/>
            </w:pPr>
            <w:r>
              <w:rPr>
                <w:sz w:val="18"/>
              </w:rPr>
              <w:t>先存启动意图，再启动握手；进程组、PID/启动时间/boot ID/随机 job ID、日志、超时与清理</w:t>
            </w:r>
          </w:p>
        </w:tc>
      </w:tr>
      <w:tr>
        <w:trPr>
          <w:cantSplit/>
        </w:trPr>
        <w:tc>
          <w:tcPr>
            <w:tcW w:type="dxa" w:w="2243"/>
            <w:tcMar>
              <w:top w:w="90" w:type="dxa"/>
              <w:bottom w:w="90" w:type="dxa"/>
              <w:left w:w="100" w:type="dxa"/>
              <w:right w:w="100" w:type="dxa"/>
            </w:tcMar>
            <w:shd w:fill="F1F5F9"/>
          </w:tcPr>
          <w:p>
            <w:pPr>
              <w:spacing w:after="20" w:line="269" w:lineRule="auto"/>
            </w:pPr>
            <w:r>
              <w:rPr>
                <w:sz w:val="18"/>
              </w:rPr>
              <w:t>WorkspaceManager</w:t>
            </w:r>
          </w:p>
        </w:tc>
        <w:tc>
          <w:tcPr>
            <w:tcW w:type="dxa" w:w="7508"/>
            <w:tcMar>
              <w:top w:w="90" w:type="dxa"/>
              <w:bottom w:w="90" w:type="dxa"/>
              <w:left w:w="100" w:type="dxa"/>
              <w:right w:w="100" w:type="dxa"/>
            </w:tcMar>
            <w:shd w:fill="F1F5F9"/>
          </w:tcPr>
          <w:p>
            <w:pPr>
              <w:spacing w:after="20" w:line="269" w:lineRule="auto"/>
            </w:pPr>
            <w:r>
              <w:rPr>
                <w:sz w:val="18"/>
              </w:rPr>
              <w:t>attempt 独立克隆、独占写入；不共享可修改的交付 Git 元数据</w:t>
            </w:r>
          </w:p>
        </w:tc>
      </w:tr>
      <w:tr>
        <w:trPr>
          <w:cantSplit/>
        </w:trPr>
        <w:tc>
          <w:tcPr>
            <w:tcW w:type="dxa" w:w="2243"/>
            <w:tcMar>
              <w:top w:w="90" w:type="dxa"/>
              <w:bottom w:w="90" w:type="dxa"/>
              <w:left w:w="100" w:type="dxa"/>
              <w:right w:w="100" w:type="dxa"/>
            </w:tcMar>
            <w:shd w:fill="FFFFFF"/>
          </w:tcPr>
          <w:p>
            <w:pPr>
              <w:spacing w:after="20" w:line="269" w:lineRule="auto"/>
            </w:pPr>
            <w:r>
              <w:rPr>
                <w:sz w:val="18"/>
              </w:rPr>
              <w:t>EventNormalizer</w:t>
            </w:r>
          </w:p>
        </w:tc>
        <w:tc>
          <w:tcPr>
            <w:tcW w:type="dxa" w:w="7508"/>
            <w:tcMar>
              <w:top w:w="90" w:type="dxa"/>
              <w:bottom w:w="90" w:type="dxa"/>
              <w:left w:w="100" w:type="dxa"/>
              <w:right w:w="100" w:type="dxa"/>
            </w:tcMar>
            <w:shd w:fill="FFFFFF"/>
          </w:tcPr>
          <w:p>
            <w:pPr>
              <w:spacing w:after="20" w:line="269" w:lineRule="auto"/>
            </w:pPr>
            <w:r>
              <w:rPr>
                <w:sz w:val="18"/>
              </w:rPr>
              <w:t>保存原始 JSONL/stdout/stderr，映射统一事件；未知事件保留，不误判成功</w:t>
            </w:r>
          </w:p>
        </w:tc>
      </w:tr>
      <w:tr>
        <w:trPr>
          <w:cantSplit/>
        </w:trPr>
        <w:tc>
          <w:tcPr>
            <w:tcW w:type="dxa" w:w="2243"/>
            <w:tcMar>
              <w:top w:w="90" w:type="dxa"/>
              <w:bottom w:w="90" w:type="dxa"/>
              <w:left w:w="100" w:type="dxa"/>
              <w:right w:w="100" w:type="dxa"/>
            </w:tcMar>
            <w:shd w:fill="F1F5F9"/>
          </w:tcPr>
          <w:p>
            <w:pPr>
              <w:spacing w:after="20" w:line="269" w:lineRule="auto"/>
            </w:pPr>
            <w:r>
              <w:rPr>
                <w:sz w:val="18"/>
              </w:rPr>
              <w:t>ModelProxy / ToolPolicy</w:t>
            </w:r>
          </w:p>
        </w:tc>
        <w:tc>
          <w:tcPr>
            <w:tcW w:type="dxa" w:w="7508"/>
            <w:tcMar>
              <w:top w:w="90" w:type="dxa"/>
              <w:bottom w:w="90" w:type="dxa"/>
              <w:left w:w="100" w:type="dxa"/>
              <w:right w:w="100" w:type="dxa"/>
            </w:tcMar>
            <w:shd w:fill="F1F5F9"/>
          </w:tcPr>
          <w:p>
            <w:pPr>
              <w:spacing w:after="20" w:line="269" w:lineRule="auto"/>
            </w:pPr>
            <w:r>
              <w:rPr>
                <w:sz w:val="18"/>
              </w:rPr>
              <w:t>固定上游、受限任务令牌、请求前预留；工具前置控制须有可验证入口</w:t>
            </w:r>
          </w:p>
        </w:tc>
      </w:tr>
      <w:tr>
        <w:trPr>
          <w:cantSplit/>
        </w:trPr>
        <w:tc>
          <w:tcPr>
            <w:tcW w:type="dxa" w:w="2243"/>
            <w:tcMar>
              <w:top w:w="90" w:type="dxa"/>
              <w:bottom w:w="90" w:type="dxa"/>
              <w:left w:w="100" w:type="dxa"/>
              <w:right w:w="100" w:type="dxa"/>
            </w:tcMar>
            <w:shd w:fill="FFFFFF"/>
          </w:tcPr>
          <w:p>
            <w:pPr>
              <w:spacing w:after="20" w:line="269" w:lineRule="auto"/>
            </w:pPr>
            <w:r>
              <w:rPr>
                <w:sz w:val="18"/>
              </w:rPr>
              <w:t>NodeDispatcher</w:t>
            </w:r>
          </w:p>
        </w:tc>
        <w:tc>
          <w:tcPr>
            <w:tcW w:type="dxa" w:w="7508"/>
            <w:tcMar>
              <w:top w:w="90" w:type="dxa"/>
              <w:bottom w:w="90" w:type="dxa"/>
              <w:left w:w="100" w:type="dxa"/>
              <w:right w:w="100" w:type="dxa"/>
            </w:tcMar>
            <w:shd w:fill="FFFFFF"/>
          </w:tcPr>
          <w:p>
            <w:pPr>
              <w:spacing w:after="20" w:line="269" w:lineRule="auto"/>
            </w:pPr>
            <w:r>
              <w:rPr>
                <w:sz w:val="18"/>
              </w:rPr>
              <w:t>目标/能力匹配、资源租约、输入包、作业领取、结果核验和回传诊断</w:t>
            </w:r>
          </w:p>
        </w:tc>
      </w:tr>
      <w:tr>
        <w:trPr>
          <w:cantSplit/>
        </w:trPr>
        <w:tc>
          <w:tcPr>
            <w:tcW w:type="dxa" w:w="2243"/>
            <w:tcMar>
              <w:top w:w="90" w:type="dxa"/>
              <w:bottom w:w="90" w:type="dxa"/>
              <w:left w:w="100" w:type="dxa"/>
              <w:right w:w="100" w:type="dxa"/>
            </w:tcMar>
            <w:shd w:fill="F1F5F9"/>
          </w:tcPr>
          <w:p>
            <w:pPr>
              <w:spacing w:after="20" w:line="269" w:lineRule="auto"/>
            </w:pPr>
            <w:r>
              <w:rPr>
                <w:sz w:val="18"/>
              </w:rPr>
              <w:t>ArtifactCollector</w:t>
            </w:r>
          </w:p>
        </w:tc>
        <w:tc>
          <w:tcPr>
            <w:tcW w:type="dxa" w:w="7508"/>
            <w:tcMar>
              <w:top w:w="90" w:type="dxa"/>
              <w:bottom w:w="90" w:type="dxa"/>
              <w:left w:w="100" w:type="dxa"/>
              <w:right w:w="100" w:type="dxa"/>
            </w:tcMar>
            <w:shd w:fill="F1F5F9"/>
          </w:tcPr>
          <w:p>
            <w:pPr>
              <w:spacing w:after="20" w:line="269" w:lineRule="auto"/>
            </w:pPr>
            <w:r>
              <w:rPr>
                <w:sz w:val="18"/>
              </w:rPr>
              <w:t>独立核对 diff、文件、源码/构建/测试身份和原始证据</w:t>
            </w:r>
          </w:p>
        </w:tc>
      </w:tr>
      <w:tr>
        <w:trPr>
          <w:cantSplit/>
        </w:trPr>
        <w:tc>
          <w:tcPr>
            <w:tcW w:type="dxa" w:w="2243"/>
            <w:tcMar>
              <w:top w:w="90" w:type="dxa"/>
              <w:bottom w:w="90" w:type="dxa"/>
              <w:left w:w="100" w:type="dxa"/>
              <w:right w:w="100" w:type="dxa"/>
            </w:tcMar>
            <w:shd w:fill="FFFFFF"/>
          </w:tcPr>
          <w:p>
            <w:pPr>
              <w:spacing w:after="20" w:line="269" w:lineRule="auto"/>
            </w:pPr>
            <w:r>
              <w:rPr>
                <w:sz w:val="18"/>
              </w:rPr>
              <w:t>GateEvaluator</w:t>
            </w:r>
          </w:p>
        </w:tc>
        <w:tc>
          <w:tcPr>
            <w:tcW w:type="dxa" w:w="7508"/>
            <w:tcMar>
              <w:top w:w="90" w:type="dxa"/>
              <w:bottom w:w="90" w:type="dxa"/>
              <w:left w:w="100" w:type="dxa"/>
              <w:right w:w="100" w:type="dxa"/>
            </w:tcMar>
            <w:shd w:fill="FFFFFF"/>
          </w:tcPr>
          <w:p>
            <w:pPr>
              <w:spacing w:after="20" w:line="269" w:lineRule="auto"/>
            </w:pPr>
            <w:r>
              <w:rPr>
                <w:sz w:val="18"/>
              </w:rPr>
              <w:t>检查完整性、质量、人审和候选一致性；后端无直接放行接口</w:t>
            </w:r>
          </w:p>
        </w:tc>
      </w:tr>
      <w:tr>
        <w:trPr>
          <w:cantSplit/>
        </w:trPr>
        <w:tc>
          <w:tcPr>
            <w:tcW w:type="dxa" w:w="2243"/>
            <w:tcMar>
              <w:top w:w="90" w:type="dxa"/>
              <w:bottom w:w="90" w:type="dxa"/>
              <w:left w:w="100" w:type="dxa"/>
              <w:right w:w="100" w:type="dxa"/>
            </w:tcMar>
            <w:shd w:fill="F1F5F9"/>
          </w:tcPr>
          <w:p>
            <w:pPr>
              <w:spacing w:after="20" w:line="269" w:lineRule="auto"/>
            </w:pPr>
            <w:r>
              <w:rPr>
                <w:sz w:val="18"/>
              </w:rPr>
              <w:t>ConformanceTests</w:t>
            </w:r>
          </w:p>
        </w:tc>
        <w:tc>
          <w:tcPr>
            <w:tcW w:type="dxa" w:w="7508"/>
            <w:tcMar>
              <w:top w:w="90" w:type="dxa"/>
              <w:bottom w:w="90" w:type="dxa"/>
              <w:left w:w="100" w:type="dxa"/>
              <w:right w:w="100" w:type="dxa"/>
            </w:tcMar>
            <w:shd w:fill="F1F5F9"/>
          </w:tcPr>
          <w:p>
            <w:pPr>
              <w:spacing w:after="20" w:line="269" w:lineRule="auto"/>
            </w:pPr>
            <w:r>
              <w:rPr>
                <w:sz w:val="18"/>
              </w:rPr>
              <w:t>正常、失败、重复、旧进程、取消、错误模型、坏事件、无产物和未知费用合同测试</w:t>
            </w:r>
          </w:p>
        </w:tc>
      </w:tr>
    </w:tbl>
    <w:p>
      <w:pPr>
        <w:spacing w:after="0" w:before="0" w:line="60" w:lineRule="exact"/>
      </w:pPr>
    </w:p>
    <w:p>
      <w:r>
        <w:t xml:space="preserve">CodingAgentAdapter 统一为 </w:t>
      </w:r>
      <w:r>
        <w:rPr>
          <w:color w:val="36576D"/>
        </w:rPr>
        <w:t>probe/start/inspect/cancel/recover/collect_artifacts/collect_usage</w:t>
      </w:r>
      <w:r>
        <w:t>；BackendHandle 绑定 operation、attempt、输入、工作区、版本和身份。平台接口不暗示第三方 SDK 有同名原生方法。</w:t>
      </w:r>
    </w:p>
    <w:p>
      <w:r>
        <w:t xml:space="preserve">能力的执行保障分为 </w:t>
      </w:r>
      <w:r>
        <w:rPr>
          <w:color w:val="36576D"/>
        </w:rPr>
        <w:t>hard / observed / unsupported / unverified</w:t>
      </w:r>
      <w:r>
        <w:t>。JSONL 事件可以提供事后观测，不能冒充执行前拦截；设置工作目录也不构成沙箱。取消和恢复不能用空实现标为支持。</w:t>
      </w:r>
    </w:p>
    <w:p>
      <w:pPr>
        <w:pStyle w:val="Heading2"/>
      </w:pPr>
      <w:r>
        <w:t>6.3 Codex 实现路径</w:t>
      </w:r>
    </w:p>
    <w:p>
      <w:r>
        <w:t xml:space="preserve">使用受管 </w:t>
      </w:r>
      <w:r>
        <w:rPr>
          <w:color w:val="36576D"/>
        </w:rPr>
        <w:t>exec</w:t>
      </w:r>
      <w:r>
        <w:t>、JSONL、最终输出 schema、明确工作目录及已验证的沙箱配置。当前本机只读帮助记录为 codex-cli 0.135.0；参数存在不等于整条接入已通过。</w:t>
      </w:r>
    </w:p>
    <w:p>
      <w:r>
        <w:t>每个编码工作项对应受管尝试，默认 ephemeral；平台保存日志、快照和结果。进程死亡后的恢复采用平台检查点加新尝试，不承诺原 Codex 会话无损续跑。生命周期、产物和用量都由适配器归一化。</w:t>
      </w:r>
    </w:p>
    <w:p>
      <w:r>
        <w:rPr>
          <w:color w:val="36576D"/>
        </w:rPr>
        <w:t>--ignore-user-config</w:t>
      </w:r>
      <w:r>
        <w:t xml:space="preserve"> 不能单独保证认证隔离。启动前显式验证模型 profile、代理地址、认证与实际请求去向；生成受控配置，不改写用户全局配置，不退回个人默认供应商。最终输出 schema 只约束回答形状，Collector 仍检查 tracked/untracked、删除/重命名、二进制、文件模式和符号链接。</w:t>
      </w:r>
    </w:p>
    <w:p>
      <w:pPr>
        <w:pStyle w:val="Heading1"/>
      </w:pPr>
      <w:r>
        <w:t>7. 节点协议、资源与恢复</w:t>
      </w:r>
    </w:p>
    <w:p>
      <w:pPr>
        <w:pStyle w:val="Heading2"/>
      </w:pPr>
      <w:r>
        <w:t>7.1 配对与通道</w:t>
      </w:r>
    </w:p>
    <w:p>
      <w:r>
        <w:t>所有者在回环 UI 创建限时单次配对；节点连接指定私网执行入口并核对证书指纹，以单次凭据提交公钥/CSR 和节点信息。控制端验证后签发范围受限的节点证书。私钥只存节点受保护目录，支持吊销、轮换和重新配对。</w:t>
      </w:r>
    </w:p>
    <w:p>
      <w:r>
        <w:t>执行入口使用 mTLS 验证 node identity；attempt 凭据绑定节点、作业、fence、输入和期限。配对凭据仅用于配对；owner token、node identity、attempt token 的 audience 与操作权限分离。私网来源本身不构成信任。</w:t>
      </w:r>
    </w:p>
    <w:p>
      <w:r>
        <w:t>节点定向 pull 作业，管理入口不需要对 LAN 开放。执行通道没有任意 shell RPC：作业引用已冻结的执行清单、工具链、允许的动作和输入包。实际项目构建/测试仍会执行代码，必须由匹配的隔离配置承接。</w:t>
      </w:r>
    </w:p>
    <w:p>
      <w:pPr>
        <w:pStyle w:val="Heading2"/>
      </w:pPr>
      <w:r>
        <w:t>7.2 领取与资源排他</w:t>
      </w:r>
    </w:p>
    <w:p>
      <w:pPr>
        <w:ind w:left="255" w:hanging="255"/>
      </w:pPr>
      <w:r>
        <w:t>1. 控制端检查节点证书、能力时效、队列、预算、输入版本和目标配置，事务内创建作业分配及递增 fence。</w:t>
      </w:r>
    </w:p>
    <w:p>
      <w:pPr>
        <w:ind w:left="255" w:hanging="255"/>
      </w:pPr>
      <w:r>
        <w:t>2. 节点领取后先将 job/attempt/fence 写入本地 journal，确认输入包摘要和资源状态，再启动受管进程。</w:t>
      </w:r>
    </w:p>
    <w:p>
      <w:pPr>
        <w:ind w:left="255" w:hanging="255"/>
      </w:pPr>
      <w:r>
        <w:t>3. 重复领取响应或重放请求返回同一作业事实；节点按 job 身份检查已存在进程，不能再次启动。</w:t>
      </w:r>
    </w:p>
    <w:p>
      <w:pPr>
        <w:ind w:left="255" w:hanging="255"/>
      </w:pPr>
      <w:r>
        <w:t>4. 节点按协议 heartbeat，并回传进程身份、设备/桌面、阶段、日志游标和资源清理状态。</w:t>
      </w:r>
    </w:p>
    <w:p>
      <w:pPr>
        <w:ind w:left="255" w:hanging="255"/>
      </w:pPr>
      <w:r>
        <w:t>5. 控制端在结果接收时核对当前 fence、输入、候选、矩阵和证据；陈旧结果只归档，不解除当前依赖。</w:t>
      </w:r>
    </w:p>
    <w:p>
      <w:r>
        <w:t>资源标识可包含物理设备、模拟器、桌面会话、display、后端端口和数据空间。GUI 设备/会话默认排他；只有探针证明独立会话、数据与驱动不干扰，才允许并行。构建并发另受 CPU、内存和磁盘约束。</w:t>
      </w:r>
    </w:p>
    <w:p>
      <w:pPr>
        <w:pStyle w:val="Heading2"/>
      </w:pPr>
      <w:r>
        <w:t>7.3 失联与取消</w:t>
      </w:r>
    </w:p>
    <w:p>
      <w:r>
        <w:t>租约过期不证明旧进程已经停止。节点失联后作业进入 execution_unknown，相关设备/桌面隔离；控制端不能仅凭时间到期将同一资源交给新任务。节点 watchdog 尝试中断和清理，重新连线后验证进程消失、应用/模拟器/数据已复位，再解除 quarantine。</w:t>
      </w:r>
    </w:p>
    <w:p>
      <w:r>
        <w:t>控制端重启时先恢复数据库事实并与节点 journal 对账，再开放调度。存活且身份可验证的作业继续观察；无法辨认进程或结果时保留未知。取消分为请求中、已确认停止、清理完成，不能将“已发送取消”显示为全部资源释放。</w:t>
      </w:r>
    </w:p>
    <w:p>
      <w:r>
        <w:t>Windows 使用能够追踪子进程的监督机制，POSIX 使用受管进程组与身份校验；PID 单独不作为身份。无法确认旧进程/GUI 驱动停止时，需执行环境重置或由所有者确认清理证据后解除隔离。</w:t>
      </w:r>
    </w:p>
    <w:p>
      <w:pPr>
        <w:pStyle w:val="Heading2"/>
      </w:pPr>
      <w:r>
        <w:t>7.4 文件传输与节点隔离</w:t>
      </w:r>
    </w:p>
    <w:p>
      <w:r>
        <w:t>输入和输出经认证执行通道传输，带 artifact ID、长度、摘要和 attempt 授权，支持中断后续传/幂等完成。先暂存再校验落库，不接受节点提供任意控制端文件路径；归档解包拒绝路径穿越、越界链接、超限大小与不允许的文件类型。</w:t>
      </w:r>
    </w:p>
    <w:p>
      <w:r>
        <w:t>node agent、身份密钥、journal 和证据收集器与生成代码进程分离权限；后者不能改 node credential 或平台结果。使用受控 OS 用户、容器或 VM 形成经探针验证的边界；原生 GUI 采用合适的独立桌面用户/会话。未证明隔离的环境只可登记为受信任项目模式，不能声称防止恶意仓库篡改测试证据。</w:t>
      </w:r>
    </w:p>
    <w:p>
      <w:pPr>
        <w:pStyle w:val="Heading1"/>
      </w:pPr>
      <w:r>
        <w:t>8. 多平台候选、测试矩阵和门禁</w:t>
      </w:r>
    </w:p>
    <w:p>
      <w:pPr>
        <w:pStyle w:val="Heading2"/>
      </w:pPr>
      <w:r>
        <w:t>8.1 两步冻结</w:t>
      </w:r>
    </w:p>
    <w:p>
      <w:r>
        <w:t>先冻结 SourceCandidate：业务代码与已 Review 的测试代码 commit/tree、依赖锁、架构/API/需求版本及源包摘要。构建作业只消费此快照，输出带平台、工具链、SDK、构建配置、签名配置引用和真实二进制摘要的 BuildArtifact。</w:t>
      </w:r>
    </w:p>
    <w:p>
      <w:r>
        <w:t>构建完成后冻结 CandidateManifest，包含适用平台组件、后端、数据 schema/fixture、测试包、环境矩阵和策略版本。不同平台的二进制摘要本来不同，不能把它们当成同一个包；它们通过同一不可变候选清单建立关系。</w:t>
      </w:r>
    </w:p>
    <w:p>
      <w:r>
        <w:t>矩阵计划指纹只计算冻结的用例、目标配置、必需性、组件角色和策略，不包含运行结果、清单回指或构建后解析的组件 ID。组件绑定和结果有独立修订记录，避免清单与矩阵互相包含摘要形成循环；绑定变化仍须校验候选一致性。</w:t>
      </w:r>
    </w:p>
    <w:p>
      <w:r>
        <w:t>对于构建与测试一体化框架，适配器必须能记录实际运行的产品和测试 bundle，并证明与预构建清单一致。若最终测试触发重编译导致构建物变化，则创建新清单并重新验证，不能将其结果直接归到原构建摘要。</w:t>
      </w:r>
    </w:p>
    <w:p>
      <w:pPr>
        <w:pStyle w:val="Heading2"/>
      </w:pPr>
      <w:r>
        <w:t>8.2 执行键与证据</w:t>
      </w:r>
    </w:p>
    <w:p>
      <w:r>
        <w:t xml:space="preserve">必需执行键由 </w:t>
      </w:r>
      <w:r>
        <w:rPr>
          <w:color w:val="36576D"/>
        </w:rPr>
        <w:t>case_id＋target_config_id＋candidate_manifest_digest</w:t>
      </w:r>
      <w:r>
        <w:t xml:space="preserve"> 构成。每个结果还绑定 job、attempt、fence、输入指纹、测试包、实际安装/运行构建、后端实例、SDK/OS/驱动和设备/显示会话。</w:t>
      </w:r>
    </w:p>
    <w:p>
      <w:r>
        <w:t>保留用例发现集合、预期集合、实际执行集合、失败/缺失集合及原始框架报告。环境就绪、方案完成、实现就绪、执行完成、质量通过分别记录。缺 SDK、权限、设备、报告或用例时明确 blocked/invalid/unknown，不转换为通过。</w:t>
      </w:r>
    </w:p>
    <w:p>
      <w:r>
        <w:t>关键业务断言使用控件状态、API、数据库或文件内容；截图、trace、视频和视觉 Agent 提供补充。必需视觉断言不确定时保持未验证，不能通过自动修改视觉基线制造成功。跨端测试使用同一候选组件集合与专属数据空间。</w:t>
      </w:r>
    </w:p>
    <w:p>
      <w:pPr>
        <w:pStyle w:val="Heading2"/>
      </w:pPr>
      <w:r>
        <w:t>8.3 门禁计算</w:t>
      </w:r>
    </w:p>
    <w:p>
      <w:r>
        <w:t>GateEvaluator 仅在以下条件同时成立时判定可交付：输入和候选有效；功能及测试代码 Review 满足策略；所有必需构建和单测通过；集成矩阵完整且全部必需键有效通过；架构/API 一致性检查通过；适用人工批准有效；没有阻塞失败、未知执行或证据损坏。</w:t>
      </w:r>
    </w:p>
    <w:p>
      <w:r>
        <w:t>通过数的分母来自冻结矩阵，不来自“已成功回传的报告数”。失败/失联节点不能从分母移除。可选项可显示警告；必需性修改必须形成新计划/策略并重新审核，不能借重试绕过失败项。</w:t>
      </w:r>
    </w:p>
    <w:p>
      <w:r>
        <w:t>测试重跑保留每次结果；重试次数有限，不以反复运行掩盖不稳定。源码、构建、测试、后端/API、环境或审核策略变化使受影响检查失效，依赖图据此重新调度。人类可以认可诊断报告完整，但不能用“报告已批准”替代质量通过。</w:t>
      </w:r>
    </w:p>
    <w:p>
      <w:pPr>
        <w:pStyle w:val="Heading1"/>
      </w:pPr>
      <w:r>
        <w:t>9. 架构治理、Human in the Loop 与已有项目</w:t>
      </w:r>
    </w:p>
    <w:p>
      <w:pPr>
        <w:pStyle w:val="Heading2"/>
      </w:pPr>
      <w:r>
        <w:t>9.1 架构包</w:t>
      </w:r>
    </w:p>
    <w:p>
      <w:r>
        <w:t>新项目建立架构包；已有项目先读取实际代码、构建/依赖、数据和 API，再形成现状与目标设计。包内必须有系统/模块/部署图源、技术方案、主要接口契约、数据关系、跨端依赖、非功能约束、决策记录和变更影响。</w:t>
      </w:r>
    </w:p>
    <w:p>
      <w:r>
        <w:t>新增功能检查扩展边界和接口；修改功能检查兼容性、性能约束和数据迁移；删除功能检查调用方、路由/控件、API、数据、配置和测试残留。任务 DAG 和测试计划引用架构版本，实际实现变化需要回写架构并检查一致性。</w:t>
      </w:r>
    </w:p>
    <w:p>
      <w:r>
        <w:t>多个架构 Agent 可分模块工作，汇总项负责契约冲突、循环依赖、共享数据和跨端一致性。正确、高效、可扩展通过可审查约束和实际检查体现，例如依赖规则、契约测试、迁移验证及适用性能预算；不以生成一张图宣称架构永远正确。</w:t>
      </w:r>
    </w:p>
    <w:p>
      <w:pPr>
        <w:pStyle w:val="Heading2"/>
      </w:pPr>
      <w:r>
        <w:t>9.2 任意产物步骤的人审</w:t>
      </w:r>
    </w:p>
    <w:p>
      <w:r>
        <w:t>注册产物步骤包括调研报告、PRD、需求拆解、架构包、开发任务、功能代码、代码 Review、单测方案/实现/结果、集成方案/实现/结果及交付候选。每一步可配置自动检查后放行或等待人类审核。</w:t>
      </w:r>
    </w:p>
    <w:p>
      <w:r>
        <w:t>批准绑定对象版本、内容摘要、输入与策略指纹。驳回必须保存理由，路由回该产物的生产工作项；如果根因在更早步骤，产生带依据的回退请求。新修订重新检查、重新送审，旧批准不继承。循环持续到通过、预算/截止时间触发停止或所有者取消。</w:t>
      </w:r>
    </w:p>
    <w:p>
      <w:r>
        <w:t>已启动且依赖被修改的任务不能继续放行结果；无关模块可继续。等待不占 Agent 槽位。人工审核不能被 Agent 自己调用，自动放行是所有者预先配置的策略，不是伪造人的批准记录。</w:t>
      </w:r>
    </w:p>
    <w:p>
      <w:pPr>
        <w:pStyle w:val="Heading2"/>
      </w:pPr>
      <w:r>
        <w:t>9.3 已有项目与局部运行</w:t>
      </w:r>
    </w:p>
    <w:p>
      <w:r>
        <w:t>导入明确的已提交基线，检测目标平台、工具链、现有文档、测试和架构。所有者选择起点、终点及变更目标；系统校验必需输入是否存在并仍有效，缺失时创建补充工作，而非编造输入。</w:t>
      </w:r>
    </w:p>
    <w:p>
      <w:r>
        <w:t>例如从 PRD 增加一个功能：更新 PRD → 影响分析和架构/API调整 → 需求/任务 → 各端编码与 Review → 原生单测和集成 → 人审 → Git交付。删除功能也走适用回归和清理检查。可复用内容必须通过输入指纹和适用范围校验。</w:t>
      </w:r>
    </w:p>
    <w:p>
      <w:r>
        <w:t>仅 Review、仅测试或仅方案运行按所选终点停止；仅测试不擅自修改业务代码。始终分别记录“工作执行完成、质量通过、人工批准、Git 已交付”四种事实。部分阶段运行完成不等于整个产品迭代已交付。</w:t>
      </w:r>
    </w:p>
    <w:p>
      <w:pPr>
        <w:pStyle w:val="Heading1"/>
      </w:pPr>
      <w:r>
        <w:t>10. 模型接入、预算与管理安全</w:t>
      </w:r>
    </w:p>
    <w:p>
      <w:pPr>
        <w:pStyle w:val="Heading2"/>
      </w:pPr>
      <w:r>
        <w:t>10.1 模型 profile</w:t>
      </w:r>
    </w:p>
    <w:p>
      <w:r>
        <w:t>ModelProvider 与 CodingAgentAdapter 分开注册。模型 profile 包含供应商、协议、请求 ID、供应方所述版本、实际响应模型、工具/结构化/视觉/流式能力、价格来源、能力报告和接受状态。</w:t>
      </w:r>
    </w:p>
    <w:p>
      <w:r>
        <w:t>当前拟用 DeepSeek Flash：OpenHands 通过本地代理走 Chat Completions，Codex 走 Responses。</w:t>
      </w:r>
      <w:r>
        <w:rPr>
          <w:color w:val="36576D"/>
        </w:rPr>
        <w:t>deepseek-flash</w:t>
      </w:r>
      <w:r>
        <w:t xml:space="preserve"> 为当前官方建议请求 ID；配置的 acceptance_status 保持 </w:t>
      </w:r>
      <w:r>
        <w:rPr>
          <w:color w:val="36576D"/>
        </w:rPr>
        <w:t>pending_user_confirmation</w:t>
      </w:r>
      <w:r>
        <w:t>，accepted_api_model 为空。未确认选择时不发起 live 探针或模型任务。用户不需为本次文档修订重新确认。</w:t>
      </w:r>
    </w:p>
    <w:p>
      <w:r>
        <w:t>DeepSeek 官方兼容说明要求本地保存上下文，不依赖 previous_response_id、conversation、store 或 background。max_tool_calls 被忽略、parallel_tool_calls 始终启用等行为不能承担本地硬限制。provider 参数和角色语义差异必须进入实际组合探针。[D1–D4]</w:t>
      </w:r>
    </w:p>
    <w:p>
      <w:r>
        <w:t>两条协议均原生转发，不自造 Chat 到 Responses 转换桥。支持替换 LLM 表示可注册协议适配和能力矩阵；不是只改 base_url 就保证全部工具、结构化、视觉和用量语义兼容。</w:t>
      </w:r>
    </w:p>
    <w:p>
      <w:pPr>
        <w:pStyle w:val="Heading2"/>
      </w:pPr>
      <w:r>
        <w:t>10.2 限额与恢复</w:t>
      </w:r>
    </w:p>
    <w:p>
      <w:r>
        <w:t>长期模型密钥仅由控制端代理读取，不进入项目、节点、提示词、参数或普通日志。Agent 获得绑定 attempt/profile 的代理令牌，请求不能自选任意上游 URL 或未授权模型。节点不调用 LLM；节点诊断回控制端处理。</w:t>
      </w:r>
    </w:p>
    <w:p>
      <w:r>
        <w:t>并发、attempt 次数、时限与可控工具准入由内核执行。每次可见模型请求在事务内预留 Run/Iteration 累计额度；只有全部流量经过代理且价格、输入及输出上界可证明时，才承诺严格金额上限。否则显示估算或未知责任，严格策略阻止不可控调用。</w:t>
      </w:r>
    </w:p>
    <w:p>
      <w:r>
        <w:t>模型 wire API 不能假定 Codex 总带调用幂等键；无键请求视为新的 invocation，不承诺透明重试只收费一次。响应丢失但可能已收费时保留责任，不自动退款后重试。流式截断、失败和 usage 缺失分别处理，不将网络结束当成功。</w:t>
      </w:r>
    </w:p>
    <w:p>
      <w:pPr>
        <w:pStyle w:val="Heading2"/>
      </w:pPr>
      <w:r>
        <w:t>10.3 所有者入口</w:t>
      </w:r>
    </w:p>
    <w:p>
      <w:r>
        <w:t>所有者 UI/API 只绑定 loopback，采用限时单次 bootstrap code 换 owner Bearer；令牌只保存在 UI 内存，并仅附加到固定控制来源。校验 Host/Origin，不使用随同域其他端口自动发送的管理 Cookie。bootstrap 消费后从地址片段清除，不把长期令牌放在 URL。</w:t>
      </w:r>
    </w:p>
    <w:p>
      <w:r>
        <w:t>项目预览、资料抓取、模型代理和节点传输分别构造请求，禁止转发 owner token。预览使用独立来源，Playwright 使用独立浏览器上下文。执行入口只有节点路由，node/attempt token 无审批、预算调整或直接 Git 发布权限。</w:t>
      </w:r>
    </w:p>
    <w:p>
      <w:r>
        <w:t>保护控制库、文件索引、交付仓库、长期密钥和其他工作区；cwd 不是沙箱，同 OS 用户的无约束进程也不能作为隔离证明。控制端与各节点都运行越界能力探针，支持状态中明确运行模式和可信边界。</w:t>
      </w:r>
    </w:p>
    <w:p>
      <w:pPr>
        <w:pStyle w:val="Heading1"/>
      </w:pPr>
      <w:r>
        <w:t>11. 本地 Git 交付</w:t>
      </w:r>
    </w:p>
    <w:p>
      <w:r>
        <w:t>默认交付为本地候选提交、独立交付 ref/分支和证据清单。不覆盖用户当前工作区、索引或未提交修改；导入从明确的已提交基线开始，不自动 stash 或将未知改动混入候选。</w:t>
      </w:r>
    </w:p>
    <w:p>
      <w:r>
        <w:t>编码 attempt 使用独立克隆，不以硬链接共享对象或交付 Git 元数据。合并并行产物产生新源码候选，最终验证针对组装后的候选，而非用各模块单独通过推导集成成功。</w:t>
      </w:r>
    </w:p>
    <w:p>
      <w:r>
        <w:t>发布前在 SQLite 保存 DeliveryIntent。RepositoryAdapter 通过受控 bundle/fetch 将候选 commit/tree/blob 导入实际目标对象库，核对 OID、tree 和对象完整性；不运行来源 hooks 或不受控过滤器。准备完成不算交付。</w:t>
      </w:r>
    </w:p>
    <w:p>
      <w:r>
        <w:t>对象就绪后，在同一目标仓库的 Git 引用事务中验证 base ref 的期望 OID，并创建交付 ref。相同 ref/OID 重试可对账为已生效；不同则冲突。目标基线变化时重新组装并执行受影响验证。</w:t>
      </w:r>
    </w:p>
    <w:p>
      <w:r>
        <w:t>Git 和 SQLite 不属于同一事务。若 ref 成功但数据库未记账，恢复按 intent/ref/OID 对账确认，不重复发布。交付记录绑定候选清单和有效证据；用户工作区及主分支不自动切换。</w:t>
      </w:r>
    </w:p>
    <w:p>
      <w:pPr>
        <w:pStyle w:val="Heading1"/>
      </w:pPr>
      <w:r>
        <w:t>12. Dashboard 与接口契约</w:t>
      </w:r>
    </w:p>
    <w:p>
      <w:pPr>
        <w:pStyle w:val="Heading2"/>
      </w:pPr>
      <w:r>
        <w:t>12.1 五个界面区域</w:t>
      </w:r>
    </w:p>
    <w:tbl>
      <w:tblPr>
        <w:tblW w:type="auto" w:w="0"/>
        <w:tblLayout w:type="fixed"/>
        <w:tblLook w:firstColumn="1" w:firstRow="1" w:lastColumn="0" w:lastRow="0" w:noHBand="0" w:noVBand="1" w:val="04A0"/>
      </w:tblPr>
      <w:tblGrid>
        <w:gridCol w:w="2243"/>
        <w:gridCol w:w="7508"/>
      </w:tblGrid>
      <w:tr>
        <w:trPr>
          <w:cantSplit/>
          <w:tblHeader/>
        </w:trPr>
        <w:tc>
          <w:tcPr>
            <w:tcW w:type="dxa" w:w="2243"/>
            <w:tcMar>
              <w:top w:w="90" w:type="dxa"/>
              <w:bottom w:w="90" w:type="dxa"/>
              <w:left w:w="100" w:type="dxa"/>
              <w:right w:w="100" w:type="dxa"/>
            </w:tcMar>
            <w:shd w:fill="163553"/>
          </w:tcPr>
          <w:p>
            <w:pPr>
              <w:spacing w:after="20" w:line="269" w:lineRule="auto"/>
            </w:pPr>
            <w:r>
              <w:rPr>
                <w:b/>
                <w:color w:val="FFFFFF"/>
                <w:sz w:val="18"/>
              </w:rPr>
              <w:t>区域</w:t>
            </w:r>
          </w:p>
        </w:tc>
        <w:tc>
          <w:tcPr>
            <w:tcW w:type="dxa" w:w="7508"/>
            <w:tcMar>
              <w:top w:w="90" w:type="dxa"/>
              <w:bottom w:w="90" w:type="dxa"/>
              <w:left w:w="100" w:type="dxa"/>
              <w:right w:w="100" w:type="dxa"/>
            </w:tcMar>
            <w:shd w:fill="163553"/>
          </w:tcPr>
          <w:p>
            <w:pPr>
              <w:spacing w:after="20" w:line="269" w:lineRule="auto"/>
            </w:pPr>
            <w:r>
              <w:rPr>
                <w:b/>
                <w:color w:val="FFFFFF"/>
                <w:sz w:val="18"/>
              </w:rPr>
              <w:t>必备内容</w:t>
            </w:r>
          </w:p>
        </w:tc>
      </w:tr>
      <w:tr>
        <w:trPr>
          <w:cantSplit/>
        </w:trPr>
        <w:tc>
          <w:tcPr>
            <w:tcW w:type="dxa" w:w="2243"/>
            <w:tcMar>
              <w:top w:w="90" w:type="dxa"/>
              <w:bottom w:w="90" w:type="dxa"/>
              <w:left w:w="100" w:type="dxa"/>
              <w:right w:w="100" w:type="dxa"/>
            </w:tcMar>
            <w:shd w:fill="F1F5F9"/>
          </w:tcPr>
          <w:p>
            <w:pPr>
              <w:spacing w:after="20" w:line="269" w:lineRule="auto"/>
            </w:pPr>
            <w:r>
              <w:rPr>
                <w:sz w:val="18"/>
              </w:rPr>
              <w:t>项目与运行</w:t>
            </w:r>
          </w:p>
        </w:tc>
        <w:tc>
          <w:tcPr>
            <w:tcW w:type="dxa" w:w="7508"/>
            <w:tcMar>
              <w:top w:w="90" w:type="dxa"/>
              <w:bottom w:w="90" w:type="dxa"/>
              <w:left w:w="100" w:type="dxa"/>
              <w:right w:w="100" w:type="dxa"/>
            </w:tcMar>
            <w:shd w:fill="F1F5F9"/>
          </w:tcPr>
          <w:p>
            <w:pPr>
              <w:spacing w:after="20" w:line="269" w:lineRule="auto"/>
            </w:pPr>
            <w:r>
              <w:rPr>
                <w:sz w:val="18"/>
              </w:rPr>
              <w:t>本地仓库、目标端、资料、起止步骤、DAG、迭代与历史</w:t>
            </w:r>
          </w:p>
        </w:tc>
      </w:tr>
      <w:tr>
        <w:trPr>
          <w:cantSplit/>
        </w:trPr>
        <w:tc>
          <w:tcPr>
            <w:tcW w:type="dxa" w:w="2243"/>
            <w:tcMar>
              <w:top w:w="90" w:type="dxa"/>
              <w:bottom w:w="90" w:type="dxa"/>
              <w:left w:w="100" w:type="dxa"/>
              <w:right w:w="100" w:type="dxa"/>
            </w:tcMar>
            <w:shd w:fill="FFFFFF"/>
          </w:tcPr>
          <w:p>
            <w:pPr>
              <w:spacing w:after="20" w:line="269" w:lineRule="auto"/>
            </w:pPr>
            <w:r>
              <w:rPr>
                <w:sz w:val="18"/>
              </w:rPr>
              <w:t>执行台</w:t>
            </w:r>
          </w:p>
        </w:tc>
        <w:tc>
          <w:tcPr>
            <w:tcW w:type="dxa" w:w="7508"/>
            <w:tcMar>
              <w:top w:w="90" w:type="dxa"/>
              <w:bottom w:w="90" w:type="dxa"/>
              <w:left w:w="100" w:type="dxa"/>
              <w:right w:w="100" w:type="dxa"/>
            </w:tcMar>
            <w:shd w:fill="FFFFFF"/>
          </w:tcPr>
          <w:p>
            <w:pPr>
              <w:spacing w:after="20" w:line="269" w:lineRule="auto"/>
            </w:pPr>
            <w:r>
              <w:rPr>
                <w:sz w:val="18"/>
              </w:rPr>
              <w:t>阶段、Agent 角色/后端/模型、节点/OS、构建/测试作业、排队原因、并发、取消/失联</w:t>
            </w:r>
          </w:p>
        </w:tc>
      </w:tr>
      <w:tr>
        <w:trPr>
          <w:cantSplit/>
        </w:trPr>
        <w:tc>
          <w:tcPr>
            <w:tcW w:type="dxa" w:w="2243"/>
            <w:tcMar>
              <w:top w:w="90" w:type="dxa"/>
              <w:bottom w:w="90" w:type="dxa"/>
              <w:left w:w="100" w:type="dxa"/>
              <w:right w:w="100" w:type="dxa"/>
            </w:tcMar>
            <w:shd w:fill="F1F5F9"/>
          </w:tcPr>
          <w:p>
            <w:pPr>
              <w:spacing w:after="20" w:line="269" w:lineRule="auto"/>
            </w:pPr>
            <w:r>
              <w:rPr>
                <w:sz w:val="18"/>
              </w:rPr>
              <w:t>人工审核</w:t>
            </w:r>
          </w:p>
        </w:tc>
        <w:tc>
          <w:tcPr>
            <w:tcW w:type="dxa" w:w="7508"/>
            <w:tcMar>
              <w:top w:w="90" w:type="dxa"/>
              <w:bottom w:w="90" w:type="dxa"/>
              <w:left w:w="100" w:type="dxa"/>
              <w:right w:w="100" w:type="dxa"/>
            </w:tcMar>
            <w:shd w:fill="F1F5F9"/>
          </w:tcPr>
          <w:p>
            <w:pPr>
              <w:spacing w:after="20" w:line="269" w:lineRule="auto"/>
            </w:pPr>
            <w:r>
              <w:rPr>
                <w:sz w:val="18"/>
              </w:rPr>
              <w:t>精确版本、差异、自动检查、驳回理由、受影响依赖与回退范围</w:t>
            </w:r>
          </w:p>
        </w:tc>
      </w:tr>
      <w:tr>
        <w:trPr>
          <w:cantSplit/>
        </w:trPr>
        <w:tc>
          <w:tcPr>
            <w:tcW w:type="dxa" w:w="2243"/>
            <w:tcMar>
              <w:top w:w="90" w:type="dxa"/>
              <w:bottom w:w="90" w:type="dxa"/>
              <w:left w:w="100" w:type="dxa"/>
              <w:right w:w="100" w:type="dxa"/>
            </w:tcMar>
            <w:shd w:fill="FFFFFF"/>
          </w:tcPr>
          <w:p>
            <w:pPr>
              <w:spacing w:after="20" w:line="269" w:lineRule="auto"/>
            </w:pPr>
            <w:r>
              <w:rPr>
                <w:sz w:val="18"/>
              </w:rPr>
              <w:t>产物与质量</w:t>
            </w:r>
          </w:p>
        </w:tc>
        <w:tc>
          <w:tcPr>
            <w:tcW w:type="dxa" w:w="7508"/>
            <w:tcMar>
              <w:top w:w="90" w:type="dxa"/>
              <w:bottom w:w="90" w:type="dxa"/>
              <w:left w:w="100" w:type="dxa"/>
              <w:right w:w="100" w:type="dxa"/>
            </w:tcMar>
            <w:shd w:fill="FFFFFF"/>
          </w:tcPr>
          <w:p>
            <w:pPr>
              <w:spacing w:after="20" w:line="269" w:lineRule="auto"/>
            </w:pPr>
            <w:r>
              <w:rPr>
                <w:sz w:val="18"/>
              </w:rPr>
              <w:t>调研/PRD/架构/API、diff、七目标矩阵、有效通过数/必需总数、构建和报告、交付 ref</w:t>
            </w:r>
          </w:p>
        </w:tc>
      </w:tr>
      <w:tr>
        <w:trPr>
          <w:cantSplit/>
        </w:trPr>
        <w:tc>
          <w:tcPr>
            <w:tcW w:type="dxa" w:w="2243"/>
            <w:tcMar>
              <w:top w:w="90" w:type="dxa"/>
              <w:bottom w:w="90" w:type="dxa"/>
              <w:left w:w="100" w:type="dxa"/>
              <w:right w:w="100" w:type="dxa"/>
            </w:tcMar>
            <w:shd w:fill="F1F5F9"/>
          </w:tcPr>
          <w:p>
            <w:pPr>
              <w:spacing w:after="20" w:line="269" w:lineRule="auto"/>
            </w:pPr>
            <w:r>
              <w:rPr>
                <w:sz w:val="18"/>
              </w:rPr>
              <w:t>本地设置</w:t>
            </w:r>
          </w:p>
        </w:tc>
        <w:tc>
          <w:tcPr>
            <w:tcW w:type="dxa" w:w="7508"/>
            <w:tcMar>
              <w:top w:w="90" w:type="dxa"/>
              <w:bottom w:w="90" w:type="dxa"/>
              <w:left w:w="100" w:type="dxa"/>
              <w:right w:w="100" w:type="dxa"/>
            </w:tcMar>
            <w:shd w:fill="F1F5F9"/>
          </w:tcPr>
          <w:p>
            <w:pPr>
              <w:spacing w:after="20" w:line="269" w:lineRule="auto"/>
            </w:pPr>
            <w:r>
              <w:rPr>
                <w:sz w:val="18"/>
              </w:rPr>
              <w:t>模型/后端 profile、节点配对/吊销、SDK/设备/GUI 探针、目录、配额和网络策略</w:t>
            </w:r>
          </w:p>
        </w:tc>
      </w:tr>
    </w:tbl>
    <w:p>
      <w:pPr>
        <w:spacing w:after="0" w:before="0" w:line="60" w:lineRule="exact"/>
      </w:pPr>
    </w:p>
    <w:p>
      <w:r>
        <w:t>进展按已接受的工作项和有效必需执行键计算，展示分母、更新时间、失败/未知/缺环境，不以 Agent token 数或一段总结推算完成百分比。费用分为确认、估算和未知；节点能力显示有效期与最近证据。</w:t>
      </w:r>
    </w:p>
    <w:p>
      <w:pPr>
        <w:pStyle w:val="Heading2"/>
      </w:pPr>
      <w:r>
        <w:t>12.2 接口分区</w:t>
      </w:r>
    </w:p>
    <w:p>
      <w:r>
        <w:t xml:space="preserve">配套 </w:t>
      </w:r>
      <w:r>
        <w:rPr>
          <w:color w:val="36576D"/>
        </w:rPr>
        <w:t>AgentFlow-MVP-本地多平台接口契约-v0.3.openapi.json</w:t>
      </w:r>
      <w:r>
        <w:t xml:space="preserve"> 给出机器可读结构。管理 API 包括项目/Run/产物/审核、目标配置、节点管理、能力探针、候选/矩阵/交付；内部接口承接受限 Agent 结果和模型协议；执行接口承接节点配对、领取、heartbeat、结果及传输。</w:t>
      </w:r>
    </w:p>
    <w:p>
      <w:r>
        <w:t>接口中 SourceManifestView 表达冻结源码候选，PlatformArtifactManifestView 表达候选的平台构建组件集合，TargetMatrixView 表达计划及绑定/结果视图。目标配置通过运行计划及版本化测试计划管理；节点环境探针描述实际能力，两者匹配后才能派发。</w:t>
      </w:r>
    </w:p>
    <w:p>
      <w:r>
        <w:t>所有业务写命令携带 Idempotency-Key，并校验对应 revision/fingerprint。列表与事件提供游标。错误类型区分状态冲突、陈旧输入、缺能力、资源隔离、哈希不符、证据缺失和权限不足。结果接口只提交执行事实及声明，不接受客户端直接覆盖 Gate。</w:t>
      </w:r>
    </w:p>
    <w:p>
      <w:r>
        <w:t>节点路线在 OpenAPI 中绑定独立 execution server 和认证；管理路由不因共享应用代码而暴露给 LAN。离线探针检查环境和结构；live 模型探针必须有已接受 profile 和明确预算。接口/schema 校验不代替运行层身份与业务不变量检查。</w:t>
      </w:r>
    </w:p>
    <w:p>
      <w:pPr>
        <w:pStyle w:val="Heading1"/>
      </w:pPr>
      <w:r>
        <w:t>13. 模块拆分与细粒度实现</w:t>
      </w:r>
    </w:p>
    <w:p>
      <w:pPr>
        <w:pStyle w:val="Heading2"/>
      </w:pPr>
      <w:r>
        <w:t>13.1 推荐代码组织</w:t>
      </w:r>
    </w:p>
    <w:p>
      <w:pPr>
        <w:spacing w:after="20" w:line="252" w:lineRule="auto"/>
      </w:pPr>
      <w:r>
        <w:rPr>
          <w:rFonts w:ascii="Menlo" w:hAnsi="Menlo" w:eastAsia="Hiragino Sans GB"/>
          <w:sz w:val="17"/>
        </w:rPr>
        <w:t>apps/dashboard/                 页面、事件状态、矩阵与审核组件</w:t>
      </w:r>
    </w:p>
    <w:p>
      <w:pPr>
        <w:spacing w:after="20" w:line="252" w:lineRule="auto"/>
      </w:pPr>
      <w:r>
        <w:rPr>
          <w:rFonts w:ascii="Menlo" w:hAnsi="Menlo" w:eastAsia="Hiragino Sans GB"/>
          <w:sz w:val="17"/>
        </w:rPr>
        <w:t>agentflow/domain/               版本、DAG、审核、候选、门禁、交付规则</w:t>
      </w:r>
    </w:p>
    <w:p>
      <w:pPr>
        <w:spacing w:after="20" w:line="252" w:lineRule="auto"/>
      </w:pPr>
      <w:r>
        <w:rPr>
          <w:rFonts w:ascii="Menlo" w:hAnsi="Menlo" w:eastAsia="Hiragino Sans GB"/>
          <w:sz w:val="17"/>
        </w:rPr>
        <w:t>agentflow/control/              管理API、写入actor、调度器、读模型</w:t>
      </w:r>
    </w:p>
    <w:p>
      <w:pPr>
        <w:spacing w:after="20" w:line="252" w:lineRule="auto"/>
      </w:pPr>
      <w:r>
        <w:rPr>
          <w:rFonts w:ascii="Menlo" w:hAnsi="Menlo" w:eastAsia="Hiragino Sans GB"/>
          <w:sz w:val="17"/>
        </w:rPr>
        <w:t>agentflow/runtime/              supervisor、workspace、event、budget</w:t>
      </w:r>
    </w:p>
    <w:p>
      <w:pPr>
        <w:spacing w:after="20" w:line="252" w:lineRule="auto"/>
      </w:pPr>
      <w:r>
        <w:rPr>
          <w:rFonts w:ascii="Menlo" w:hAnsi="Menlo" w:eastAsia="Hiragino Sans GB"/>
          <w:sz w:val="17"/>
        </w:rPr>
        <w:t>agentflow/adapters/openhands/    角色会话与受控工具</w:t>
      </w:r>
    </w:p>
    <w:p>
      <w:pPr>
        <w:spacing w:after="20" w:line="252" w:lineRule="auto"/>
      </w:pPr>
      <w:r>
        <w:rPr>
          <w:rFonts w:ascii="Menlo" w:hAnsi="Menlo" w:eastAsia="Hiragino Sans GB"/>
          <w:sz w:val="17"/>
        </w:rPr>
        <w:t>agentflow/adapters/codex/        进程/JSONL/产物/恢复</w:t>
      </w:r>
    </w:p>
    <w:p>
      <w:pPr>
        <w:spacing w:after="20" w:line="252" w:lineRule="auto"/>
      </w:pPr>
      <w:r>
        <w:rPr>
          <w:rFonts w:ascii="Menlo" w:hAnsi="Menlo" w:eastAsia="Hiragino Sans GB"/>
          <w:sz w:val="17"/>
        </w:rPr>
        <w:t>agentflow/models/               双协议代理、provider、probe</w:t>
      </w:r>
    </w:p>
    <w:p>
      <w:pPr>
        <w:spacing w:after="20" w:line="252" w:lineRule="auto"/>
      </w:pPr>
      <w:r>
        <w:rPr>
          <w:rFonts w:ascii="Menlo" w:hAnsi="Menlo" w:eastAsia="Hiragino Sans GB"/>
          <w:sz w:val="17"/>
        </w:rPr>
        <w:t>agentflow/execution/            node协议、配对、租约、传输、dispatcher</w:t>
      </w:r>
    </w:p>
    <w:p>
      <w:pPr>
        <w:spacing w:after="20" w:line="252" w:lineRule="auto"/>
      </w:pPr>
      <w:r>
        <w:rPr>
          <w:rFonts w:ascii="Menlo" w:hAnsi="Menlo" w:eastAsia="Hiragino Sans GB"/>
          <w:sz w:val="17"/>
        </w:rPr>
        <w:t>agentflow/testing/              TestPlan、matrix、结果归一化、collector</w:t>
      </w:r>
    </w:p>
    <w:p>
      <w:pPr>
        <w:spacing w:after="20" w:line="252" w:lineRule="auto"/>
      </w:pPr>
      <w:r>
        <w:rPr>
          <w:rFonts w:ascii="Menlo" w:hAnsi="Menlo" w:eastAsia="Hiragino Sans GB"/>
          <w:sz w:val="17"/>
        </w:rPr>
        <w:t>agentflow/testing/adapters/     web/api/ios/android/windows/macos/linux</w:t>
      </w:r>
    </w:p>
    <w:p>
      <w:pPr>
        <w:spacing w:after="20" w:line="252" w:lineRule="auto"/>
      </w:pPr>
      <w:r>
        <w:rPr>
          <w:rFonts w:ascii="Menlo" w:hAnsi="Menlo" w:eastAsia="Hiragino Sans GB"/>
          <w:sz w:val="17"/>
        </w:rPr>
        <w:t>agentflow/storage/              SQLite、文件、迁移、备份</w:t>
      </w:r>
    </w:p>
    <w:p>
      <w:pPr>
        <w:spacing w:after="20" w:line="252" w:lineRule="auto"/>
      </w:pPr>
      <w:r>
        <w:rPr>
          <w:rFonts w:ascii="Menlo" w:hAnsi="Menlo" w:eastAsia="Hiragino Sans GB"/>
          <w:sz w:val="17"/>
        </w:rPr>
        <w:t>agentflow/repository/           本地Git、candidate、delivery对账</w:t>
      </w:r>
    </w:p>
    <w:p>
      <w:pPr>
        <w:spacing w:after="20" w:line="252" w:lineRule="auto"/>
      </w:pPr>
      <w:r>
        <w:rPr>
          <w:rFonts w:ascii="Menlo" w:hAnsi="Menlo" w:eastAsia="Hiragino Sans GB"/>
          <w:sz w:val="17"/>
        </w:rPr>
        <w:t>node_agent/                    journal、supervisor、OS环境与驱动</w:t>
      </w:r>
    </w:p>
    <w:p>
      <w:pPr>
        <w:spacing w:after="20" w:line="252" w:lineRule="auto"/>
      </w:pPr>
      <w:r>
        <w:rPr>
          <w:rFonts w:ascii="Menlo" w:hAnsi="Menlo" w:eastAsia="Hiragino Sans GB"/>
          <w:sz w:val="17"/>
        </w:rPr>
        <w:t>contracts/                     OpenAPI、schema、事件及adapter合同</w:t>
      </w:r>
    </w:p>
    <w:p>
      <w:pPr>
        <w:spacing w:after="20" w:line="252" w:lineRule="auto"/>
      </w:pPr>
      <w:r>
        <w:rPr>
          <w:rFonts w:ascii="Menlo" w:hAnsi="Menlo" w:eastAsia="Hiragino Sans GB"/>
          <w:sz w:val="17"/>
        </w:rPr>
        <w:t>reference_apps/                共享API、Web与五种原生参考客户端</w:t>
      </w:r>
    </w:p>
    <w:p>
      <w:pPr>
        <w:pStyle w:val="Heading2"/>
      </w:pPr>
      <w:r>
        <w:t>13.2 开发顺序与退出条件</w:t>
      </w:r>
    </w:p>
    <w:tbl>
      <w:tblPr>
        <w:tblW w:type="auto" w:w="0"/>
        <w:tblLayout w:type="fixed"/>
        <w:tblLook w:firstColumn="1" w:firstRow="1" w:lastColumn="0" w:lastRow="0" w:noHBand="0" w:noVBand="1" w:val="04A0"/>
      </w:tblPr>
      <w:tblGrid>
        <w:gridCol w:w="1950"/>
        <w:gridCol w:w="3900"/>
        <w:gridCol w:w="3900"/>
      </w:tblGrid>
      <w:tr>
        <w:trPr>
          <w:cantSplit/>
          <w:tblHeader/>
        </w:trPr>
        <w:tc>
          <w:tcPr>
            <w:tcW w:type="dxa" w:w="1950"/>
            <w:tcMar>
              <w:top w:w="90" w:type="dxa"/>
              <w:bottom w:w="90" w:type="dxa"/>
              <w:left w:w="100" w:type="dxa"/>
              <w:right w:w="100" w:type="dxa"/>
            </w:tcMar>
            <w:shd w:fill="163553"/>
          </w:tcPr>
          <w:p>
            <w:pPr>
              <w:spacing w:after="20" w:line="269" w:lineRule="auto"/>
            </w:pPr>
            <w:r>
              <w:rPr>
                <w:b/>
                <w:color w:val="FFFFFF"/>
                <w:sz w:val="18"/>
              </w:rPr>
              <w:t>实施阶段</w:t>
            </w:r>
          </w:p>
        </w:tc>
        <w:tc>
          <w:tcPr>
            <w:tcW w:type="dxa" w:w="3900"/>
            <w:tcMar>
              <w:top w:w="90" w:type="dxa"/>
              <w:bottom w:w="90" w:type="dxa"/>
              <w:left w:w="100" w:type="dxa"/>
              <w:right w:w="100" w:type="dxa"/>
            </w:tcMar>
            <w:shd w:fill="163553"/>
          </w:tcPr>
          <w:p>
            <w:pPr>
              <w:spacing w:after="20" w:line="269" w:lineRule="auto"/>
            </w:pPr>
            <w:r>
              <w:rPr>
                <w:b/>
                <w:color w:val="FFFFFF"/>
                <w:sz w:val="18"/>
              </w:rPr>
              <w:t>具体产出</w:t>
            </w:r>
          </w:p>
        </w:tc>
        <w:tc>
          <w:tcPr>
            <w:tcW w:type="dxa" w:w="3900"/>
            <w:tcMar>
              <w:top w:w="90" w:type="dxa"/>
              <w:bottom w:w="90" w:type="dxa"/>
              <w:left w:w="100" w:type="dxa"/>
              <w:right w:w="100" w:type="dxa"/>
            </w:tcMar>
            <w:shd w:fill="163553"/>
          </w:tcPr>
          <w:p>
            <w:pPr>
              <w:spacing w:after="20" w:line="269" w:lineRule="auto"/>
            </w:pPr>
            <w:r>
              <w:rPr>
                <w:b/>
                <w:color w:val="FFFFFF"/>
                <w:sz w:val="18"/>
              </w:rPr>
              <w:t>退出条件</w:t>
            </w:r>
          </w:p>
        </w:tc>
      </w:tr>
      <w:tr>
        <w:trPr>
          <w:cantSplit/>
        </w:trPr>
        <w:tc>
          <w:tcPr>
            <w:tcW w:type="dxa" w:w="1950"/>
            <w:tcMar>
              <w:top w:w="90" w:type="dxa"/>
              <w:bottom w:w="90" w:type="dxa"/>
              <w:left w:w="100" w:type="dxa"/>
              <w:right w:w="100" w:type="dxa"/>
            </w:tcMar>
            <w:shd w:fill="F1F5F9"/>
          </w:tcPr>
          <w:p>
            <w:pPr>
              <w:spacing w:after="20" w:line="269" w:lineRule="auto"/>
            </w:pPr>
            <w:r>
              <w:rPr>
                <w:sz w:val="18"/>
              </w:rPr>
              <w:t>A：组合与环境探针</w:t>
            </w:r>
          </w:p>
        </w:tc>
        <w:tc>
          <w:tcPr>
            <w:tcW w:type="dxa" w:w="3900"/>
            <w:tcMar>
              <w:top w:w="90" w:type="dxa"/>
              <w:bottom w:w="90" w:type="dxa"/>
              <w:left w:w="100" w:type="dxa"/>
              <w:right w:w="100" w:type="dxa"/>
            </w:tcMar>
            <w:shd w:fill="F1F5F9"/>
          </w:tcPr>
          <w:p>
            <w:pPr>
              <w:spacing w:after="20" w:line="269" w:lineRule="auto"/>
            </w:pPr>
            <w:r>
              <w:rPr>
                <w:sz w:val="18"/>
              </w:rPr>
              <w:t>OpenHands/Codex/模型契约，七目标环境盘点，至少一个原生纵向样例</w:t>
            </w:r>
          </w:p>
        </w:tc>
        <w:tc>
          <w:tcPr>
            <w:tcW w:type="dxa" w:w="3900"/>
            <w:tcMar>
              <w:top w:w="90" w:type="dxa"/>
              <w:bottom w:w="90" w:type="dxa"/>
              <w:left w:w="100" w:type="dxa"/>
              <w:right w:w="100" w:type="dxa"/>
            </w:tcMar>
            <w:shd w:fill="F1F5F9"/>
          </w:tcPr>
          <w:p>
            <w:pPr>
              <w:spacing w:after="20" w:line="269" w:lineRule="auto"/>
            </w:pPr>
            <w:r>
              <w:rPr>
                <w:sz w:val="18"/>
              </w:rPr>
              <w:t>身份/请求去向正确；原生真实构建、控件操作和证据可回传；缺口显式记录</w:t>
            </w:r>
          </w:p>
        </w:tc>
      </w:tr>
      <w:tr>
        <w:trPr>
          <w:cantSplit/>
        </w:trPr>
        <w:tc>
          <w:tcPr>
            <w:tcW w:type="dxa" w:w="1950"/>
            <w:tcMar>
              <w:top w:w="90" w:type="dxa"/>
              <w:bottom w:w="90" w:type="dxa"/>
              <w:left w:w="100" w:type="dxa"/>
              <w:right w:w="100" w:type="dxa"/>
            </w:tcMar>
            <w:shd w:fill="FFFFFF"/>
          </w:tcPr>
          <w:p>
            <w:pPr>
              <w:spacing w:after="20" w:line="269" w:lineRule="auto"/>
            </w:pPr>
            <w:r>
              <w:rPr>
                <w:sz w:val="18"/>
              </w:rPr>
              <w:t>B：状态和 Runtime</w:t>
            </w:r>
          </w:p>
        </w:tc>
        <w:tc>
          <w:tcPr>
            <w:tcW w:type="dxa" w:w="3900"/>
            <w:tcMar>
              <w:top w:w="90" w:type="dxa"/>
              <w:bottom w:w="90" w:type="dxa"/>
              <w:left w:w="100" w:type="dxa"/>
              <w:right w:w="100" w:type="dxa"/>
            </w:tcMar>
            <w:shd w:fill="FFFFFF"/>
          </w:tcPr>
          <w:p>
            <w:pPr>
              <w:spacing w:after="20" w:line="269" w:lineRule="auto"/>
            </w:pPr>
            <w:r>
              <w:rPr>
                <w:sz w:val="18"/>
              </w:rPr>
              <w:t>SQLite/事件、版本、文件、工作区、supervisor、模型代理、并发/预算、恢复</w:t>
            </w:r>
          </w:p>
        </w:tc>
        <w:tc>
          <w:tcPr>
            <w:tcW w:type="dxa" w:w="3900"/>
            <w:tcMar>
              <w:top w:w="90" w:type="dxa"/>
              <w:bottom w:w="90" w:type="dxa"/>
              <w:left w:w="100" w:type="dxa"/>
              <w:right w:w="100" w:type="dxa"/>
            </w:tcMar>
            <w:shd w:fill="FFFFFF"/>
          </w:tcPr>
          <w:p>
            <w:pPr>
              <w:spacing w:after="20" w:line="269" w:lineRule="auto"/>
            </w:pPr>
            <w:r>
              <w:rPr>
                <w:sz w:val="18"/>
              </w:rPr>
              <w:t>重复启动、陈旧结果、崩溃、未知费用和损坏产物不能误放行</w:t>
            </w:r>
          </w:p>
        </w:tc>
      </w:tr>
      <w:tr>
        <w:trPr>
          <w:cantSplit/>
        </w:trPr>
        <w:tc>
          <w:tcPr>
            <w:tcW w:type="dxa" w:w="1950"/>
            <w:tcMar>
              <w:top w:w="90" w:type="dxa"/>
              <w:bottom w:w="90" w:type="dxa"/>
              <w:left w:w="100" w:type="dxa"/>
              <w:right w:w="100" w:type="dxa"/>
            </w:tcMar>
            <w:shd w:fill="F1F5F9"/>
          </w:tcPr>
          <w:p>
            <w:pPr>
              <w:spacing w:after="20" w:line="269" w:lineRule="auto"/>
            </w:pPr>
            <w:r>
              <w:rPr>
                <w:sz w:val="18"/>
              </w:rPr>
              <w:t>C：节点与候选协议</w:t>
            </w:r>
          </w:p>
        </w:tc>
        <w:tc>
          <w:tcPr>
            <w:tcW w:type="dxa" w:w="3900"/>
            <w:tcMar>
              <w:top w:w="90" w:type="dxa"/>
              <w:bottom w:w="90" w:type="dxa"/>
              <w:left w:w="100" w:type="dxa"/>
              <w:right w:w="100" w:type="dxa"/>
            </w:tcMar>
            <w:shd w:fill="F1F5F9"/>
          </w:tcPr>
          <w:p>
            <w:pPr>
              <w:spacing w:after="20" w:line="269" w:lineRule="auto"/>
            </w:pPr>
            <w:r>
              <w:rPr>
                <w:sz w:val="18"/>
              </w:rPr>
              <w:t>配对/TLS、capability、租约/fence、传输、manifest、统一 TestAdapter</w:t>
            </w:r>
          </w:p>
        </w:tc>
        <w:tc>
          <w:tcPr>
            <w:tcW w:type="dxa" w:w="3900"/>
            <w:tcMar>
              <w:top w:w="90" w:type="dxa"/>
              <w:bottom w:w="90" w:type="dxa"/>
              <w:left w:w="100" w:type="dxa"/>
              <w:right w:w="100" w:type="dxa"/>
            </w:tcMar>
            <w:shd w:fill="F1F5F9"/>
          </w:tcPr>
          <w:p>
            <w:pPr>
              <w:spacing w:after="20" w:line="269" w:lineRule="auto"/>
            </w:pPr>
            <w:r>
              <w:rPr>
                <w:sz w:val="18"/>
              </w:rPr>
              <w:t>多 OS 共享契约可表达且执行；失联/取消/坏包反例通过</w:t>
            </w:r>
          </w:p>
        </w:tc>
      </w:tr>
      <w:tr>
        <w:trPr>
          <w:cantSplit/>
        </w:trPr>
        <w:tc>
          <w:tcPr>
            <w:tcW w:type="dxa" w:w="1950"/>
            <w:tcMar>
              <w:top w:w="90" w:type="dxa"/>
              <w:bottom w:w="90" w:type="dxa"/>
              <w:left w:w="100" w:type="dxa"/>
              <w:right w:w="100" w:type="dxa"/>
            </w:tcMar>
            <w:shd w:fill="FFFFFF"/>
          </w:tcPr>
          <w:p>
            <w:pPr>
              <w:spacing w:after="20" w:line="269" w:lineRule="auto"/>
            </w:pPr>
            <w:r>
              <w:rPr>
                <w:sz w:val="18"/>
              </w:rPr>
              <w:t>D：并行实现七目标</w:t>
            </w:r>
          </w:p>
        </w:tc>
        <w:tc>
          <w:tcPr>
            <w:tcW w:type="dxa" w:w="3900"/>
            <w:tcMar>
              <w:top w:w="90" w:type="dxa"/>
              <w:bottom w:w="90" w:type="dxa"/>
              <w:left w:w="100" w:type="dxa"/>
              <w:right w:w="100" w:type="dxa"/>
            </w:tcMar>
            <w:shd w:fill="FFFFFF"/>
          </w:tcPr>
          <w:p>
            <w:pPr>
              <w:spacing w:after="20" w:line="269" w:lineRule="auto"/>
            </w:pPr>
            <w:r>
              <w:rPr>
                <w:sz w:val="18"/>
              </w:rPr>
              <w:t>Web/API 及五原生适配、原生单测、参考客户端与跨端场景</w:t>
            </w:r>
          </w:p>
        </w:tc>
        <w:tc>
          <w:tcPr>
            <w:tcW w:type="dxa" w:w="3900"/>
            <w:tcMar>
              <w:top w:w="90" w:type="dxa"/>
              <w:bottom w:w="90" w:type="dxa"/>
              <w:left w:w="100" w:type="dxa"/>
              <w:right w:w="100" w:type="dxa"/>
            </w:tcMar>
            <w:shd w:fill="FFFFFF"/>
          </w:tcPr>
          <w:p>
            <w:pPr>
              <w:spacing w:after="20" w:line="269" w:lineRule="auto"/>
            </w:pPr>
            <w:r>
              <w:rPr>
                <w:sz w:val="18"/>
              </w:rPr>
              <w:t>每目标正常与已知缺陷验证有效；候选/设备/报告可追溯</w:t>
            </w:r>
          </w:p>
        </w:tc>
      </w:tr>
      <w:tr>
        <w:trPr>
          <w:cantSplit/>
        </w:trPr>
        <w:tc>
          <w:tcPr>
            <w:tcW w:type="dxa" w:w="1950"/>
            <w:tcMar>
              <w:top w:w="90" w:type="dxa"/>
              <w:bottom w:w="90" w:type="dxa"/>
              <w:left w:w="100" w:type="dxa"/>
              <w:right w:w="100" w:type="dxa"/>
            </w:tcMar>
            <w:shd w:fill="F1F5F9"/>
          </w:tcPr>
          <w:p>
            <w:pPr>
              <w:spacing w:after="20" w:line="269" w:lineRule="auto"/>
            </w:pPr>
            <w:r>
              <w:rPr>
                <w:sz w:val="18"/>
              </w:rPr>
              <w:t>E：研发与迭代闭环</w:t>
            </w:r>
          </w:p>
        </w:tc>
        <w:tc>
          <w:tcPr>
            <w:tcW w:type="dxa" w:w="3900"/>
            <w:tcMar>
              <w:top w:w="90" w:type="dxa"/>
              <w:bottom w:w="90" w:type="dxa"/>
              <w:left w:w="100" w:type="dxa"/>
              <w:right w:w="100" w:type="dxa"/>
            </w:tcMar>
            <w:shd w:fill="F1F5F9"/>
          </w:tcPr>
          <w:p>
            <w:pPr>
              <w:spacing w:after="20" w:line="269" w:lineRule="auto"/>
            </w:pPr>
            <w:r>
              <w:rPr>
                <w:sz w:val="18"/>
              </w:rPr>
              <w:t>七角色、架构包、DAG、HITL、已有项目增改删、Git交付</w:t>
            </w:r>
          </w:p>
        </w:tc>
        <w:tc>
          <w:tcPr>
            <w:tcW w:type="dxa" w:w="3900"/>
            <w:tcMar>
              <w:top w:w="90" w:type="dxa"/>
              <w:bottom w:w="90" w:type="dxa"/>
              <w:left w:w="100" w:type="dxa"/>
              <w:right w:w="100" w:type="dxa"/>
            </w:tcMar>
            <w:shd w:fill="F1F5F9"/>
          </w:tcPr>
          <w:p>
            <w:pPr>
              <w:spacing w:after="20" w:line="269" w:lineRule="auto"/>
            </w:pPr>
            <w:r>
              <w:rPr>
                <w:sz w:val="18"/>
              </w:rPr>
              <w:t>从目标到交付及局部运行闭环可证明；新候选不复用失效批准</w:t>
            </w:r>
          </w:p>
        </w:tc>
      </w:tr>
      <w:tr>
        <w:trPr>
          <w:cantSplit/>
        </w:trPr>
        <w:tc>
          <w:tcPr>
            <w:tcW w:type="dxa" w:w="1950"/>
            <w:tcMar>
              <w:top w:w="90" w:type="dxa"/>
              <w:bottom w:w="90" w:type="dxa"/>
              <w:left w:w="100" w:type="dxa"/>
              <w:right w:w="100" w:type="dxa"/>
            </w:tcMar>
            <w:shd w:fill="FFFFFF"/>
          </w:tcPr>
          <w:p>
            <w:pPr>
              <w:spacing w:after="20" w:line="269" w:lineRule="auto"/>
            </w:pPr>
            <w:r>
              <w:rPr>
                <w:sz w:val="18"/>
              </w:rPr>
              <w:t>F：单用户交付</w:t>
            </w:r>
          </w:p>
        </w:tc>
        <w:tc>
          <w:tcPr>
            <w:tcW w:type="dxa" w:w="3900"/>
            <w:tcMar>
              <w:top w:w="90" w:type="dxa"/>
              <w:bottom w:w="90" w:type="dxa"/>
              <w:left w:w="100" w:type="dxa"/>
              <w:right w:w="100" w:type="dxa"/>
            </w:tcMar>
            <w:shd w:fill="FFFFFF"/>
          </w:tcPr>
          <w:p>
            <w:pPr>
              <w:spacing w:after="20" w:line="269" w:lineRule="auto"/>
            </w:pPr>
            <w:r>
              <w:rPr>
                <w:sz w:val="18"/>
              </w:rPr>
              <w:t>五区界面、导出/备份、故障恢复和全量验收</w:t>
            </w:r>
          </w:p>
        </w:tc>
        <w:tc>
          <w:tcPr>
            <w:tcW w:type="dxa" w:w="3900"/>
            <w:tcMar>
              <w:top w:w="90" w:type="dxa"/>
              <w:bottom w:w="90" w:type="dxa"/>
              <w:left w:w="100" w:type="dxa"/>
              <w:right w:w="100" w:type="dxa"/>
            </w:tcMar>
            <w:shd w:fill="FFFFFF"/>
          </w:tcPr>
          <w:p>
            <w:pPr>
              <w:spacing w:after="20" w:line="269" w:lineRule="auto"/>
            </w:pPr>
            <w:r>
              <w:rPr>
                <w:sz w:val="18"/>
              </w:rPr>
              <w:t>全部必需 LAC 有证据，七目标覆盖完整，限制如实呈现</w:t>
            </w:r>
          </w:p>
        </w:tc>
      </w:tr>
    </w:tbl>
    <w:p>
      <w:pPr>
        <w:spacing w:after="0" w:before="0" w:line="60" w:lineRule="exact"/>
      </w:pPr>
    </w:p>
    <w:p>
      <w:r>
        <w:t>阶段 A 先验证一个原生纵向链路及七目标环境，确保节点/候选协议能够容纳真实差异。阶段 D 的适配器可以由不同 Agent 并行开发；公共契约冻结后再集成，变更契约须重新检查全部适配器。</w:t>
      </w:r>
    </w:p>
    <w:p>
      <w:r>
        <w:t>配套实施 CSV 包含 LWP-01～38 共 38 项工作包，给出依赖、交付物、验证方式和验收关联；配套验收 Markdown 包含 LAC-01～34 共 34 项实际运行判定标准。LWP-28 为统一验收工作包，依赖其余工作完成，不按编号推断执行次序。排期取决于设备/SDK、模型组合和原生驱动探针结果，不能只依据服务数量估计工期。</w:t>
      </w:r>
    </w:p>
    <w:p>
      <w:pPr>
        <w:pStyle w:val="Heading2"/>
      </w:pPr>
      <w:r>
        <w:t>13.3 扩展接口的当前约束</w:t>
      </w:r>
    </w:p>
    <w:p>
      <w:r>
        <w:t>StateRepository、WorkflowBackend、ArtifactStore、RepositoryAdapter、ModelProvider、CodingAgentAdapter、TestAdapter、ExecutionHost 和 IdentityProvider 均有明确接口。MVP 实现本文选定后端和合同测试，不预写未使用的实现。</w:t>
      </w:r>
    </w:p>
    <w:p>
      <w:r>
        <w:t>替换后端必须验证状态迁移、幂等/取消、权限、事件、输入身份和证据语义。TestAdapter 可注册新框架/设备；ExecutionHost 可注册新环境；模型和 Coding Agent 分别验证组合。纯 Git 引用、外部合并请求和自动部署不是同一种交付动作。</w:t>
      </w:r>
    </w:p>
    <w:p>
      <w:pPr>
        <w:pStyle w:val="Heading1"/>
      </w:pPr>
      <w:r>
        <w:t>14. 验收重点与可行性判断</w:t>
      </w:r>
    </w:p>
    <w:p>
      <w:pPr>
        <w:pStyle w:val="Heading2"/>
      </w:pPr>
      <w:r>
        <w:t>14.1 必须覆盖的反例</w:t>
      </w:r>
    </w:p>
    <w:p>
      <w:pPr>
        <w:pStyle w:val="ListBullet"/>
      </w:pPr>
      <w:r>
        <w:t>五类原生应用不能用网页壳、截图样例或模拟报告代替；每类执行对应真实工具。</w:t>
      </w:r>
    </w:p>
    <w:p>
      <w:pPr>
        <w:pStyle w:val="ListBullet"/>
      </w:pPr>
      <w:r>
        <w:t>测试退出 0 但零用例、缺报告、实际包不匹配或业务断言失败：门禁失败。</w:t>
      </w:r>
    </w:p>
    <w:p>
      <w:pPr>
        <w:pStyle w:val="ListBullet"/>
      </w:pPr>
      <w:r>
        <w:t>环境不可用、显示协议不符、Windows 桌面锁定或 GUI 权限缺失：阻塞并说明缺口。</w:t>
      </w:r>
    </w:p>
    <w:p>
      <w:pPr>
        <w:pStyle w:val="ListBullet"/>
      </w:pPr>
      <w:r>
        <w:t>节点断网但旧 GUI 进程存活：资源隔离，不能直接分给新任务。</w:t>
      </w:r>
    </w:p>
    <w:p>
      <w:pPr>
        <w:pStyle w:val="ListBullet"/>
      </w:pPr>
      <w:r>
        <w:t>重复领取、控制端重启或结果重传：不重复启动、不重复结算、不重复交付。</w:t>
      </w:r>
    </w:p>
    <w:p>
      <w:pPr>
        <w:pStyle w:val="ListBullet"/>
      </w:pPr>
      <w:r>
        <w:t>PRD/API/源码/构建/测试/环境变化：旧结果与批准不能放行新候选。</w:t>
      </w:r>
    </w:p>
    <w:p>
      <w:pPr>
        <w:pStyle w:val="ListBullet"/>
      </w:pPr>
      <w:r>
        <w:t>Agent 或节点尝试批准、增加预算、读取其他作业或发布：拒绝。</w:t>
      </w:r>
    </w:p>
    <w:p>
      <w:pPr>
        <w:pStyle w:val="ListBullet"/>
      </w:pPr>
      <w:r>
        <w:t>API 返回 200 但数据未保存，或原生界面显示成功但后端失败：准确检出。</w:t>
      </w:r>
    </w:p>
    <w:p>
      <w:pPr>
        <w:pStyle w:val="ListBullet"/>
      </w:pPr>
      <w:r>
        <w:t>Git 引用成功而 SQLite 未确认：通过意图/OID 对账恢复。</w:t>
      </w:r>
    </w:p>
    <w:p>
      <w:pPr>
        <w:pStyle w:val="ListBullet"/>
      </w:pPr>
      <w:r>
        <w:t>Linux X11 成功但产品要求 Wayland，或 Simulator 成功但产品要求真机能力：保留必需缺口。</w:t>
      </w:r>
    </w:p>
    <w:p>
      <w:pPr>
        <w:pStyle w:val="Heading2"/>
      </w:pPr>
      <w:r>
        <w:t>14.2 可行性与实施前提</w:t>
      </w:r>
    </w:p>
    <w:p>
      <w:r>
        <w:t>技术上可按上述分层实现：单控制端避免分布式数据库和工作流基础设施，节点协议承担跨 OS 执行，平台适配器保留原生工具差异，统一候选/矩阵/门禁建立闭环。主要工程投入在 Runtime、节点生命周期、各平台驱动与证据一致性。</w:t>
      </w:r>
    </w:p>
    <w:p>
      <w:r>
        <w:t>实际开工首先需要可用的 Mac/Xcode、Windows 交互桌面、Linux GUI/Android 环境，以及已接受并通过探针的模型/Agent 组合。任一参考组合验证失败时调整工具或补环境，并保留失败证据；不能通过降低必需范围宣布 MVP 完成。</w:t>
      </w:r>
    </w:p>
    <w:p>
      <w:r>
        <w:t>本次完成的检查限于文档、接口结构、工作包依赖、验收追踪、图文一致性与导出。未运行平台实现、付费模型调用或七平台原生测试；真实支持状态由实施阶段产生的证据决定。</w:t>
      </w:r>
    </w:p>
    <w:p>
      <w:pPr>
        <w:pStyle w:val="Heading1"/>
      </w:pPr>
      <w:r>
        <w:t>15. 依据与待验证事项</w:t>
      </w:r>
    </w:p>
    <w:p>
      <w:r>
        <w:t>模型与 CLI 部分依据本地保存的 2026-09-18 资料：DeepSeek 官方 API/模型/Responses/Codex 指南，以及 codex-cli 0.135.0 的只读帮助。OpenHands 的具体模型工具循环和全部原生参考工具组合需在指定环境探针验证；本次未新增联网调研。</w:t>
      </w:r>
    </w:p>
    <w:p>
      <w:r>
        <w:t>工具名称在本文表示实现选择，不代表所有版本组合已获验证。评审包附上模型/CLI 依据说明；节点支持清单将记录最终锁定的版本、命令、权限、环境与实际报告。</w:t>
      </w:r>
    </w:p>
    <w:p>
      <w:pPr>
        <w:pStyle w:val="ListBullet"/>
      </w:pPr>
      <w:hyperlink r:id="rId13">
        <w:r>
          <w:rPr>
            <w:color w:val="137F87"/>
            <w:u w:val="single"/>
          </w:rPr>
          <w:t>D1：DeepSeek API</w:t>
        </w:r>
      </w:hyperlink>
    </w:p>
    <w:p>
      <w:pPr>
        <w:pStyle w:val="ListBullet"/>
      </w:pPr>
      <w:hyperlink r:id="rId14">
        <w:r>
          <w:rPr>
            <w:color w:val="137F87"/>
            <w:u w:val="single"/>
          </w:rPr>
          <w:t>D2：DeepSeek Models &amp; Pricing</w:t>
        </w:r>
      </w:hyperlink>
    </w:p>
    <w:p>
      <w:pPr>
        <w:pStyle w:val="ListBullet"/>
      </w:pPr>
      <w:hyperlink r:id="rId15">
        <w:r>
          <w:rPr>
            <w:color w:val="137F87"/>
            <w:u w:val="single"/>
          </w:rPr>
          <w:t>D3：DeepSeek Responses API</w:t>
        </w:r>
      </w:hyperlink>
    </w:p>
    <w:p>
      <w:pPr>
        <w:pStyle w:val="ListBullet"/>
      </w:pPr>
      <w:hyperlink r:id="rId16">
        <w:r>
          <w:rPr>
            <w:color w:val="137F87"/>
            <w:u w:val="single"/>
          </w:rPr>
          <w:t>D4：DeepSeek Integrate with Codex</w:t>
        </w:r>
      </w:hyperlink>
    </w:p>
    <w:sectPr w:rsidR="00FC693F" w:rsidRPr="0006063C" w:rsidSect="00034616">
      <w:headerReference w:type="default" r:id="rId9"/>
      <w:footerReference w:type="default" r:id="rId10"/>
      <w:pgSz w:w="11906" w:h="16838"/>
      <w:pgMar w:top="1020" w:right="1077" w:bottom="935" w:left="107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78A"/>
        <w:sz w:val="16"/>
      </w:rPr>
      <w:t xml:space="preserve">v0.3  ·  2026-09-18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78A"/>
        <w:sz w:val="16"/>
      </w:rPr>
      <w:t>AGENTFLOW MVP   /   本地多平台架构与实现方案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Hiragino Sans GB" w:hAnsi="Hiragino Sans GB" w:eastAsia="Hiragino Sans GB"/>
      <w:color w:val="24384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Hiragino Sans GB" w:hAnsi="Hiragino Sans GB" w:eastAsia="Hiragino Sans GB"/>
      <w:b/>
      <w:bCs/>
      <w:color w:val="163553"/>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Hiragino Sans GB" w:hAnsi="Hiragino Sans GB" w:eastAsia="Hiragino Sans GB"/>
      <w:b/>
      <w:bCs/>
      <w:color w:val="137F87"/>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Hiragino Sans GB" w:hAnsi="Hiragino Sans GB" w:eastAsia="Hiragino Sans GB"/>
      <w:b/>
      <w:bCs/>
      <w:color w:val="16355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Hiragino Sans GB" w:hAnsi="Hiragino Sans GB" w:eastAsia="Hiragino Sans GB"/>
      <w:color w:val="16355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Hiragino Sans GB" w:hAnsi="Hiragino Sans GB" w:eastAsia="Hiragino Sans GB"/>
      <w:color w:val="24384B"/>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Hiragino Sans GB" w:hAnsi="Hiragino Sans GB" w:eastAsia="Hiragino Sans GB"/>
      <w:color w:val="24384B"/>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api-docs.deepseek.com/" TargetMode="External"/><Relationship Id="rId14" Type="http://schemas.openxmlformats.org/officeDocument/2006/relationships/hyperlink" Target="https://api-docs.deepseek.com/quick_start/pricing/" TargetMode="External"/><Relationship Id="rId15" Type="http://schemas.openxmlformats.org/officeDocument/2006/relationships/hyperlink" Target="https://api-docs.deepseek.com/guides/responses_api/" TargetMode="External"/><Relationship Id="rId16" Type="http://schemas.openxmlformats.org/officeDocument/2006/relationships/hyperlink" Target="https://api-docs.deepseek.com/quick_start/agent_integrations/cod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AgentFlow 本地多平台 MVP 架构与技术实现方案</dc:title>
  <dc:subject>依据2026-09-18本地多平台MVP要求</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