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200"/>
        <w:jc w:val="center"/>
      </w:pPr>
      <w:r>
        <w:rPr>
          <w:rFonts w:ascii="Arial" w:cs="Arial" w:eastAsia="Arial" w:hAnsi="Arial"/>
          <w:color w:val="555555"/>
          <w:sz w:val="28"/>
          <w:szCs w:val="28"/>
        </w:rPr>
        <w:t xml:space="preserve">Iain D. Thomson</w:t>
      </w:r>
    </w:p>
    <w:p>
      <w:pPr>
        <w:spacing w:after="100"/>
        <w:jc w:val="center"/>
      </w:pPr>
      <w:r>
        <w:rPr>
          <w:rFonts w:ascii="Arial" w:cs="Arial" w:eastAsia="Arial" w:hAnsi="Arial"/>
          <w:b/>
          <w:bCs/>
          <w:color w:val="1B4332"/>
          <w:sz w:val="44"/>
          <w:szCs w:val="44"/>
        </w:rPr>
        <w:t xml:space="preserve">Heidegger on Technology’s Danger</w:t>
      </w:r>
    </w:p>
    <w:p>
      <w:pPr>
        <w:spacing w:after="100"/>
        <w:jc w:val="center"/>
      </w:pPr>
      <w:r>
        <w:rPr>
          <w:rFonts w:ascii="Arial" w:cs="Arial" w:eastAsia="Arial" w:hAnsi="Arial"/>
          <w:b/>
          <w:bCs/>
          <w:color w:val="1B4332"/>
          <w:sz w:val="44"/>
          <w:szCs w:val="44"/>
        </w:rPr>
        <w:t xml:space="preserve">and Promise in the Age of AI</w:t>
      </w:r>
    </w:p>
    <w:p>
      <w:pPr>
        <w:spacing w:after="100"/>
      </w:pPr>
    </w:p>
    <w:p>
      <w:pPr>
        <w:spacing w:after="400"/>
        <w:jc w:val="center"/>
      </w:pPr>
      <w:r>
        <w:rPr>
          <w:rFonts w:ascii="Arial" w:cs="Arial" w:eastAsia="Arial" w:hAnsi="Arial"/>
          <w:i/>
          <w:iCs/>
          <w:color w:val="2D6A4F"/>
          <w:sz w:val="22"/>
          <w:szCs w:val="22"/>
        </w:rPr>
        <w:t xml:space="preserve">Cambridge Elements in the Philosophy of Martin Heidegger</w:t>
      </w:r>
    </w:p>
    <w:p>
      <w:pPr>
        <w:spacing w:after="100"/>
        <w:jc w:val="center"/>
      </w:pPr>
      <w:r>
        <w:rPr>
          <w:rFonts w:ascii="Arial" w:cs="Arial" w:eastAsia="Arial" w:hAnsi="Arial"/>
          <w:color w:val="777777"/>
          <w:sz w:val="22"/>
          <w:szCs w:val="22"/>
        </w:rPr>
        <w:t xml:space="preserve">Cambridge University Press, 2025</w:t>
      </w:r>
    </w:p>
    <w:p>
      <w:pPr>
        <w:spacing w:after="100"/>
      </w:pPr>
    </w:p>
    <w:p>
      <w:pPr>
        <w:spacing w:after="100"/>
      </w:pPr>
    </w:p>
    <w:p>
      <w:pPr>
        <w:pBdr>
          <w:bottom w:val="single" w:color="999999" w:sz="6" w:space="1"/>
        </w:pBdr>
        <w:spacing w:before="200" w:after="200"/>
      </w:pPr>
    </w:p>
    <w:p>
      <w:pPr>
        <w:spacing w:before="200" w:after="200"/>
        <w:jc w:val="center"/>
      </w:pPr>
      <w:r>
        <w:rPr>
          <w:rFonts w:ascii="Arial" w:cs="Arial" w:eastAsia="Arial" w:hAnsi="Arial"/>
          <w:b/>
          <w:bCs/>
          <w:color w:val="1B4332"/>
          <w:sz w:val="28"/>
          <w:szCs w:val="28"/>
        </w:rPr>
        <w:t xml:space="preserve">COMPREHENSIVE SUMMARY</w:t>
      </w:r>
    </w:p>
    <w:p>
      <w:pPr>
        <w:pBdr>
          <w:bottom w:val="single" w:color="999999" w:sz="6" w:space="1"/>
        </w:pBdr>
        <w:spacing w:before="200" w:after="200"/>
      </w:pPr>
    </w:p>
    <w:p>
      <w:pPr>
        <w:spacing w:after="100"/>
      </w:pPr>
    </w:p>
    <w:p>
      <w:pPr>
        <w:jc w:val="center"/>
      </w:pPr>
      <w:r>
        <w:rPr>
          <w:rFonts w:ascii="Arial" w:cs="Arial" w:eastAsia="Arial" w:hAnsi="Arial"/>
          <w:i/>
          <w:iCs/>
          <w:color w:val="888888"/>
          <w:sz w:val="20"/>
          <w:szCs w:val="20"/>
        </w:rPr>
        <w:t xml:space="preserve">Prepared for academic reference</w:t>
      </w:r>
    </w:p>
    <w:p>
      <w:r>
        <w:br w:type="page"/>
      </w:r>
    </w:p>
    <w:p>
      <w:pPr>
        <w:pStyle w:val="Heading1"/>
      </w:pPr>
      <w:r>
        <w:t xml:space="preserve">Overview</w:t>
      </w:r>
    </w:p>
    <w:p>
      <w:pPr>
        <w:spacing w:after="200" w:line="276"/>
      </w:pPr>
      <w:r>
        <w:t xml:space="preserve">This Cambridge Element situates Heidegger’s influential understanding of technology as an historical mode of ontological disclosure in the context of contemporary technologies — nuclear weapons, genome engineering, synthetic biology, and generative AI. Thomson’s central argument is that Heidegger’s ontohistorical thinking of technology remains indispensable for understanding how technology is transforming us and our worlds, and for envisioning what a genuinely “free relation to technology” might look like. The work proceeds through six sections: from the alarming anxieties surrounding contemporary technologies to a detailed reconstruction of Heidegger’s three-layered concept of “the essence of technology,” culminating in a vision of postmodern ontological pluralism that neither reactively rejects nor uncritically embraces our technological age.</w:t>
      </w:r>
    </w:p>
    <w:p>
      <w:pPr>
        <w:pBdr>
          <w:bottom w:val="single" w:color="999999" w:sz="6" w:space="1"/>
        </w:pBdr>
        <w:spacing w:before="200" w:after="200"/>
      </w:pPr>
    </w:p>
    <w:p>
      <w:pPr>
        <w:pStyle w:val="Heading1"/>
      </w:pPr>
      <w:r>
        <w:t xml:space="preserve">Section 1: Technology — Pure Comedy or Disturbing Dystopia?</w:t>
      </w:r>
    </w:p>
    <w:p>
      <w:pPr>
        <w:spacing w:after="200" w:line="276"/>
      </w:pPr>
      <w:r>
        <w:t xml:space="preserve">Thomson opens with Father John Misty’s darkly satirical lyrics to evoke widespread anxiety about how technologies increasingly permeate our lives, “shaping and reshaping our relationship to the world, to others, and even to ourselves.” The driving question: How exactly is technology transforming us and our worlds, and what (if anything) can and should we do about it?</w:t>
      </w:r>
    </w:p>
    <w:p>
      <w:pPr>
        <w:spacing w:after="200" w:line="276"/>
      </w:pPr>
      <w:r>
        <w:t xml:space="preserve">Heidegger already felt this question pressing in 1951, and his deliberately provocative response remains worth pondering: “What is most thought-provoking in our thought-provoking time? Most thought-provoking is that we are still not thinking — still not, even though the state of the world is becoming ever more thought-provoking.” Thomson emphasizes that the German </w:t>
      </w:r>
      <w:r>
        <w:rPr>
          <w:i/>
          <w:iCs/>
        </w:rPr>
        <w:t xml:space="preserve">bedenklich</w:t>
      </w:r>
      <w:r>
        <w:t xml:space="preserve"> carries meanings far heavier than “thought-provoking”: it means questionable, worrisome, serious, alarming, grave, and disturbing. We live in an age that is deeply alarming and yet — precisely because the most pressing questions lack clear answers — leaves many who try to think about them feeling hopelessly anxious and apprehensive.</w:t>
      </w:r>
    </w:p>
    <w:p>
      <w:pPr>
        <w:pBdr>
          <w:bottom w:val="single" w:color="999999" w:sz="6" w:space="1"/>
        </w:pBdr>
        <w:spacing w:before="200" w:after="200"/>
      </w:pPr>
    </w:p>
    <w:p>
      <w:pPr>
        <w:pStyle w:val="Heading1"/>
      </w:pPr>
      <w:r>
        <w:t xml:space="preserve">Section 2: From Atomic Weapons to Genetic Engineering and AI</w:t>
      </w:r>
    </w:p>
    <w:p>
      <w:pPr>
        <w:pStyle w:val="Heading2"/>
      </w:pPr>
      <w:r>
        <w:t xml:space="preserve">Nuclear Weapons</w:t>
      </w:r>
    </w:p>
    <w:p>
      <w:pPr>
        <w:spacing w:after="200" w:line="276"/>
      </w:pPr>
      <w:r>
        <w:t xml:space="preserve">The horror unleashed in 1945 triggered a mushrooming anxiety about humanity’s growing potential to extinguish life on earth. Humanity’s recognition that the nuclear arms race placed us on the precipice of literal extinction helped prod the international community toward a rather straightforward solution: simply never employ nuclear weapons again. Yet nuclear weapons development continues unabated, and the Doomsday Clock stands at 90 seconds to midnight.</w:t>
      </w:r>
    </w:p>
    <w:p>
      <w:pPr>
        <w:pStyle w:val="Heading2"/>
      </w:pPr>
      <w:r>
        <w:t xml:space="preserve">Genome Engineering</w:t>
      </w:r>
    </w:p>
    <w:p>
      <w:pPr>
        <w:spacing w:after="200" w:line="276"/>
      </w:pPr>
      <w:r>
        <w:t xml:space="preserve">CRISPR and synthetic biology raise even more complex ethical issues. Thomson traces the history from early gene therapy disasters through CRISPR’s dramatic advances (Nobel Prize in Chemistry, 2020) to He Jiankui’s controversial creation of the first “designer babies” in 2018. The line between therapy (restoration to normal functioning) and enhancement (beyond normal) “has always been blurry,” and our technologies continue to show it to be a continuum. In 2016, the US Director of National Intelligence categorized “genome editing” as a “weapon of mass destruction,” placing it in the same category as nuclear weapons.</w:t>
      </w:r>
    </w:p>
    <w:p>
      <w:pPr>
        <w:pStyle w:val="Heading2"/>
      </w:pPr>
      <w:r>
        <w:t xml:space="preserve">Generative AI</w:t>
      </w:r>
    </w:p>
    <w:p>
      <w:pPr>
        <w:spacing w:after="200" w:line="276"/>
      </w:pPr>
      <w:r>
        <w:t xml:space="preserve">Thomson explains the deep learning approach he calls </w:t>
      </w:r>
      <w:r>
        <w:rPr>
          <w:b/>
          <w:bCs/>
        </w:rPr>
        <w:t xml:space="preserve">synthetic neuroplasticity</w:t>
      </w:r>
      <w:r>
        <w:t xml:space="preserve"> — artificial neural networks that learn by adjusting weighted connections across multiple layers, enabling novel and coherent responses. Generative AIs “frequently confabulate, filling gaps in their massive information network with made-up facts instead of recognizing that they do not know.” The experience of interacting with such systems confronts users with “the strange disjunction of an artificial mind that doesn’t really mind at all — about anything.”</w:t>
      </w:r>
    </w:p>
    <w:p>
      <w:pPr>
        <w:spacing w:after="200" w:line="276"/>
      </w:pPr>
      <w:r>
        <w:t xml:space="preserve">Thomson provides a detailed account of the March 2023 Future of Life Institute petition (signed by nearly 35,000 people) calling for a six-month pause on AI development. He critically examines Geoffrey Hinton’s alarming public statements upon leaving Google, as well as fears surrounding “zero-shot” capabilities. Thomson is skeptical of dystopian scenarios: “all these rival visions of our AI futures remain far from established fact and actuality.” The remarkable frequency with which competing visions of apocalypse return in popular culture testifies “less to a clear-eyed prescience about our inevitable technological doom than to a troublingly persistent thanatological impulse, a nihilistic hunger for nothingness which we need to become more cognizant of and better understand.”</w:t>
      </w:r>
    </w:p>
    <w:p>
      <w:pPr>
        <w:pBdr>
          <w:bottom w:val="single" w:color="999999" w:sz="6" w:space="1"/>
        </w:pBdr>
        <w:spacing w:before="200" w:after="200"/>
      </w:pPr>
    </w:p>
    <w:p>
      <w:pPr>
        <w:pStyle w:val="Heading1"/>
      </w:pPr>
      <w:r>
        <w:t xml:space="preserve">Section 3: What Is Called Thinking in “the Age of Artificial Intelligence”?</w:t>
      </w:r>
    </w:p>
    <w:p>
      <w:pPr>
        <w:spacing w:after="200" w:line="276"/>
      </w:pPr>
      <w:r>
        <w:t xml:space="preserve">Thomson argues that “the age of artificial intelligence” rings true in two very different senses. Explicitly, it designates AI’s promise of epoch-making transformations. But more subtly, it suggests “a time marked by the triumph of a kind of fake or phony intelligence, a thorough-going calculative rationality, the very dominance of which conceals the fact that our impressive technological apparatuses seem to have left us unable to understand the nature of our own historical situation.”</w:t>
      </w:r>
    </w:p>
    <w:p>
      <w:pPr>
        <w:spacing w:after="200" w:line="276"/>
      </w:pPr>
      <w:r>
        <w:t xml:space="preserve">We live in “an age uncannily unintelligent about the very nature of its own intelligence, having trapped ourselves in quantified and unilinear models of our own multi-modal and qualitative thought.” The dubious idea of the “singularity” follows only from the faulty presupposition that human consciousness is merely a product of the number and speed of neural connections — “a widespread but untenably reductive image of what human intelligence is.”</w:t>
      </w:r>
    </w:p>
    <w:p>
      <w:pPr>
        <w:spacing w:after="200" w:line="276"/>
      </w:pPr>
      <w:r>
        <w:t xml:space="preserve">Heidegger’s provocative claim is that “perhaps for centuries prevailing humanity has acted too much and thought too little.” The will to action “has overrun and crushed thought.” This follows from what Heidegger calls “the will-to-will,” his shorthand for our current Nietzschean metaphysics that understands being as “eternally recurring will-to-power” — mere forces striving against forces with no end beyond the maximal perpetuation of force itself — an implicit “enframing” that leads us to treat all things as nothing but meaningless “resources” (</w:t>
      </w:r>
      <w:r>
        <w:rPr>
          <w:i/>
          <w:iCs/>
        </w:rPr>
        <w:t xml:space="preserve">Bestand</w:t>
      </w:r>
      <w:r>
        <w:t xml:space="preserve">) standing by to be optimized.</w:t>
      </w:r>
    </w:p>
    <w:p>
      <w:pPr>
        <w:spacing w:after="200" w:line="276"/>
      </w:pPr>
      <w:r>
        <w:t xml:space="preserve">Thomson emphasizes that Heidegger is not excusing us from trying to address technological problems directly. Rather, he is helping to free us from the anxiety-provoking trap of believing that the only meaningful response to technology is one that seeks to control its development and immediately fix its problems.</w:t>
      </w:r>
    </w:p>
    <w:p>
      <w:pPr>
        <w:pBdr>
          <w:bottom w:val="single" w:color="999999" w:sz="6" w:space="1"/>
        </w:pBdr>
        <w:spacing w:before="200" w:after="200"/>
      </w:pPr>
    </w:p>
    <w:p>
      <w:pPr>
        <w:pStyle w:val="Heading1"/>
      </w:pPr>
      <w:r>
        <w:t xml:space="preserve">Section 4: Learning to Think Through Technology Ontohistorically</w:t>
      </w:r>
    </w:p>
    <w:p>
      <w:pPr>
        <w:spacing w:after="200" w:line="276"/>
      </w:pPr>
      <w:r>
        <w:t xml:space="preserve">This is the conceptual heart of the work. Thomson unpacks Heidegger’s famous claim that “the essence of technology is wholly and entirely not technological” (</w:t>
      </w:r>
      <w:r>
        <w:rPr>
          <w:i/>
          <w:iCs/>
        </w:rPr>
        <w:t xml:space="preserve">das Wesen der Technik ganz und gar nichts Technisches</w:t>
      </w:r>
      <w:r>
        <w:t xml:space="preserve">), showing that it designates three successively deeper meanings.</w:t>
      </w:r>
    </w:p>
    <w:p>
      <w:pPr>
        <w:pStyle w:val="Heading2"/>
      </w:pPr>
      <w:r>
        <w:t xml:space="preserve">First Meaning (Negative/Ground-Clearing)</w:t>
      </w:r>
    </w:p>
    <w:p>
      <w:pPr>
        <w:spacing w:after="200" w:line="276"/>
      </w:pPr>
      <w:r>
        <w:t xml:space="preserve">The essence of technology cannot be identified with any particular machine or device because it historically precedes what we think of as paradigmatic technologies. “Our age is not a technological age because it is the age of the machine; it is an age of the machine because it is the technological age.” Without the metaphysical foundations of modern subjectivism and late-modern enframing, the technoscientific enterprise would not have developed in the ways it has.</w:t>
      </w:r>
    </w:p>
    <w:p>
      <w:pPr>
        <w:pStyle w:val="Heading2"/>
      </w:pPr>
      <w:r>
        <w:t xml:space="preserve">Second Meaning (Positive: The Ontotheological Ground)</w:t>
      </w:r>
    </w:p>
    <w:p>
      <w:pPr>
        <w:spacing w:after="200" w:line="276"/>
      </w:pPr>
      <w:r>
        <w:t xml:space="preserve">The essence of technology designates our current metaphysical understanding of the being of entities — the Nietzschean ontotheology that understands being as “eternally recurring will-to-power.” This understanding “grounds and unifies our age,” but increasingly leads us to preconceive and treat all things as nothing but meaningless “resources” (</w:t>
      </w:r>
      <w:r>
        <w:rPr>
          <w:i/>
          <w:iCs/>
        </w:rPr>
        <w:t xml:space="preserve">Bestand</w:t>
      </w:r>
      <w:r>
        <w:t xml:space="preserve">) standing by to be optimized. The result is what Thomson calls the </w:t>
      </w:r>
      <w:r>
        <w:rPr>
          <w:b/>
          <w:bCs/>
        </w:rPr>
        <w:t xml:space="preserve">optimization imperative</w:t>
      </w:r>
      <w:r>
        <w:t xml:space="preserve"> — a drive to “get the most for the least” that profoundly permeates our lives. The nihilism spread by this understanding of being is “the deepest problem to be found beneath the surface of our technological understanding.”</w:t>
      </w:r>
    </w:p>
    <w:p>
      <w:pPr>
        <w:pStyle w:val="Heading2"/>
      </w:pPr>
      <w:r>
        <w:t xml:space="preserve">Third Meaning (Deepest: Being as Such)</w:t>
      </w:r>
    </w:p>
    <w:p>
      <w:pPr>
        <w:spacing w:after="200" w:line="276"/>
      </w:pPr>
      <w:r>
        <w:rPr>
          <w:b/>
          <w:bCs/>
        </w:rPr>
        <w:t xml:space="preserve">Being as such</w:t>
      </w:r>
      <w:r>
        <w:t xml:space="preserve"> (</w:t>
      </w:r>
      <w:r>
        <w:rPr>
          <w:i/>
          <w:iCs/>
        </w:rPr>
        <w:t xml:space="preserve">Sein als solches</w:t>
      </w:r>
      <w:r>
        <w:t xml:space="preserve">) — the temporally dynamic phenomenon that precedes, partly informs, but also ineluctably overflows and exceeds every conceptual system — is what our Nietzschean ontotheology misses and conceals. Metaphysics’ consistent reduction of being to “the being of entities” eclipses “being as such.”</w:t>
      </w:r>
    </w:p>
    <w:p>
      <w:pPr>
        <w:pStyle w:val="Heading2"/>
      </w:pPr>
      <w:r>
        <w:t xml:space="preserve">The Crucial Connection: Danger and Promise</w:t>
      </w:r>
    </w:p>
    <w:p>
      <w:pPr>
        <w:spacing w:after="200" w:line="276"/>
      </w:pPr>
      <w:r>
        <w:t xml:space="preserve">The second and third meanings appear contradictory. The hermeneutic key is Heidegger’s late formulation: “Enframing is like the photographic negative of the event of enowning” (</w:t>
      </w:r>
      <w:r>
        <w:rPr>
          <w:i/>
          <w:iCs/>
        </w:rPr>
        <w:t xml:space="preserve">Das Ge-stell ist gleichsam das photographische Negativ des Ereignisses</w:t>
      </w:r>
      <w:r>
        <w:t xml:space="preserve">). Enframing’s dissolution of being into nothing but “sovereign becoming” provides an inverted image of the </w:t>
      </w:r>
      <w:r>
        <w:rPr>
          <w:i/>
          <w:iCs/>
        </w:rPr>
        <w:t xml:space="preserve">Ereignis</w:t>
      </w:r>
      <w:r>
        <w:t xml:space="preserve"> — each momentous event of truth whereby we meaningfully disclose being in time. When Nietzschean ontotheology dissolves being into a strange kind of “nothing,” this active “noth-ing” needs to be recognized as the subtle phenomenological hinting whereby that which is “not yet a thing” beckons to be brought into being through our creative disclosive practices.</w:t>
      </w:r>
    </w:p>
    <w:p>
      <w:pPr>
        <w:spacing w:after="200" w:line="276"/>
      </w:pPr>
      <w:r>
        <w:t xml:space="preserve">This is what Heidegger means by Hölderlin’s famous distich: “But where danger threatens, that which saves from it also grows.” The </w:t>
      </w:r>
      <w:r>
        <w:rPr>
          <w:b/>
          <w:bCs/>
        </w:rPr>
        <w:t xml:space="preserve">greatest danger</w:t>
      </w:r>
      <w:r>
        <w:t xml:space="preserve"> is that enframing could become permanent, “driving out every other possibility of revealing.” The potentially </w:t>
      </w:r>
      <w:r>
        <w:rPr>
          <w:b/>
          <w:bCs/>
        </w:rPr>
        <w:t xml:space="preserve">salvific promise</w:t>
      </w:r>
      <w:r>
        <w:t xml:space="preserve"> is that recognizing this danger simultaneously reveals our distinctive nature as “thinkers” — ontologically disclosive beings whose sensitive thinking creatively composes being’s polyphonic hints into meaningful compositions.</w:t>
      </w:r>
    </w:p>
    <w:p>
      <w:pPr>
        <w:pBdr>
          <w:bottom w:val="single" w:color="999999" w:sz="6" w:space="1"/>
        </w:pBdr>
        <w:spacing w:before="200" w:after="200"/>
      </w:pPr>
    </w:p>
    <w:p>
      <w:pPr>
        <w:pStyle w:val="Heading1"/>
      </w:pPr>
      <w:r>
        <w:t xml:space="preserve">Section 5: Modern Subjectivism, Late-Modern Enframing, and Postmodernity</w:t>
      </w:r>
    </w:p>
    <w:p>
      <w:pPr>
        <w:spacing w:after="200" w:line="276"/>
      </w:pPr>
      <w:r>
        <w:rPr>
          <w:b/>
          <w:bCs/>
        </w:rPr>
        <w:t xml:space="preserve">Early Modern Subjectivism</w:t>
      </w:r>
      <w:r>
        <w:t xml:space="preserve"> (Descartes to Kant): The ontological bifurcation of reality into conscious, value-bestowing subjects over against nonconscious, intrinsically valueless objects. Kant “thinks Descartes’ unthought” by developing implications for morality (deontological), politics (cosmopolitan liberalism), and aesthetics (subject-object relation).</w:t>
      </w:r>
    </w:p>
    <w:p>
      <w:pPr>
        <w:spacing w:after="200" w:line="276"/>
      </w:pPr>
      <w:r>
        <w:rPr>
          <w:b/>
          <w:bCs/>
        </w:rPr>
        <w:t xml:space="preserve">Late-Modern Enframing</w:t>
      </w:r>
      <w:r>
        <w:t xml:space="preserve"> (Nietzsche’s unthought ontotheology): Nietzsche “thinks Kant’s unthought.” By making rational agency the ground of morality, Kant effectively “kills God.” Nietzsche discovers “will to power” as the ontological essence of all things and “eternal recurrence” as its theological totality. “Enframing is subjectivism squared” — the subjectivist impulse to master reality redoubles as it circles back on the subject itself, dissolving the subject/object division that defined early modernity.</w:t>
      </w:r>
    </w:p>
    <w:p>
      <w:pPr>
        <w:spacing w:after="200" w:line="276"/>
      </w:pPr>
      <w:r>
        <w:t xml:space="preserve">Thomson insists that Heidegger’s postmodern “other beginning” is not some far-off eventuality but has already begun arriving over two centuries ago in the work of “futural” artists and thinkers like Hölderlin, Van Gogh, and even Nietzsche. Thomson describes Heidegger not as an anarchist but as a </w:t>
      </w:r>
      <w:r>
        <w:rPr>
          <w:b/>
          <w:bCs/>
        </w:rPr>
        <w:t xml:space="preserve">postmodern polyarchist</w:t>
      </w:r>
      <w:r>
        <w:t xml:space="preserve"> — “an ontological pluralist who recognizes that being can indeed meaningfully inform our lives, repeatedly arriving in momentous events that we can dedicate our lives to responsively and creatively disclosing, despite that metaphysics-refuting phenomenological truth that being can never be exhaustively captured in any singular conceptual frame.”</w:t>
      </w:r>
    </w:p>
    <w:p>
      <w:pPr>
        <w:pBdr>
          <w:bottom w:val="single" w:color="999999" w:sz="6" w:space="1"/>
        </w:pBdr>
        <w:spacing w:before="200" w:after="200"/>
      </w:pPr>
    </w:p>
    <w:p>
      <w:pPr>
        <w:pStyle w:val="Heading1"/>
      </w:pPr>
      <w:r>
        <w:t xml:space="preserve">Section 6: Thinking a Free Relation to Technology</w:t>
      </w:r>
    </w:p>
    <w:p>
      <w:pPr>
        <w:spacing w:after="200" w:line="276"/>
      </w:pPr>
      <w:r>
        <w:t xml:space="preserve">As we learn to understand entities in Heidegger’s postmodern way — “as being richer in meaning than we are capable of finally doing justice to conceptually or practically” — we move forward historically, not backward into reactionary technophobia. A “free relation to technology” means using even technological devices to resist technological enframing and its nihilistic tendencies.</w:t>
      </w:r>
    </w:p>
    <w:p>
      <w:pPr>
        <w:spacing w:after="200" w:line="276"/>
      </w:pPr>
      <w:r>
        <w:t xml:space="preserve">Thomson addresses AI-enabled cheating in education as symptomatic of the deeper problem. Cheating arises because we have forgotten education’s original philosophical meaning — “a transformative rediscovery of being and its definitive connections to our own being” — and allowed enframing’s optimization imperative to fill the gap.</w:t>
      </w:r>
    </w:p>
    <w:p>
      <w:pPr>
        <w:spacing w:after="200" w:line="276"/>
      </w:pPr>
      <w:r>
        <w:t xml:space="preserve">Invoking Bert Dreyfus’s warning, Thomson argues that </w:t>
      </w:r>
      <w:r>
        <w:rPr>
          <w:b/>
          <w:bCs/>
        </w:rPr>
        <w:t xml:space="preserve">the real danger of computers is not that they will become more like us but that we will become more like them</w:t>
      </w:r>
      <w:r>
        <w:t xml:space="preserve">. The deeper problem is not AI superintelligence but that “we will become accustomed to their level of creative output and lower our expectations about both them and ourselves to that level.” Thomson illustrates this with AI-generated creative writing — perhaps 70 percent as good as the best human work, delivered instantaneously and customized to preferences. The big question is whether we will learn to be satisfied with that 70 percent.</w:t>
      </w:r>
    </w:p>
    <w:p>
      <w:pPr>
        <w:spacing w:after="200" w:line="276"/>
      </w:pPr>
      <w:r>
        <w:t xml:space="preserve">“Something subtle yet profoundly important would be lost in a completely technologized world in which we merely impose and refine our preexisting tastes, rather than opening ourselves up to disclosing what that reality outside our existing understanding continues to offer us.” The postmodern understanding of being helps us “learn to better discern and resist the most dangerous temptations of the ongoing technologization of our world, including its push toward endless optimization and its growing potential to undermine our dedication to cultivating our distinctive disclosive capacities and their most cherished fruits.”</w:t>
      </w:r>
    </w:p>
    <w:p>
      <w:pPr>
        <w:pBdr>
          <w:bottom w:val="single" w:color="999999" w:sz="6" w:space="1"/>
        </w:pBdr>
        <w:spacing w:before="200" w:after="200"/>
      </w:pPr>
    </w:p>
    <w:p>
      <w:pPr>
        <w:pStyle w:val="Heading1"/>
      </w:pPr>
      <w:r>
        <w:t xml:space="preserve">Key Concepts and Terminology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iCs/>
                <w:sz w:val="20"/>
                <w:szCs w:val="20"/>
              </w:rPr>
              <w:t xml:space="preserve">The essence of technology</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Three successively deeper meanings: (1) not any particular technology; (2) the Nietzschean ontotheology driving enframing; (3) “being as such” that enframing conceals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sz w:val="20"/>
                <w:szCs w:val="20"/>
              </w:rPr>
              <w:t xml:space="preserve">Enframing (Gestell)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Late-modern mode of world-disclosure treating all things as meaningless resources standing by for optimization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iCs/>
                <w:sz w:val="20"/>
                <w:szCs w:val="20"/>
              </w:rPr>
              <w:t xml:space="preserve">Subjectivism</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Early modern epoch (Descartes–Kant): subjects standing over against intrinsically valueless objects, seeking mastery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sz w:val="20"/>
                <w:szCs w:val="20"/>
              </w:rPr>
              <w:t xml:space="preserve">Ontotheology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Doubly foundationalist metaphysics linking the innermost ontological core with the outermost theological horizon of what-is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iCs/>
                <w:sz w:val="20"/>
                <w:szCs w:val="20"/>
              </w:rPr>
              <w:t xml:space="preserve">Eternally recurring will-to-power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Nietzsche’s unthought ontotheology: forces striving against forces to perpetuate force — the metaphysical ground of enframing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sz w:val="20"/>
                <w:szCs w:val="20"/>
              </w:rPr>
              <w:t xml:space="preserve">Optimization imperative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drive to “get the most for the least” — practical expression of enframing’s nihilistic reduction of all things to resources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iCs/>
                <w:sz w:val="20"/>
                <w:szCs w:val="20"/>
              </w:rPr>
              <w:t xml:space="preserve">Being as such</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Dynamic phenomenological presencing that precedes, overflows, and exceeds all conceptualization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sz w:val="20"/>
                <w:szCs w:val="20"/>
              </w:rPr>
              <w:t xml:space="preserve">Ereignis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Momentous events of truth-disclosure whereby entities, Dasein, and being come into their own together</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iCs/>
                <w:sz w:val="20"/>
                <w:szCs w:val="20"/>
              </w:rPr>
              <w:t xml:space="preserve">The greatest danger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The possibility that enframing becomes permanent, overwriting Dasein’s capacity for creative world-disclosure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sz w:val="20"/>
                <w:szCs w:val="20"/>
              </w:rPr>
              <w:t xml:space="preserve">Free relation to technology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Using technologies to resist enframing rather than being captured by the optimization imperative</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iCs/>
                <w:sz w:val="20"/>
                <w:szCs w:val="20"/>
              </w:rPr>
              <w:t xml:space="preserve">Postmodern polyarchism</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Ontological pluralism recognizing being as informing yet exceeding all conceptual frameworks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sz w:val="20"/>
                <w:szCs w:val="20"/>
              </w:rPr>
              <w:t xml:space="preserve">Synthetic neuroplasticity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Thomson’s term for deep learning approach modeling artificial neural networks on biological neuroplasticity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iCs/>
                <w:sz w:val="20"/>
                <w:szCs w:val="20"/>
              </w:rPr>
              <w:t xml:space="preserve">Noth-ing (Nichten)</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Active phenomenological hinting whereby that which is “not yet a thing” beckons for creative disclosure</w:t>
            </w:r>
          </w:p>
        </w:tc>
      </w:tr>
    </w:tbl>
    <w:p>
      <w:pPr>
        <w:pBdr>
          <w:bottom w:val="single" w:color="999999" w:sz="6" w:space="1"/>
        </w:pBdr>
        <w:spacing w:before="200" w:after="200"/>
      </w:pPr>
    </w:p>
    <w:p>
      <w:pPr>
        <w:pStyle w:val="Heading1"/>
      </w:pPr>
      <w:r>
        <w:t xml:space="preserve">Connections to Yuk Hui’s Kant Machine</w:t>
      </w:r>
    </w:p>
    <w:p>
      <w:pPr>
        <w:spacing w:after="200" w:line="276"/>
      </w:pPr>
      <w:r>
        <w:t xml:space="preserve">Thomson’s and Hui’s works share several significant points of contact despite their different philosophical orientations:</w:t>
      </w:r>
    </w:p>
    <w:p>
      <w:pPr>
        <w:spacing w:after="200" w:line="276"/>
      </w:pPr>
      <w:r>
        <w:t xml:space="preserve">Both identify the </w:t>
      </w:r>
      <w:r>
        <w:rPr>
          <w:b/>
          <w:bCs/>
        </w:rPr>
        <w:t xml:space="preserve">rationalism/empiricism divide</w:t>
      </w:r>
      <w:r>
        <w:t xml:space="preserve"> as structuring contemporary AI debates (Hui’s Cartesian/Humean machines; Thomson’s critique of quantified, unilinear models of intelligence).</w:t>
      </w:r>
    </w:p>
    <w:p>
      <w:pPr>
        <w:spacing w:after="200" w:line="276"/>
      </w:pPr>
      <w:r>
        <w:t xml:space="preserve">Both draw on </w:t>
      </w:r>
      <w:r>
        <w:rPr>
          <w:b/>
          <w:bCs/>
        </w:rPr>
        <w:t xml:space="preserve">Dreyfus’s Heideggerian critique of AI</w:t>
      </w:r>
      <w:r>
        <w:t xml:space="preserve"> as pivotal — Hui engages it as a foundational but incomplete critique; Thomson traces its surprising influence on the deep learning approach it helped inspire.</w:t>
      </w:r>
    </w:p>
    <w:p>
      <w:pPr>
        <w:spacing w:after="200" w:line="276"/>
      </w:pPr>
      <w:r>
        <w:t xml:space="preserve">Both diagnose </w:t>
      </w:r>
      <w:r>
        <w:rPr>
          <w:b/>
          <w:bCs/>
        </w:rPr>
        <w:t xml:space="preserve">nihilism</w:t>
      </w:r>
      <w:r>
        <w:t xml:space="preserve"> as the deepest problem beneath technology’s surface — Hui through Kant’s moral philosophy and the incalculability of the Good; Thomson through Heidegger’s critique of Nietzschean ontotheology.</w:t>
      </w:r>
    </w:p>
    <w:p>
      <w:pPr>
        <w:spacing w:after="200" w:line="276"/>
      </w:pPr>
      <w:r>
        <w:t xml:space="preserve">Both argue that the </w:t>
      </w:r>
      <w:r>
        <w:rPr>
          <w:b/>
          <w:bCs/>
        </w:rPr>
        <w:t xml:space="preserve">essence of technology precedes particular technologies</w:t>
      </w:r>
      <w:r>
        <w:t xml:space="preserve"> — Hui via Kant’s architectonic/reflective distinction; Thomson via Heidegger’s three-layered concept.</w:t>
      </w:r>
    </w:p>
    <w:p>
      <w:pPr>
        <w:spacing w:after="200" w:line="276"/>
      </w:pPr>
      <w:r>
        <w:t xml:space="preserve">Both refuse both </w:t>
      </w:r>
      <w:r>
        <w:rPr>
          <w:b/>
          <w:bCs/>
        </w:rPr>
        <w:t xml:space="preserve">technophobia and techno-utopianism</w:t>
      </w:r>
      <w:r>
        <w:t xml:space="preserve">, seeking instead a philosophically informed middle path — Hui’s “organology of morality”; Thomson’s “free relation to technology.”</w:t>
      </w:r>
    </w:p>
    <w:p>
      <w:pPr>
        <w:spacing w:after="200" w:line="276"/>
      </w:pPr>
      <w:r>
        <w:t xml:space="preserve">Both raise the specter of </w:t>
      </w:r>
      <w:r>
        <w:rPr>
          <w:b/>
          <w:bCs/>
        </w:rPr>
        <w:t xml:space="preserve">genetic engineering permanently rewriting human nature</w:t>
      </w:r>
      <w:r>
        <w:t xml:space="preserve"> as the “greatest danger” of our technological age.</w:t>
      </w:r>
    </w:p>
    <w:p>
      <w:pPr>
        <w:spacing w:after="200" w:line="276"/>
      </w:pPr>
      <w:r>
        <w:t xml:space="preserve">Both insist that </w:t>
      </w:r>
      <w:r>
        <w:rPr>
          <w:b/>
          <w:bCs/>
        </w:rPr>
        <w:t xml:space="preserve">intelligence cannot be reduced to computation</w:t>
      </w:r>
      <w:r>
        <w:t xml:space="preserve"> — Hui via Kant’s transcendental faculties and reflective judgement; Thomson via Heidegger’s understanding of Dasein as world-disclosive being.</w:t>
      </w:r>
    </w:p>
    <w:p>
      <w:pPr>
        <w:spacing w:after="100"/>
      </w:pPr>
    </w:p>
    <w:p>
      <w:pPr>
        <w:pBdr>
          <w:bottom w:val="single" w:color="999999" w:sz="6" w:space="1"/>
        </w:pBdr>
        <w:spacing w:before="200" w:after="200"/>
      </w:pPr>
    </w:p>
    <w:p>
      <w:pPr>
        <w:spacing w:after="100"/>
      </w:pPr>
    </w:p>
    <w:p>
      <w:pPr>
        <w:spacing w:after="200" w:line="276"/>
        <w:jc w:val="center"/>
      </w:pPr>
      <w:r>
        <w:rPr>
          <w:i/>
          <w:iCs/>
        </w:rPr>
        <w:t xml:space="preserve">Summary prepared for academic reference. This summary paraphrases and synthesizes the arguments of Iain D. Thomson’s </w:t>
      </w:r>
      <w:r>
        <w:rPr>
          <w:b/>
          <w:bCs/>
          <w:i/>
          <w:iCs/>
        </w:rPr>
        <w:t xml:space="preserve">Heidegger on Technology’s Danger and Promise in the Age of AI</w:t>
      </w:r>
      <w:r>
        <w:rPr>
          <w:i/>
          <w:iCs/>
        </w:rPr>
        <w:t xml:space="preserve"> (Cambridge University Press,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Thomson, Heidegger on Technology (2025) —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33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6A4F"/>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2026-03-31T04:06:50.297Z</dcterms:created>
  <dcterms:modified xsi:type="dcterms:W3CDTF">2026-03-31T04:06:50.298Z</dcterms:modified>
</cp:coreProperties>
</file>

<file path=docProps/custom.xml><?xml version="1.0" encoding="utf-8"?>
<Properties xmlns="http://schemas.openxmlformats.org/officeDocument/2006/custom-properties" xmlns:vt="http://schemas.openxmlformats.org/officeDocument/2006/docPropsVTypes"/>
</file>