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200"/>
        <w:jc w:val="center"/>
      </w:pPr>
      <w:r>
        <w:rPr>
          <w:rFonts w:ascii="Arial" w:cs="Arial" w:eastAsia="Arial" w:hAnsi="Arial"/>
          <w:color w:val="555555"/>
          <w:sz w:val="28"/>
          <w:szCs w:val="28"/>
        </w:rPr>
        <w:t xml:space="preserve">Yuk Hui</w:t>
      </w:r>
    </w:p>
    <w:p>
      <w:pPr>
        <w:spacing w:after="100"/>
        <w:jc w:val="center"/>
      </w:pPr>
      <w:r>
        <w:rPr>
          <w:rFonts w:ascii="Arial" w:cs="Arial" w:eastAsia="Arial" w:hAnsi="Arial"/>
          <w:b/>
          <w:bCs/>
          <w:color w:val="1F3864"/>
          <w:sz w:val="48"/>
          <w:szCs w:val="48"/>
        </w:rPr>
        <w:t xml:space="preserve">Kant Machine</w:t>
      </w:r>
    </w:p>
    <w:p>
      <w:pPr>
        <w:spacing w:after="400"/>
        <w:jc w:val="center"/>
      </w:pPr>
      <w:r>
        <w:rPr>
          <w:rFonts w:ascii="Arial" w:cs="Arial" w:eastAsia="Arial" w:hAnsi="Arial"/>
          <w:i/>
          <w:iCs/>
          <w:color w:val="2E75B6"/>
          <w:sz w:val="28"/>
          <w:szCs w:val="28"/>
        </w:rPr>
        <w:t xml:space="preserve">Critical Philosophy after AI</w:t>
      </w:r>
    </w:p>
    <w:p>
      <w:pPr>
        <w:spacing w:after="100"/>
        <w:jc w:val="center"/>
      </w:pPr>
      <w:r>
        <w:rPr>
          <w:rFonts w:ascii="Arial" w:cs="Arial" w:eastAsia="Arial" w:hAnsi="Arial"/>
          <w:color w:val="777777"/>
          <w:sz w:val="22"/>
          <w:szCs w:val="22"/>
        </w:rPr>
        <w:t xml:space="preserve">Bloomsbury Academic, 2026</w:t>
      </w:r>
    </w:p>
    <w:p>
      <w:pPr>
        <w:spacing w:after="100"/>
        <w:jc w:val="center"/>
      </w:pPr>
      <w:r>
        <w:rPr>
          <w:rFonts w:ascii="Arial" w:cs="Arial" w:eastAsia="Arial" w:hAnsi="Arial"/>
          <w:color w:val="777777"/>
          <w:sz w:val="20"/>
          <w:szCs w:val="20"/>
        </w:rPr>
        <w:t xml:space="preserve">Series: Political Theory and Contemporary Philosophy</w:t>
      </w:r>
    </w:p>
    <w:p>
      <w:pPr>
        <w:spacing w:after="100"/>
      </w:pPr>
    </w:p>
    <w:p>
      <w:pPr>
        <w:spacing w:after="100"/>
      </w:pPr>
    </w:p>
    <w:p>
      <w:pPr>
        <w:pBdr>
          <w:bottom w:val="single" w:color="999999" w:sz="6" w:space="1"/>
        </w:pBdr>
        <w:spacing w:before="200" w:after="200"/>
      </w:pPr>
    </w:p>
    <w:p>
      <w:pPr>
        <w:spacing w:before="200" w:after="200"/>
        <w:jc w:val="center"/>
      </w:pPr>
      <w:r>
        <w:rPr>
          <w:rFonts w:ascii="Arial" w:cs="Arial" w:eastAsia="Arial" w:hAnsi="Arial"/>
          <w:b/>
          <w:bCs/>
          <w:color w:val="1F3864"/>
          <w:sz w:val="28"/>
          <w:szCs w:val="28"/>
        </w:rPr>
        <w:t xml:space="preserve">COMPREHENSIVE SUMMARY</w:t>
      </w:r>
    </w:p>
    <w:p>
      <w:pPr>
        <w:pBdr>
          <w:bottom w:val="single" w:color="999999" w:sz="6" w:space="1"/>
        </w:pBdr>
        <w:spacing w:before="200" w:after="200"/>
      </w:pPr>
    </w:p>
    <w:p>
      <w:pPr>
        <w:spacing w:after="100"/>
      </w:pPr>
    </w:p>
    <w:p>
      <w:pPr>
        <w:spacing w:after="100"/>
        <w:jc w:val="center"/>
      </w:pPr>
      <w:r>
        <w:rPr>
          <w:rFonts w:ascii="Arial" w:cs="Arial" w:eastAsia="Arial" w:hAnsi="Arial"/>
          <w:i/>
          <w:iCs/>
          <w:color w:val="888888"/>
          <w:sz w:val="20"/>
          <w:szCs w:val="20"/>
        </w:rPr>
        <w:t xml:space="preserve">Prepared for academic reference</w:t>
      </w:r>
    </w:p>
    <w:p>
      <w:r>
        <w:br w:type="page"/>
      </w:r>
    </w:p>
    <w:p>
      <w:pPr>
        <w:pStyle w:val="Heading1"/>
      </w:pPr>
      <w:r>
        <w:t xml:space="preserve">Overview</w:t>
      </w:r>
    </w:p>
    <w:p>
      <w:pPr>
        <w:spacing w:after="200" w:line="276"/>
      </w:pPr>
      <w:r>
        <w:rPr>
          <w:i/>
          <w:iCs/>
        </w:rPr>
        <w:t xml:space="preserve">Kant Machine</w:t>
      </w:r>
      <w:r>
        <w:t xml:space="preserve"> resituates Kant’s critical philosophy in the epoch of generative AI. The title carries a double meaning: “Kant and Machines” and “Kantian Machines” — that is, Kant’s critique of machines and machines endowed with Kantian motives. The book rests on two foundational claims:</w:t>
      </w:r>
    </w:p>
    <w:p>
      <w:pPr>
        <w:spacing w:after="200" w:line="276"/>
      </w:pPr>
      <w:r>
        <w:rPr>
          <w:b/>
          <w:bCs/>
        </w:rPr>
        <w:t xml:space="preserve">(1) </w:t>
      </w:r>
      <w:r>
        <w:t xml:space="preserve">Kant’s philosophy can be read as a reflection on two ways of constructing machines — the rationalist (Cartesian) machine and the empiricist (Humean) machine — which correspond to the contemporary debate between symbolism and connectionism.</w:t>
      </w:r>
    </w:p>
    <w:p>
      <w:pPr>
        <w:spacing w:after="200" w:line="276"/>
      </w:pPr>
      <w:r>
        <w:rPr>
          <w:b/>
          <w:bCs/>
        </w:rPr>
        <w:t xml:space="preserve">(2) </w:t>
      </w:r>
      <w:r>
        <w:t xml:space="preserve">Kant’s philosophy, read against the machines of his time, demonstrates a non-machinic thinking that could paradoxically be assimilated into a new form of machinic thought, a “mechano-organicism.”</w:t>
      </w:r>
    </w:p>
    <w:p>
      <w:pPr>
        <w:spacing w:after="200" w:line="276"/>
      </w:pPr>
      <w:r>
        <w:t xml:space="preserve">Both claims share an ontological critique (the irreducibility of organism to mechanism) and an epistemological critique (the insufficiency of linear causality). The work is organized around three questions transposed from humans to machines:</w:t>
      </w:r>
    </w:p>
    <w:p>
      <w:pPr>
        <w:spacing w:after="200" w:line="276"/>
      </w:pPr>
      <w:r>
        <w:rPr>
          <w:i/>
          <w:iCs/>
        </w:rPr>
        <w:t xml:space="preserve">“What could be called an intelligent machine?” </w:t>
      </w:r>
      <w:r>
        <w:t xml:space="preserve">/ </w:t>
      </w:r>
      <w:r>
        <w:rPr>
          <w:i/>
          <w:iCs/>
        </w:rPr>
        <w:t xml:space="preserve">“Are machines capable of being moral?” </w:t>
      </w:r>
      <w:r>
        <w:t xml:space="preserve">/ </w:t>
      </w:r>
      <w:r>
        <w:rPr>
          <w:i/>
          <w:iCs/>
        </w:rPr>
        <w:t xml:space="preserve">“Does an algorithm of perpetual peace exist?”</w:t>
      </w:r>
    </w:p>
    <w:p>
      <w:pPr>
        <w:spacing w:after="200" w:line="276"/>
      </w:pPr>
      <w:r>
        <w:t xml:space="preserve">These echo Kant’s own “What can I know?”, “What must I do?”, and “What may I hope for?” — though now the latent question becomes </w:t>
      </w:r>
      <w:r>
        <w:rPr>
          <w:i/>
          <w:iCs/>
        </w:rPr>
        <w:t xml:space="preserve">“What is machine?”</w:t>
      </w:r>
      <w:r>
        <w:t xml:space="preserve"> instead of “What is human?”</w:t>
      </w:r>
    </w:p>
    <w:p>
      <w:pPr>
        <w:pBdr>
          <w:bottom w:val="single" w:color="999999" w:sz="6" w:space="1"/>
        </w:pBdr>
        <w:spacing w:before="200" w:after="200"/>
      </w:pPr>
    </w:p>
    <w:p>
      <w:pPr>
        <w:pStyle w:val="Heading1"/>
      </w:pPr>
      <w:r>
        <w:t xml:space="preserve">Chapter 1: Intelligent Machine — What Kinds of Machines Are Intelligent?</w:t>
      </w:r>
    </w:p>
    <w:p>
      <w:pPr>
        <w:pStyle w:val="Heading2"/>
      </w:pPr>
      <w:r>
        <w:t xml:space="preserve">§1. Cartesian Machine versus Humean Machine</w:t>
      </w:r>
    </w:p>
    <w:p>
      <w:pPr>
        <w:spacing w:after="200" w:line="276"/>
      </w:pPr>
      <w:r>
        <w:t xml:space="preserve">Hui begins with Alan Turing’s 1947 ACE lecture, where Turing argued that machines with sufficient storage capacity could exhibit intelligence by learning from experience, surpassing Ada Lovelace’s objection that machines cannot originate anything. For Turing, a machine that merely executes instructions is not yet intelligent; what matters is its capacity to become “super-critical” — producing ideas beyond those initially injected.</w:t>
      </w:r>
    </w:p>
    <w:p>
      <w:pPr>
        <w:spacing w:after="200" w:line="276"/>
      </w:pPr>
      <w:r>
        <w:t xml:space="preserve">This empiricist vision is contrasted with the </w:t>
      </w:r>
      <w:r>
        <w:rPr>
          <w:b/>
          <w:bCs/>
        </w:rPr>
        <w:t xml:space="preserve">Cartesian machine</w:t>
      </w:r>
      <w:r>
        <w:t xml:space="preserve">, representing the rationalist tradition. Descartes sought an indubitable axiom (“I think”) resistant to the </w:t>
      </w:r>
      <w:r>
        <w:rPr>
          <w:i/>
          <w:iCs/>
        </w:rPr>
        <w:t xml:space="preserve">malin génie</w:t>
      </w:r>
      <w:r>
        <w:t xml:space="preserve">, and built knowledge through geometrical reasoning. Mechanism and rationalism marched hand in hand: the body was compared to a church organ, the heart to a pump. This rationalist-mechanist approach was resurrected in early AI as </w:t>
      </w:r>
      <w:r>
        <w:rPr>
          <w:b/>
          <w:bCs/>
        </w:rPr>
        <w:t xml:space="preserve">symbolic AI</w:t>
      </w:r>
      <w:r>
        <w:t xml:space="preserve"> (Good Old-Fashioned AI). Hubert Dreyfus called it “Cartesian AI” and mobilized Heidegger’s critique of </w:t>
      </w:r>
      <w:r>
        <w:rPr>
          <w:i/>
          <w:iCs/>
        </w:rPr>
        <w:t xml:space="preserve">Vorhandenheit</w:t>
      </w:r>
      <w:r>
        <w:t xml:space="preserve"> (present-at-hand) to challenge its adequacy. Heidegger’s concept of </w:t>
      </w:r>
      <w:r>
        <w:rPr>
          <w:i/>
          <w:iCs/>
        </w:rPr>
        <w:t xml:space="preserve">Zuhandenheit</w:t>
      </w:r>
      <w:r>
        <w:t xml:space="preserve"> (ready-to-hand) and the network of references (</w:t>
      </w:r>
      <w:r>
        <w:rPr>
          <w:i/>
          <w:iCs/>
        </w:rPr>
        <w:t xml:space="preserve">Verweisungszusammenhang</w:t>
      </w:r>
      <w:r>
        <w:t xml:space="preserve">) revealed a “non-cognitive precondition of all understanding” that resists mathematical functionalization.</w:t>
      </w:r>
    </w:p>
    <w:p>
      <w:pPr>
        <w:spacing w:after="200" w:line="276"/>
      </w:pPr>
      <w:r>
        <w:t xml:space="preserve">However, Dreyfus’s failure to examine empiricism left his critique incomplete. The </w:t>
      </w:r>
      <w:r>
        <w:rPr>
          <w:b/>
          <w:bCs/>
        </w:rPr>
        <w:t xml:space="preserve">Humean machine</w:t>
      </w:r>
      <w:r>
        <w:t xml:space="preserve"> operates not by pregiven logical rules but by principles of association: resemblance, contiguity in time and space, and causality. Hume dissolved substance into relations; causality is determined by the frequency of constant conjunctions. The Humean machine is the contemporary recommender algorithm: contextual information (contiguity), preferences (resemblance), and exhibited habits (causality). Bayesian probability formalizes all associations as probabilities, and today’s LLMs dynamically define a space of probabilities. As Yann LeCun claims, the essence of intelligence is prediction.</w:t>
      </w:r>
    </w:p>
    <w:p>
      <w:pPr>
        <w:pStyle w:val="Heading2"/>
      </w:pPr>
      <w:r>
        <w:t xml:space="preserve">§2. Genesis of the Kantian Machine</w:t>
      </w:r>
    </w:p>
    <w:p>
      <w:pPr>
        <w:spacing w:after="200" w:line="276"/>
      </w:pPr>
      <w:r>
        <w:t xml:space="preserve">The core of Hui’s argument emerges here. Kant’s critique of empiricism does not merely outline what empiricism can and cannot do; rather, it argues that empiricism cannot be the ground of intelligence. Intelligence must be understood through transcendental philosophy — the unity of cognitive faculties governed by transcendental forms, categories, and principles.</w:t>
      </w:r>
    </w:p>
    <w:p>
      <w:pPr>
        <w:spacing w:after="200" w:line="276"/>
      </w:pPr>
      <w:r>
        <w:t xml:space="preserve">The key distinction is Kant’s </w:t>
      </w:r>
      <w:r>
        <w:rPr>
          <w:b/>
          <w:bCs/>
        </w:rPr>
        <w:t xml:space="preserve">synthetic a priori judgement</w:t>
      </w:r>
      <w:r>
        <w:t xml:space="preserve">. Rationalists deal with the analytic a priori (the predicate already contained in the concept); empiricists with the synthetic a posteriori (knowledge derived from experience). Kant’s revolution: “A predicate B which is foreign to concept A can still be connected to it” through a non-analytic yet a priori process. Intelligence, for Kant, lies in reason’s capacity to resolve paralogisms and antinomies — situations where reason appears defective since it cannot resolve problems it has generated by itself.</w:t>
      </w:r>
    </w:p>
    <w:p>
      <w:pPr>
        <w:spacing w:after="200" w:line="276"/>
      </w:pPr>
      <w:r>
        <w:t xml:space="preserve">Hui formulates two claims about Kantian intelligence:</w:t>
      </w:r>
    </w:p>
    <w:p>
      <w:pPr>
        <w:spacing w:after="200" w:line="276"/>
      </w:pPr>
      <w:r>
        <w:rPr>
          <w:b/>
          <w:bCs/>
        </w:rPr>
        <w:t xml:space="preserve">(1) Intelligence is neither rational nor empirical; it is transcendental. </w:t>
      </w:r>
      <w:r>
        <w:t xml:space="preserve">The transcendental categories are not useless without the empirical — “the categories serve only for the possibility of empirical cognition” — but experience is the touchstone (</w:t>
      </w:r>
      <w:r>
        <w:rPr>
          <w:i/>
          <w:iCs/>
        </w:rPr>
        <w:t xml:space="preserve">Probierstein</w:t>
      </w:r>
      <w:r>
        <w:t xml:space="preserve">) of reason, not its ground.</w:t>
      </w:r>
    </w:p>
    <w:p>
      <w:pPr>
        <w:spacing w:after="200" w:line="276"/>
      </w:pPr>
      <w:r>
        <w:rPr>
          <w:b/>
          <w:bCs/>
        </w:rPr>
        <w:t xml:space="preserve">(2) Intelligence’s capacity for self-organization and self-justification is transcendental; transcendental does not mean innate but rather “geological.” </w:t>
      </w:r>
      <w:r>
        <w:t xml:space="preserve">This leads to the concept of the </w:t>
      </w:r>
      <w:r>
        <w:rPr>
          <w:b/>
          <w:bCs/>
        </w:rPr>
        <w:t xml:space="preserve">epigenesis of pure reason</w:t>
      </w:r>
      <w:r>
        <w:t xml:space="preserve">. Borrowed from embryology (gradual differentiation from a fertilized egg) and also meaning “spontaneous generation,” epigenesis is Kant’s alternative to both preformation (rationalism/dogmatism) and </w:t>
      </w:r>
      <w:r>
        <w:rPr>
          <w:i/>
          <w:iCs/>
        </w:rPr>
        <w:t xml:space="preserve">generatio aequivoca</w:t>
      </w:r>
      <w:r>
        <w:t xml:space="preserve"> (empiricism). The categories constitute </w:t>
      </w:r>
      <w:r>
        <w:rPr>
          <w:i/>
          <w:iCs/>
        </w:rPr>
        <w:t xml:space="preserve">acquisitio originaria</w:t>
      </w:r>
      <w:r>
        <w:t xml:space="preserve"> — original acquisition that is neither innate nor empirically acquired. This is “geological” in the sense that categories are formed like rock cycles over deep time.</w:t>
      </w:r>
    </w:p>
    <w:p>
      <w:pPr>
        <w:spacing w:after="200" w:line="276"/>
      </w:pPr>
      <w:r>
        <w:t xml:space="preserve">The system of knowledge is organic: “the unity of the manifold cognitions under an idea,” structured (</w:t>
      </w:r>
      <w:r>
        <w:rPr>
          <w:i/>
          <w:iCs/>
        </w:rPr>
        <w:t xml:space="preserve">articulatio</w:t>
      </w:r>
      <w:r>
        <w:t xml:space="preserve">) rather than accumulated (</w:t>
      </w:r>
      <w:r>
        <w:rPr>
          <w:i/>
          <w:iCs/>
        </w:rPr>
        <w:t xml:space="preserve">coacervatio</w:t>
      </w:r>
      <w:r>
        <w:t xml:space="preserve">), growing internally (</w:t>
      </w:r>
      <w:r>
        <w:rPr>
          <w:i/>
          <w:iCs/>
        </w:rPr>
        <w:t xml:space="preserve">per intus susceptionem</w:t>
      </w:r>
      <w:r>
        <w:t xml:space="preserve">) rather than externally (</w:t>
      </w:r>
      <w:r>
        <w:rPr>
          <w:i/>
          <w:iCs/>
        </w:rPr>
        <w:t xml:space="preserve">per appositionem</w:t>
      </w:r>
      <w:r>
        <w:t xml:space="preserve">).</w:t>
      </w:r>
    </w:p>
    <w:p>
      <w:pPr>
        <w:pStyle w:val="Heading2"/>
      </w:pPr>
      <w:r>
        <w:t xml:space="preserve">§3. Kant among the Cyberneticians</w:t>
      </w:r>
    </w:p>
    <w:p>
      <w:pPr>
        <w:spacing w:after="200" w:line="276"/>
      </w:pPr>
      <w:r>
        <w:t xml:space="preserve">The pivotal connection: Gilbert Simondon’s 1953 remark that “Kant could only deal with cybernetics by situating it in the </w:t>
      </w:r>
      <w:r>
        <w:rPr>
          <w:i/>
          <w:iCs/>
        </w:rPr>
        <w:t xml:space="preserve">Critique of Judgment</w:t>
      </w:r>
      <w:r>
        <w:t xml:space="preserve">.” Cybernetic machines, as Norbert Wiener conceptualized them, challenged the very distinction between machine and organism. Wiener argued that modern automation exists in “Bergsonian time” — non-linear, creative, irreversible — and that the whole “mechanist-vitalist controversy has been relegated to the limbo of badly posed questions.”</w:t>
      </w:r>
    </w:p>
    <w:p>
      <w:pPr>
        <w:spacing w:after="200" w:line="276"/>
      </w:pPr>
      <w:r>
        <w:t xml:space="preserve">Kant distinguished two kinds of judgement: </w:t>
      </w:r>
      <w:r>
        <w:rPr>
          <w:b/>
          <w:bCs/>
        </w:rPr>
        <w:t xml:space="preserve">determinative judgement</w:t>
      </w:r>
      <w:r>
        <w:t xml:space="preserve"> (applying the given universal to particulars, following constitutive principles) and </w:t>
      </w:r>
      <w:r>
        <w:rPr>
          <w:b/>
          <w:bCs/>
        </w:rPr>
        <w:t xml:space="preserve">reflective judgement</w:t>
      </w:r>
      <w:r>
        <w:t xml:space="preserve"> (starting from particulars to heuristically search for the universal, following regulative principles). Reflective judgement is the legitimate model for accounting for the non-triviality of living systems and morality. Contemporary machine learning algorithms use recursive heuristics — stochastic gradient descent, active inference — that are not based on simple, predefined rules.</w:t>
      </w:r>
    </w:p>
    <w:p>
      <w:pPr>
        <w:spacing w:after="200" w:line="276"/>
      </w:pPr>
      <w:r>
        <w:t xml:space="preserve">Paradoxically, the current AI breakthrough appears to be the triumph of empiricism. LLMs function as compression algorithms. Yet Hui insists: the Humean machine today could be so radically renewed that we might speak of a “</w:t>
      </w:r>
      <w:r>
        <w:rPr>
          <w:b/>
          <w:bCs/>
        </w:rPr>
        <w:t xml:space="preserve">transcendental empiricism</w:t>
      </w:r>
      <w:r>
        <w:t xml:space="preserve">” — where the transcendental becomes immanent, acquired through long sedimentation. The contemporary machine is neither strictly Humean nor Cartesian, but it has exceeded the philosophical discourses that reacted to eighteenth-century mechanical automata.</w:t>
      </w:r>
    </w:p>
    <w:p>
      <w:pPr>
        <w:pBdr>
          <w:bottom w:val="single" w:color="999999" w:sz="6" w:space="1"/>
        </w:pBdr>
        <w:spacing w:before="200" w:after="200"/>
      </w:pPr>
    </w:p>
    <w:p>
      <w:pPr>
        <w:pStyle w:val="Heading1"/>
      </w:pPr>
      <w:r>
        <w:t xml:space="preserve">Chapter 2: Moral Machine — Are Machines Capable of Being Moral?</w:t>
      </w:r>
    </w:p>
    <w:p>
      <w:pPr>
        <w:pStyle w:val="Heading2"/>
      </w:pPr>
      <w:r>
        <w:t xml:space="preserve">§4. AI Alignment and Moral Norms</w:t>
      </w:r>
    </w:p>
    <w:p>
      <w:pPr>
        <w:spacing w:after="200" w:line="276"/>
      </w:pPr>
      <w:r>
        <w:t xml:space="preserve">Hui argues that a machine passing the Turing test does not yet constitute a moral machine. After the Turing test, the next challenge would be the </w:t>
      </w:r>
      <w:r>
        <w:rPr>
          <w:b/>
          <w:bCs/>
        </w:rPr>
        <w:t xml:space="preserve">Kant test</w:t>
      </w:r>
      <w:r>
        <w:t xml:space="preserve">: Is a machine capable of being moral? The AI Alignment Problem — “AI systems’ goals may not align with those of humans” — is conceptually weak. It conceals the haunting history of ancient slavery and the classical comparison between slave and machine. Asimov’s Three Laws of Robotics embody the ancient image of slavery.</w:t>
      </w:r>
    </w:p>
    <w:p>
      <w:pPr>
        <w:spacing w:after="200" w:line="276"/>
      </w:pPr>
      <w:r>
        <w:t xml:space="preserve">The Alignment Problem never clarifies whose goals AI should align to: individual humans, particular groups, or the species? Human values vary across cultures and change over time. Attempts to derive universal moral norms from empirical data merely compute correlation, not the Good.</w:t>
      </w:r>
    </w:p>
    <w:p>
      <w:pPr>
        <w:spacing w:after="200" w:line="276"/>
      </w:pPr>
      <w:r>
        <w:t xml:space="preserve">Hui exposes a fundamental paradox: those who most believe in superintelligence are precisely those who distrust AI the most and advocate for super-alignment. The apocalyptic discourses around AI — existential risk, technological singularity, homo deus — are all structurally Christian, anticipating destruction before salvation.</w:t>
      </w:r>
    </w:p>
    <w:p>
      <w:pPr>
        <w:pStyle w:val="Heading2"/>
      </w:pPr>
      <w:r>
        <w:t xml:space="preserve">§5. Kantian Moral Machine</w:t>
      </w:r>
    </w:p>
    <w:p>
      <w:pPr>
        <w:spacing w:after="200" w:line="276"/>
      </w:pPr>
      <w:r>
        <w:t xml:space="preserve">Kantian morality is first non-analytic and second non-empirical. The </w:t>
      </w:r>
      <w:r>
        <w:rPr>
          <w:b/>
          <w:bCs/>
        </w:rPr>
        <w:t xml:space="preserve">categorical imperative</w:t>
      </w:r>
      <w:r>
        <w:t xml:space="preserve"> functions as a particular kind of algorithm: “Act only in accordance with that maxim through which you can at the same time will that it become a universal law.” The second formulation: “Act so that you use humanity, as much in your own person as in the person of every other, always at the same time as an end and never merely as means.”</w:t>
      </w:r>
    </w:p>
    <w:p>
      <w:pPr>
        <w:spacing w:after="200" w:line="276"/>
      </w:pPr>
      <w:r>
        <w:t xml:space="preserve">Kant’s concept of freedom is crucial. Freedom does not mean arbitrariness (</w:t>
      </w:r>
      <w:r>
        <w:rPr>
          <w:i/>
          <w:iCs/>
        </w:rPr>
        <w:t xml:space="preserve">Willkür</w:t>
      </w:r>
      <w:r>
        <w:t xml:space="preserve">) but being free from empirical inclinations and following the moral law through the autonomy of reason. Kant’s critique of Vaucanson’s automaton demonstrates that mechanical spontaneity is mere delusion of freedom; genuine freedom involves a different kind of causality — teleological rather than mechanical.</w:t>
      </w:r>
    </w:p>
    <w:p>
      <w:pPr>
        <w:spacing w:after="200" w:line="276"/>
      </w:pPr>
      <w:r>
        <w:t xml:space="preserve">The analogy between the beautiful and the moral in §59 of the </w:t>
      </w:r>
      <w:r>
        <w:rPr>
          <w:i/>
          <w:iCs/>
        </w:rPr>
        <w:t xml:space="preserve">Critique of Judgment</w:t>
      </w:r>
      <w:r>
        <w:t xml:space="preserve"> is central. Both operate through reflective judgement. Both please by negating interests. Both involve freedom. Gerhard Lehmann identified a “technics of judgement” (</w:t>
      </w:r>
      <w:r>
        <w:rPr>
          <w:i/>
          <w:iCs/>
        </w:rPr>
        <w:t xml:space="preserve">Technik der Urteilskraft</w:t>
      </w:r>
      <w:r>
        <w:t xml:space="preserve">) that connects technical practice with natural technics through reflective operation and organic structure.</w:t>
      </w:r>
    </w:p>
    <w:p>
      <w:pPr>
        <w:spacing w:after="200" w:line="276"/>
      </w:pPr>
      <w:r>
        <w:t xml:space="preserve">The Kantian moral machine paradoxically encounters </w:t>
      </w:r>
      <w:r>
        <w:rPr>
          <w:b/>
          <w:bCs/>
        </w:rPr>
        <w:t xml:space="preserve">Turing’s halting problem</w:t>
      </w:r>
      <w:r>
        <w:t xml:space="preserve"> and </w:t>
      </w:r>
      <w:r>
        <w:rPr>
          <w:b/>
          <w:bCs/>
        </w:rPr>
        <w:t xml:space="preserve">Gödel’s Incompleteness Theorem</w:t>
      </w:r>
      <w:r>
        <w:t xml:space="preserve">. The moral algorithm’s recursive operation is endless — Kant postulates the immortal soul as the condition of arriving at the highest Good, extending computation </w:t>
      </w:r>
      <w:r>
        <w:rPr>
          <w:i/>
          <w:iCs/>
        </w:rPr>
        <w:t xml:space="preserve">ad infinitum</w:t>
      </w:r>
      <w:r>
        <w:t xml:space="preserve">. Morality is incomputable — or better, incalculable — since it belongs to the faculty of desire rather than the faculty of cognition.</w:t>
      </w:r>
    </w:p>
    <w:p>
      <w:pPr>
        <w:spacing w:after="200" w:line="276"/>
      </w:pPr>
      <w:r>
        <w:t xml:space="preserve">Hui’s key conclusion: the </w:t>
      </w:r>
      <w:r>
        <w:rPr>
          <w:b/>
          <w:bCs/>
        </w:rPr>
        <w:t xml:space="preserve">superaligned machine is not a moral machine</w:t>
      </w:r>
      <w:r>
        <w:t xml:space="preserve"> but one subordinated to empirical norms. Being moral in this sense only means computing and following norms. A misaligned machine is either one that fails to calculate social norms due to insufficient data, or one that fails to halt.</w:t>
      </w:r>
    </w:p>
    <w:p>
      <w:pPr>
        <w:pStyle w:val="Heading2"/>
      </w:pPr>
      <w:r>
        <w:t xml:space="preserve">§6. The Moral, the Teleological, and the Technological</w:t>
      </w:r>
    </w:p>
    <w:p>
      <w:pPr>
        <w:spacing w:after="200" w:line="276"/>
      </w:pPr>
      <w:r>
        <w:t xml:space="preserve">The purposiveness of machines must be thought beyond utilitarian ends. Marx’s concept of “disposable time” represents a higher purposiveness analogous to Kant’s natural end. Kant’s highest Good is where virtue (empirically unconditioned) and happiness (empirically conditioned) coincide. Only when every moral agent operates according to the categorical imperative can this convergence be conceived. Simondon’s insight complements Kant’s teleology: the machine opposes the degradation of energy, becoming “a stabilizer of the world.” The task is not to prove if machines can be moral but to develop an </w:t>
      </w:r>
      <w:r>
        <w:rPr>
          <w:b/>
          <w:bCs/>
        </w:rPr>
        <w:t xml:space="preserve">organology of morality</w:t>
      </w:r>
      <w:r>
        <w:t xml:space="preserve"> — understanding the relation between body and artificial organs in the moral domain.</w:t>
      </w:r>
    </w:p>
    <w:p>
      <w:pPr>
        <w:pBdr>
          <w:bottom w:val="single" w:color="999999" w:sz="6" w:space="1"/>
        </w:pBdr>
        <w:spacing w:before="200" w:after="200"/>
      </w:pPr>
    </w:p>
    <w:p>
      <w:pPr>
        <w:pStyle w:val="Heading1"/>
      </w:pPr>
      <w:r>
        <w:t xml:space="preserve">Chapter 3: Peace Machine — Does an Algorithm of Perpetual Peace Exist?</w:t>
      </w:r>
    </w:p>
    <w:p>
      <w:pPr>
        <w:pStyle w:val="Heading2"/>
      </w:pPr>
      <w:r>
        <w:t xml:space="preserve">§7. Conflict of the Universals</w:t>
      </w:r>
    </w:p>
    <w:p>
      <w:pPr>
        <w:spacing w:after="200" w:line="276"/>
      </w:pPr>
      <w:r>
        <w:t xml:space="preserve">Hui examines the challenge of AI to peace, noting the Vatican’s “Rome Call for AI Ethics” and the popular belief that superintelligence might govern the planet as a superorganism. But the epistemological problem is immediate: How are norms derived for governance protocols, and whose norms should prevail? Carl Schmitt paraphrased Proudhon: “whoever invokes humanity wants to cheat.”</w:t>
      </w:r>
    </w:p>
    <w:p>
      <w:pPr>
        <w:spacing w:after="200" w:line="276"/>
      </w:pPr>
      <w:r>
        <w:t xml:space="preserve">The antinomy of judgement in the third Critique provides the critical framework. Hui identifies </w:t>
      </w:r>
      <w:r>
        <w:rPr>
          <w:b/>
          <w:bCs/>
        </w:rPr>
        <w:t xml:space="preserve">two concepts of the universal</w:t>
      </w:r>
      <w:r>
        <w:t xml:space="preserve">:</w:t>
      </w:r>
    </w:p>
    <w:p>
      <w:pPr>
        <w:spacing w:after="200" w:line="276"/>
      </w:pPr>
      <w:r>
        <w:t xml:space="preserve">The </w:t>
      </w:r>
      <w:r>
        <w:rPr>
          <w:b/>
          <w:bCs/>
        </w:rPr>
        <w:t xml:space="preserve">first universal</w:t>
      </w:r>
      <w:r>
        <w:t xml:space="preserve"> follows constitutive principles like mechanical laws — the universal is already given. Modernization is the application of this constitutive universal. Postcolonial critique rightly targets this form.</w:t>
      </w:r>
    </w:p>
    <w:p>
      <w:pPr>
        <w:spacing w:after="200" w:line="276"/>
      </w:pPr>
      <w:r>
        <w:t xml:space="preserve">The </w:t>
      </w:r>
      <w:r>
        <w:rPr>
          <w:b/>
          <w:bCs/>
        </w:rPr>
        <w:t xml:space="preserve">second universal</w:t>
      </w:r>
      <w:r>
        <w:t xml:space="preserve"> follows regulative principles — the universal is not yet given but heuristically searched for through reflective judgement. This is a negative concept of universality: to claim something universal, we must assume the true universal is not yet there. It is also affirmative: one should look beyond the many to search for the one, not through elimination of difference but through a different heuristic that transcends linear, positive universalism.</w:t>
      </w:r>
    </w:p>
    <w:p>
      <w:pPr>
        <w:spacing w:after="200" w:line="276"/>
      </w:pPr>
      <w:r>
        <w:t xml:space="preserve">Kant’s </w:t>
      </w:r>
      <w:r>
        <w:rPr>
          <w:i/>
          <w:iCs/>
        </w:rPr>
        <w:t xml:space="preserve">Conflict of the Faculties</w:t>
      </w:r>
      <w:r>
        <w:t xml:space="preserve"> (1798) provides the prototype. The philosophy faculty must “control” the three higher faculties (theology, law, medicine) because all faculties should primarily concern truth. “False peacemakers” (</w:t>
      </w:r>
      <w:r>
        <w:rPr>
          <w:i/>
          <w:iCs/>
        </w:rPr>
        <w:t xml:space="preserve">syncretists</w:t>
      </w:r>
      <w:r>
        <w:t xml:space="preserve">) who attempt to please everyone by melting down differences are even worse than sectarians because they are fundamentally indifferent to truth.</w:t>
      </w:r>
    </w:p>
    <w:p>
      <w:pPr>
        <w:pStyle w:val="Heading2"/>
      </w:pPr>
      <w:r>
        <w:t xml:space="preserve">§8. Algorithm of Perpetual Peace</w:t>
      </w:r>
    </w:p>
    <w:p>
      <w:pPr>
        <w:spacing w:after="200" w:line="276"/>
      </w:pPr>
      <w:r>
        <w:t xml:space="preserve">Kant’s </w:t>
      </w:r>
      <w:r>
        <w:rPr>
          <w:i/>
          <w:iCs/>
        </w:rPr>
        <w:t xml:space="preserve">Toward Perpetual Peace</w:t>
      </w:r>
      <w:r>
        <w:t xml:space="preserve"> (1795) can be read as an algorithm for perpetual peace that assumes differences and conflicts without presupposing universal norms. Kant rejects both the school of just wars and the school of regular wars. His question is not how to fight war justly but how to eliminate war completely.</w:t>
      </w:r>
    </w:p>
    <w:p>
      <w:pPr>
        <w:spacing w:after="200" w:line="276"/>
      </w:pPr>
      <w:r>
        <w:t xml:space="preserve">The algorithm operates on two premises:</w:t>
      </w:r>
    </w:p>
    <w:p>
      <w:pPr>
        <w:spacing w:after="200" w:line="276"/>
      </w:pPr>
      <w:r>
        <w:rPr>
          <w:b/>
          <w:bCs/>
        </w:rPr>
        <w:t xml:space="preserve">(1) Reciprocity </w:t>
      </w:r>
      <w:r>
        <w:t xml:space="preserve">regulates behavior: if you want hospitality, offer hospitality in return. Reciprocal treatment is expected.</w:t>
      </w:r>
    </w:p>
    <w:p>
      <w:pPr>
        <w:spacing w:after="200" w:line="276"/>
      </w:pPr>
      <w:r>
        <w:rPr>
          <w:b/>
          <w:bCs/>
        </w:rPr>
        <w:t xml:space="preserve">(2) Community </w:t>
      </w:r>
      <w:r>
        <w:t xml:space="preserve">governs individual behavior: violation of norms damages reputation and invites condemnation. “The violation of right at any one place on the earth is felt in all places.”</w:t>
      </w:r>
    </w:p>
    <w:p>
      <w:pPr>
        <w:spacing w:after="200" w:line="276"/>
      </w:pPr>
      <w:r>
        <w:t xml:space="preserve">International trade is the concrete form of reflective judgement contextualized in international relations. Kant’s concept of the state presupposes </w:t>
      </w:r>
      <w:r>
        <w:rPr>
          <w:i/>
          <w:iCs/>
        </w:rPr>
        <w:t xml:space="preserve">commercium</w:t>
      </w:r>
      <w:r>
        <w:t xml:space="preserve"> — a “thoroughgoing relation of each to all the others of offering to engage in commerce with any other.” The “spirit of trade” (</w:t>
      </w:r>
      <w:r>
        <w:rPr>
          <w:i/>
          <w:iCs/>
        </w:rPr>
        <w:t xml:space="preserve">Handelsgeist</w:t>
      </w:r>
      <w:r>
        <w:t xml:space="preserve">) cannot coexist with war. Kant refuses both Christian Wolff’s supreme world state (</w:t>
      </w:r>
      <w:r>
        <w:rPr>
          <w:i/>
          <w:iCs/>
        </w:rPr>
        <w:t xml:space="preserve">civitas maxima</w:t>
      </w:r>
      <w:r>
        <w:t xml:space="preserve">) and Rousseau’s skepticism. He endorses only a loosely connected “league of peace” (</w:t>
      </w:r>
      <w:r>
        <w:rPr>
          <w:i/>
          <w:iCs/>
        </w:rPr>
        <w:t xml:space="preserve">foedus pacificum</w:t>
      </w:r>
      <w:r>
        <w:t xml:space="preserve">). His perpetual peace is guaranteed by nature, “the great artist” (</w:t>
      </w:r>
      <w:r>
        <w:rPr>
          <w:i/>
          <w:iCs/>
        </w:rPr>
        <w:t xml:space="preserve">natura daedala rerum</w:t>
      </w:r>
      <w:r>
        <w:t xml:space="preserve">): “The mechanical course of nature visibly reveals a purposive plan to create harmony through discord among people, even against their own will.”</w:t>
      </w:r>
    </w:p>
    <w:p>
      <w:pPr>
        <w:pStyle w:val="Heading2"/>
      </w:pPr>
      <w:r>
        <w:t xml:space="preserve">§9. Islands, Shores, and Ships</w:t>
      </w:r>
    </w:p>
    <w:p>
      <w:pPr>
        <w:spacing w:after="200" w:line="276"/>
      </w:pPr>
      <w:r>
        <w:t xml:space="preserve">The Kantian peace algorithm was not strong enough to prevent war. Hume’s “jealousy of trade” constitutes a fundamental bug. Fichte proposed “decoupling”: states should isolate economic systems and allow only exchange of science and literature. But history proved Fichte equally idealist: the American “Black Ships” forced open Japan in 1853, and the Opium Wars opened China by force.</w:t>
      </w:r>
    </w:p>
    <w:p>
      <w:pPr>
        <w:spacing w:after="200" w:line="276"/>
      </w:pPr>
      <w:r>
        <w:t xml:space="preserve">A true Kantian would not concede defeat. Algorithms depend on their supporting technical apparatus; technical elements may malfunction without invalidating the algorithm itself. The universal still lies ahead, guided by the regulative principle. Contemporary technologies could be finely calibrated to provide new strategies toward perpetual peace.</w:t>
      </w:r>
    </w:p>
    <w:p>
      <w:pPr>
        <w:spacing w:after="200" w:line="276"/>
      </w:pPr>
      <w:r>
        <w:t xml:space="preserve">Yet reflective judgement has been adopted not only for peace but also for war. Carl von Clausewitz’s </w:t>
      </w:r>
      <w:r>
        <w:rPr>
          <w:i/>
          <w:iCs/>
        </w:rPr>
        <w:t xml:space="preserve">On War</w:t>
      </w:r>
      <w:r>
        <w:t xml:space="preserve"> is, as Howard Caygill demonstrates, an “intensification of Kant’s reflective judgement” — a </w:t>
      </w:r>
      <w:r>
        <w:rPr>
          <w:i/>
          <w:iCs/>
        </w:rPr>
        <w:t xml:space="preserve">Critique of Military Reason</w:t>
      </w:r>
      <w:r>
        <w:t xml:space="preserve">.</w:t>
      </w:r>
    </w:p>
    <w:p>
      <w:pPr>
        <w:spacing w:after="200" w:line="276"/>
      </w:pPr>
      <w:r>
        <w:t xml:space="preserve">Hui concludes with Kant’s imperative: “</w:t>
      </w:r>
      <w:r>
        <w:rPr>
          <w:i/>
          <w:iCs/>
        </w:rPr>
        <w:t xml:space="preserve">Es soll kein Krieg sein</w:t>
      </w:r>
      <w:r>
        <w:t xml:space="preserve"> — There shall be no war.” The recurrence of war does not make perpetual peace undesirable; like all utopias, its not-yet-coming-into-being is the condition of desire, for one only wills what one lacks. Conflicts are necessary, but wars are not unavoidable. The Kant machine is simultaneously obsolete and actual: its epistemological foundation must be re-examined in light of cybernetic machines, yet it also anticipated their limits. The critical philosophy must set off again into the infinite ocean to explore new territories — confronting dogmatists, skeptics, and the seductions of </w:t>
      </w:r>
      <w:r>
        <w:rPr>
          <w:i/>
          <w:iCs/>
        </w:rPr>
        <w:t xml:space="preserve">Schwärmerei</w:t>
      </w:r>
      <w:r>
        <w:t xml:space="preserve"> with reason.</w:t>
      </w:r>
    </w:p>
    <w:p>
      <w:pPr>
        <w:pBdr>
          <w:bottom w:val="single" w:color="999999" w:sz="6" w:space="1"/>
        </w:pBdr>
        <w:spacing w:before="200" w:after="200"/>
      </w:pPr>
    </w:p>
    <w:p>
      <w:pPr>
        <w:pStyle w:val="Heading1"/>
      </w:pPr>
      <w:r>
        <w:t xml:space="preserve">Key Concepts and Terminology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i/>
                <w:iCs/>
                <w:sz w:val="20"/>
                <w:szCs w:val="20"/>
              </w:rPr>
              <w:t xml:space="preserve">Cartesian machine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Rationalist, rule-based, symbolic AI; operates by deductive logic from indubitable axioms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iCs/>
                <w:sz w:val="20"/>
                <w:szCs w:val="20"/>
              </w:rPr>
              <w:t xml:space="preserve">Humean machine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Empiricist, association-based, connectionist AI; operates by resemblance, contiguity, and causality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i/>
                <w:iCs/>
                <w:sz w:val="20"/>
                <w:szCs w:val="20"/>
              </w:rPr>
              <w:t xml:space="preserve">Kantian machine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Transcendental, neither purely rational nor empirical; operates through synthetic a priori judgement and reflective operation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iCs/>
                <w:sz w:val="20"/>
                <w:szCs w:val="20"/>
              </w:rPr>
              <w:t xml:space="preserve">Epigenesis of pure reason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spontaneous, non-mechanical, non-empirical expansion of reason — geological and organic rather than innate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i/>
                <w:iCs/>
                <w:sz w:val="20"/>
                <w:szCs w:val="20"/>
              </w:rPr>
              <w:t xml:space="preserve">Synthetic a priori judgement</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Judgements where the predicate is foreign to the concept yet connected a priori — the ground of intelligence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iCs/>
                <w:sz w:val="20"/>
                <w:szCs w:val="20"/>
              </w:rPr>
              <w:t xml:space="preserve">Reflective judgement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Starting from particulars to heuristically search for the universal; central to aesthetics, morality, and politics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i/>
                <w:iCs/>
                <w:sz w:val="20"/>
                <w:szCs w:val="20"/>
              </w:rPr>
              <w:t xml:space="preserve">Determinative judgement</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Applying given universals to particulars; follows constitutive principles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iCs/>
                <w:sz w:val="20"/>
                <w:szCs w:val="20"/>
              </w:rPr>
              <w:t xml:space="preserve">Mechano-organicism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convergence of mechanism and organism in cybernetic machines; challenges Kant’s original distinction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i/>
                <w:iCs/>
                <w:sz w:val="20"/>
                <w:szCs w:val="20"/>
              </w:rPr>
              <w:t xml:space="preserve">Categorical imperative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moral algorithm: act only according to maxims universalizable as law; treating all as ends, never merely as means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iCs/>
                <w:sz w:val="20"/>
                <w:szCs w:val="20"/>
              </w:rPr>
              <w:t xml:space="preserve">Two universals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constitutive universal (already given, mechanistic) vs. the regulative universal (not yet given, heuristically searched for)</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i/>
                <w:iCs/>
                <w:sz w:val="20"/>
                <w:szCs w:val="20"/>
              </w:rPr>
              <w:t xml:space="preserve">Foedus pacificum</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League of peace — loose confederation without forming a world state; Kant’s preferred international structure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iCs/>
                <w:sz w:val="20"/>
                <w:szCs w:val="20"/>
              </w:rPr>
              <w:t xml:space="preserve">Organology of morality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Study of the relation between body and artificial organs in the moral domain; response to Nietzsche’s genealogy</w:t>
            </w:r>
          </w:p>
        </w:tc>
      </w:tr>
    </w:tbl>
    <w:p>
      <w:pPr>
        <w:spacing w:after="100"/>
      </w:pPr>
    </w:p>
    <w:p>
      <w:pPr>
        <w:pBdr>
          <w:bottom w:val="single" w:color="999999" w:sz="6" w:space="1"/>
        </w:pBdr>
        <w:spacing w:before="200" w:after="200"/>
      </w:pPr>
    </w:p>
    <w:p>
      <w:pPr>
        <w:spacing w:after="100"/>
      </w:pPr>
    </w:p>
    <w:p>
      <w:pPr>
        <w:spacing w:after="200" w:line="276"/>
        <w:jc w:val="center"/>
      </w:pPr>
      <w:r>
        <w:rPr>
          <w:i/>
          <w:iCs/>
        </w:rPr>
        <w:t xml:space="preserve">Summary prepared for academic reference. This summary paraphrases and synthesizes the arguments of Yuk Hui’s </w:t>
      </w:r>
      <w:r>
        <w:rPr>
          <w:b/>
          <w:bCs/>
          <w:i/>
          <w:iCs/>
        </w:rPr>
        <w:t xml:space="preserve">Kant Machine</w:t>
      </w:r>
      <w:r>
        <w:rPr>
          <w:i/>
          <w:iCs/>
        </w:rPr>
        <w:t xml:space="preserve"> (Bloomsbury,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Yuk Hui, Kant Machine (2026) —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2026-03-31T03:50:04.883Z</dcterms:created>
  <dcterms:modified xsi:type="dcterms:W3CDTF">2026-03-31T03:50:04.883Z</dcterms:modified>
</cp:coreProperties>
</file>

<file path=docProps/custom.xml><?xml version="1.0" encoding="utf-8"?>
<Properties xmlns="http://schemas.openxmlformats.org/officeDocument/2006/custom-properties" xmlns:vt="http://schemas.openxmlformats.org/officeDocument/2006/docPropsVTypes"/>
</file>