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Bitácora de grupo</w:t>
      </w:r>
    </w:p>
    <w:p>
      <w:r>
        <w:rPr>
          <w:b/>
          <w:color w:val="4F46E5"/>
        </w:rPr>
        <w:t>Laboratorio de Cocreación · Una política pública, dos gobiernos</w:t>
      </w:r>
    </w:p>
    <w:p>
      <w:r>
        <w:t>Elijan una política pública de la red y descríbanla en los dos gobiernos (2018–2022 y 2022–2026), con el informe de empalme y con información complementaria (Sinergia, el Plan Nacional de Desarrollo, el capítulo de inversión pública, normas y documentos CONPES).</w:t>
      </w:r>
    </w:p>
    <w:p>
      <w:r>
        <w:rPr>
          <w:b/>
        </w:rPr>
        <w:t xml:space="preserve">Regla: si la fuente no lo dice, escriban «Sin dato». </w:t>
      </w:r>
      <w:r>
        <w:t>Pueden aclarar el porqué: «Sin dato: el balance no lo desagrega». Un hueco de información es un hallazgo: se anota, no se rellena con supuestos. No cambien los títulos de las tablas ni de las filas, ni combinen celdas: con ellos el equipo lee la bitácora y la integra al mapa.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510" w:hRule="atLeast"/>
        </w:trPr>
        <w:tc>
          <w:tcPr>
            <w:tcW w:type="dxa" w:w="2835"/>
            <w:shd w:val="clear" w:color="auto" w:fill="F5F5F3"/>
          </w:tcPr>
          <w:p>
            <w:r>
              <w:rPr>
                <w:b/>
                <w:i w:val="0"/>
              </w:rPr>
              <w:t>Grupo</w:t>
            </w:r>
          </w:p>
          <w:p>
            <w:r>
              <w:rPr>
                <w:i/>
                <w:color w:val="5D6371"/>
                <w:sz w:val="17"/>
              </w:rPr>
              <w:t>Nombre o número del grupo</w:t>
            </w:r>
          </w:p>
        </w:tc>
        <w:tc>
          <w:tcPr>
            <w:tcW w:type="dxa" w:w="7143"/>
          </w:tcPr>
          <w:p>
            <w:r>
              <w:t>Ejemplo del equipo</w:t>
            </w:r>
          </w:p>
        </w:tc>
      </w:tr>
      <w:tr>
        <w:trPr>
          <w:trHeight w:val="510" w:hRule="atLeast"/>
        </w:trPr>
        <w:tc>
          <w:tcPr>
            <w:tcW w:type="dxa" w:w="2835"/>
            <w:shd w:val="clear" w:color="auto" w:fill="F5F5F3"/>
          </w:tcPr>
          <w:p>
            <w:r>
              <w:rPr>
                <w:b/>
                <w:i w:val="0"/>
              </w:rPr>
              <w:t>Integrantes</w:t>
            </w:r>
          </w:p>
          <w:p>
            <w:r>
              <w:rPr>
                <w:i/>
                <w:color w:val="5D6371"/>
                <w:sz w:val="17"/>
              </w:rPr>
              <w:t>Separados por coma</w:t>
            </w:r>
          </w:p>
        </w:tc>
        <w:tc>
          <w:tcPr>
            <w:tcW w:type="dxa" w:w="7143"/>
          </w:tcPr>
          <w:p>
            <w:r>
              <w:t>Equipo del laboratorio</w:t>
            </w:r>
          </w:p>
        </w:tc>
      </w:tr>
      <w:tr>
        <w:trPr>
          <w:trHeight w:val="510" w:hRule="atLeast"/>
        </w:trPr>
        <w:tc>
          <w:tcPr>
            <w:tcW w:type="dxa" w:w="2835"/>
            <w:shd w:val="clear" w:color="auto" w:fill="F5F5F3"/>
          </w:tcPr>
          <w:p>
            <w:r>
              <w:rPr>
                <w:b/>
                <w:i w:val="0"/>
              </w:rPr>
              <w:t>Política pública (área)</w:t>
            </w:r>
          </w:p>
          <w:p>
            <w:r>
              <w:rPr>
                <w:i/>
                <w:color w:val="5D6371"/>
                <w:sz w:val="17"/>
              </w:rPr>
              <w:t>Como aparece en la red, p. ej. «Bioeconomía»</w:t>
            </w:r>
          </w:p>
        </w:tc>
        <w:tc>
          <w:tcPr>
            <w:tcW w:type="dxa" w:w="7143"/>
          </w:tcPr>
          <w:p>
            <w:r>
              <w:t>Ciencia, Tecnología e Innovación (sector completo)</w:t>
            </w:r>
          </w:p>
        </w:tc>
      </w:tr>
      <w:tr>
        <w:trPr>
          <w:trHeight w:val="510" w:hRule="atLeast"/>
        </w:trPr>
        <w:tc>
          <w:tcPr>
            <w:tcW w:type="dxa" w:w="2835"/>
            <w:shd w:val="clear" w:color="auto" w:fill="F5F5F3"/>
          </w:tcPr>
          <w:p>
            <w:r>
              <w:rPr>
                <w:b/>
                <w:i w:val="0"/>
              </w:rPr>
              <w:t>Fecha</w:t>
            </w:r>
          </w:p>
        </w:tc>
        <w:tc>
          <w:tcPr>
            <w:tcW w:type="dxa" w:w="7143"/>
          </w:tcPr>
          <w:p>
            <w:r>
              <w:t>Ejemplo</w:t>
            </w:r>
          </w:p>
        </w:tc>
      </w:tr>
    </w:tbl>
    <w:p>
      <w:pPr>
        <w:pStyle w:val="Heading1"/>
        <w:keepNext/>
        <w:spacing w:before="320"/>
      </w:pPr>
      <w:r>
        <w:rPr>
          <w:color w:val="23262E"/>
          <w:sz w:val="28"/>
        </w:rPr>
        <w:t>1. Ubicación y avance</w:t>
      </w:r>
    </w:p>
    <w:p>
      <w:pPr>
        <w:keepNext/>
        <w:spacing w:after="120"/>
      </w:pPr>
      <w:r>
        <w:rPr>
          <w:i/>
          <w:color w:val="5D6371"/>
        </w:rPr>
        <w:t>Dónde está la política en el informe de cada gobierno y qué avance reporta.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2494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Ubicación y avance</w:t>
            </w:r>
          </w:p>
        </w:tc>
        <w:tc>
          <w:tcPr>
            <w:tcW w:type="dxa" w:w="3742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2018–2022 (Duque)</w:t>
            </w:r>
          </w:p>
        </w:tc>
        <w:tc>
          <w:tcPr>
            <w:tcW w:type="dxa" w:w="3742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2022–2026 (Petro)</w:t>
            </w:r>
          </w:p>
        </w:tc>
      </w:tr>
      <w:tr>
        <w:trPr>
          <w:cantSplit/>
          <w:trHeight w:val="1247" w:hRule="atLeast"/>
        </w:trPr>
        <w:tc>
          <w:tcPr>
            <w:tcW w:type="dxa" w:w="2494"/>
            <w:shd w:val="clear" w:color="auto" w:fill="F5F5F3"/>
          </w:tcPr>
          <w:p>
            <w:r>
              <w:rPr>
                <w:b/>
                <w:i w:val="0"/>
              </w:rPr>
              <w:t>Ubicación en el documento</w:t>
            </w:r>
          </w:p>
          <w:p>
            <w:r>
              <w:rPr>
                <w:i/>
                <w:color w:val="5D6371"/>
                <w:sz w:val="17"/>
              </w:rPr>
              <w:t>Pacto, transformación o sección del informe</w:t>
            </w:r>
          </w:p>
        </w:tc>
        <w:tc>
          <w:tcPr>
            <w:tcW w:type="dxa" w:w="3742"/>
          </w:tcPr>
          <w:p>
            <w:r>
              <w:t>Pacto Transversal IX — «Un sistema para construir el conocimiento de la Colombia del futuro».</w:t>
            </w:r>
          </w:p>
        </w:tc>
        <w:tc>
          <w:tcPr>
            <w:tcW w:type="dxa" w:w="3742"/>
          </w:tcPr>
          <w:p>
            <w:r>
              <w:t>Transformación 4.2 «CTeI para la transformación territorial» + Transformación 5.7.2 «Programas y proyectos de CTeI para la reducción de brechas».</w:t>
            </w:r>
          </w:p>
        </w:tc>
      </w:tr>
      <w:tr>
        <w:trPr>
          <w:cantSplit/>
          <w:trHeight w:val="1247" w:hRule="atLeast"/>
        </w:trPr>
        <w:tc>
          <w:tcPr>
            <w:tcW w:type="dxa" w:w="2494"/>
            <w:shd w:val="clear" w:color="auto" w:fill="F5F5F3"/>
          </w:tcPr>
          <w:p>
            <w:r>
              <w:rPr>
                <w:b/>
                <w:i w:val="0"/>
              </w:rPr>
              <w:t>Avance reportado</w:t>
            </w:r>
          </w:p>
          <w:p>
            <w:r>
              <w:rPr>
                <w:i/>
                <w:color w:val="5D6371"/>
                <w:sz w:val="17"/>
              </w:rPr>
              <w:t>¿Qué porcentaje o logro reporta?</w:t>
            </w:r>
          </w:p>
        </w:tc>
        <w:tc>
          <w:tcPr>
            <w:tcW w:type="dxa" w:w="3742"/>
          </w:tcPr>
          <w:p>
            <w:r>
              <w:t>94,41 % de cumplimiento en el cuatrienio.</w:t>
            </w:r>
          </w:p>
        </w:tc>
        <w:tc>
          <w:tcPr>
            <w:tcW w:type="dxa" w:w="3742"/>
          </w:tcPr>
          <w:p>
            <w:r>
              <w:t>Sin dato</w:t>
            </w:r>
          </w:p>
        </w:tc>
      </w:tr>
    </w:tbl>
    <w:p/>
    <w:p>
      <w:pPr>
        <w:keepNext/>
        <w:spacing w:after="120"/>
      </w:pPr>
      <w:r>
        <w:rPr>
          <w:i/>
          <w:color w:val="5D6371"/>
        </w:rPr>
        <w:t>Antes de comparar cifras: ¿qué parte de un informe corresponde a qué parte del otro? ¿Miden lo mismo?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blHeader/>
        </w:trPr>
        <w:tc>
          <w:tcPr>
            <w:tcW w:type="dxa" w:w="9978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Hallazgo de comparabilidad (tabla puente)</w:t>
            </w:r>
          </w:p>
        </w:tc>
      </w:tr>
      <w:tr>
        <w:trPr>
          <w:cantSplit/>
          <w:trHeight w:val="1984" w:hRule="atLeast"/>
        </w:trPr>
        <w:tc>
          <w:tcPr>
            <w:tcW w:type="dxa" w:w="9978"/>
          </w:tcPr>
          <w:p>
            <w:r>
              <w:t>En 2018–2022 la CTeI es un pacto transversal con su propio porcentaje de cumplimiento. En 2022–2026 está repartida en dos secciones de dos transformaciones distintas y no tiene indicador único: hace falta la tabla puente antes de comparar números.</w:t>
            </w:r>
          </w:p>
        </w:tc>
      </w:tr>
    </w:tbl>
    <w:p>
      <w:pPr>
        <w:pStyle w:val="Heading1"/>
        <w:keepNext/>
        <w:spacing w:before="320"/>
      </w:pPr>
      <w:r>
        <w:rPr>
          <w:color w:val="23262E"/>
          <w:sz w:val="28"/>
        </w:rPr>
        <w:t>1.1 Instrumentos de política pública</w:t>
      </w:r>
    </w:p>
    <w:p>
      <w:pPr>
        <w:keepNext/>
        <w:spacing w:after="120"/>
      </w:pPr>
      <w:r>
        <w:rPr>
          <w:i/>
          <w:color w:val="5D6371"/>
        </w:rPr>
        <w:t>Con qué actuó el Estado en esta política. Anoten si el instrumento sigue, cambia de uso, se suma o se deja.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2494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Instrumentos</w:t>
            </w:r>
          </w:p>
        </w:tc>
        <w:tc>
          <w:tcPr>
            <w:tcW w:type="dxa" w:w="3742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2018–2022 (Duque)</w:t>
            </w:r>
          </w:p>
        </w:tc>
        <w:tc>
          <w:tcPr>
            <w:tcW w:type="dxa" w:w="3742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2022–2026 (Petro)</w:t>
            </w:r>
          </w:p>
        </w:tc>
      </w:tr>
      <w:tr>
        <w:trPr>
          <w:cantSplit/>
          <w:trHeight w:val="1247" w:hRule="atLeast"/>
        </w:trPr>
        <w:tc>
          <w:tcPr>
            <w:tcW w:type="dxa" w:w="2494"/>
            <w:shd w:val="clear" w:color="auto" w:fill="F5F5F3"/>
          </w:tcPr>
          <w:p>
            <w:r>
              <w:rPr>
                <w:b/>
                <w:i w:val="0"/>
              </w:rPr>
              <w:t>Instrumento principal</w:t>
            </w:r>
          </w:p>
          <w:p>
            <w:r>
              <w:rPr>
                <w:i/>
                <w:color w:val="5D6371"/>
                <w:sz w:val="17"/>
              </w:rPr>
              <w:t>El que más peso o recursos tiene</w:t>
            </w:r>
          </w:p>
        </w:tc>
        <w:tc>
          <w:tcPr>
            <w:tcW w:type="dxa" w:w="3742"/>
          </w:tcPr>
          <w:p>
            <w:r>
              <w:t>Cupo de inversión para deducción y descuento tributario en CTeI (beneficio fiscal a empresas que invierten en I+D).</w:t>
            </w:r>
          </w:p>
        </w:tc>
        <w:tc>
          <w:tcPr>
            <w:tcW w:type="dxa" w:w="3742"/>
          </w:tcPr>
          <w:p>
            <w:r>
              <w:t>Convocatorias de financiación: ColombIA Inteligente, ECONOVA, Ciencias Básicas y del Espacio, Océanos-Clima-Recursos Marino-Costeros, Investigación Fundamental, Fondo de Investigación en Salud (FIS).</w:t>
            </w:r>
          </w:p>
        </w:tc>
      </w:tr>
      <w:tr>
        <w:trPr>
          <w:cantSplit/>
          <w:trHeight w:val="1247" w:hRule="atLeast"/>
        </w:trPr>
        <w:tc>
          <w:tcPr>
            <w:tcW w:type="dxa" w:w="2494"/>
            <w:shd w:val="clear" w:color="auto" w:fill="F5F5F3"/>
          </w:tcPr>
          <w:p>
            <w:r>
              <w:rPr>
                <w:b/>
                <w:i w:val="0"/>
              </w:rPr>
              <w:t>Instrumento de formación de talento</w:t>
            </w:r>
          </w:p>
          <w:p>
            <w:r>
              <w:rPr>
                <w:i/>
                <w:color w:val="5D6371"/>
                <w:sz w:val="17"/>
              </w:rPr>
              <w:t>Becas, formación, vocaciones</w:t>
            </w:r>
          </w:p>
        </w:tc>
        <w:tc>
          <w:tcPr>
            <w:tcW w:type="dxa" w:w="3742"/>
          </w:tcPr>
          <w:p>
            <w:r>
              <w:t>Becas y créditos-beca para estudios doctorales (Colciencias y aliados).</w:t>
            </w:r>
          </w:p>
        </w:tc>
        <w:tc>
          <w:tcPr>
            <w:tcW w:type="dxa" w:w="3742"/>
          </w:tcPr>
          <w:p>
            <w:r>
              <w:t>Programa «Ondas en los Territorios» (formación STEM en NNA) + «Ciencia para la Paz» (jóvenes en municipios PDET).</w:t>
            </w:r>
          </w:p>
        </w:tc>
      </w:tr>
      <w:tr>
        <w:trPr>
          <w:cantSplit/>
          <w:trHeight w:val="1247" w:hRule="atLeast"/>
        </w:trPr>
        <w:tc>
          <w:tcPr>
            <w:tcW w:type="dxa" w:w="2494"/>
            <w:shd w:val="clear" w:color="auto" w:fill="F5F5F3"/>
          </w:tcPr>
          <w:p>
            <w:r>
              <w:rPr>
                <w:b/>
                <w:i w:val="0"/>
              </w:rPr>
              <w:t>Instrumento fiscal o tributario</w:t>
            </w:r>
          </w:p>
          <w:p>
            <w:r>
              <w:rPr>
                <w:i/>
                <w:color w:val="5D6371"/>
                <w:sz w:val="17"/>
              </w:rPr>
              <w:t>Beneficios tributarios, fondos, cupos</w:t>
            </w:r>
          </w:p>
        </w:tc>
        <w:tc>
          <w:tcPr>
            <w:tcW w:type="dxa" w:w="3742"/>
          </w:tcPr>
          <w:p>
            <w:r>
              <w:t>Sí: es el instrumento central reportado.</w:t>
            </w:r>
          </w:p>
        </w:tc>
        <w:tc>
          <w:tcPr>
            <w:tcW w:type="dxa" w:w="3742"/>
          </w:tcPr>
          <w:p>
            <w:r>
              <w:t>Se menciona el fortalecimiento de los beneficios tributarios para I+D, sin cifra propia.</w:t>
            </w:r>
          </w:p>
        </w:tc>
      </w:tr>
    </w:tbl>
    <w:p>
      <w:pPr>
        <w:pStyle w:val="Heading1"/>
        <w:keepNext/>
        <w:spacing w:before="320"/>
      </w:pPr>
      <w:r>
        <w:rPr>
          <w:color w:val="23262E"/>
          <w:sz w:val="28"/>
        </w:rPr>
        <w:t>2–8. Las siete subcategorías, lado a lado</w:t>
      </w:r>
    </w:p>
    <w:p>
      <w:pPr>
        <w:keepNext/>
        <w:spacing w:after="120"/>
      </w:pPr>
      <w:r>
        <w:rPr>
          <w:i/>
          <w:color w:val="5D6371"/>
        </w:rPr>
        <w:t>Lo mismo para los dos gobiernos, fila por fila. Si el informe no lo dice, escriban «Sin dato».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2494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Subcategoría</w:t>
            </w:r>
          </w:p>
        </w:tc>
        <w:tc>
          <w:tcPr>
            <w:tcW w:type="dxa" w:w="3742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2018–2022 (Duque)</w:t>
            </w:r>
          </w:p>
        </w:tc>
        <w:tc>
          <w:tcPr>
            <w:tcW w:type="dxa" w:w="3742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2022–2026 (Petro)</w:t>
            </w:r>
          </w:p>
        </w:tc>
      </w:tr>
      <w:tr>
        <w:trPr>
          <w:cantSplit/>
          <w:trHeight w:val="1247" w:hRule="atLeast"/>
        </w:trPr>
        <w:tc>
          <w:tcPr>
            <w:tcW w:type="dxa" w:w="2494"/>
            <w:shd w:val="clear" w:color="auto" w:fill="F5F5F3"/>
          </w:tcPr>
          <w:p>
            <w:r>
              <w:rPr>
                <w:b/>
                <w:i w:val="0"/>
              </w:rPr>
              <w:t>2. Objetivo</w:t>
            </w:r>
          </w:p>
          <w:p>
            <w:r>
              <w:rPr>
                <w:i/>
                <w:color w:val="5D6371"/>
                <w:sz w:val="17"/>
              </w:rPr>
              <w:t>¿Qué declara cada gobierno que busca?</w:t>
            </w:r>
          </w:p>
        </w:tc>
        <w:tc>
          <w:tcPr>
            <w:tcW w:type="dxa" w:w="3742"/>
          </w:tcPr>
          <w:p>
            <w:r>
              <w:t>Movilizar talento, impulsar empresas de base tecnológica y cerrar brechas sociales vía capacidades productivas regionales.</w:t>
            </w:r>
          </w:p>
        </w:tc>
        <w:tc>
          <w:tcPr>
            <w:tcW w:type="dxa" w:w="3742"/>
          </w:tcPr>
          <w:p>
            <w:r>
              <w:t>Consolidar capacidades científicas, tecnológicas y de innovación para la transformación productiva, con enfoque territorial y de cierre de brechas.</w:t>
            </w:r>
          </w:p>
        </w:tc>
      </w:tr>
      <w:tr>
        <w:trPr>
          <w:cantSplit/>
          <w:trHeight w:val="1247" w:hRule="atLeast"/>
        </w:trPr>
        <w:tc>
          <w:tcPr>
            <w:tcW w:type="dxa" w:w="2494"/>
            <w:shd w:val="clear" w:color="auto" w:fill="F5F5F3"/>
          </w:tcPr>
          <w:p>
            <w:r>
              <w:rPr>
                <w:b/>
                <w:i w:val="0"/>
              </w:rPr>
              <w:t>3. Instituciones</w:t>
            </w:r>
          </w:p>
          <w:p>
            <w:r>
              <w:rPr>
                <w:i/>
                <w:color w:val="5D6371"/>
                <w:sz w:val="17"/>
              </w:rPr>
              <w:t>¿Qué entidades la ejecutan o coordinan?</w:t>
            </w:r>
          </w:p>
        </w:tc>
        <w:tc>
          <w:tcPr>
            <w:tcW w:type="dxa" w:w="3742"/>
          </w:tcPr>
          <w:p>
            <w:r>
              <w:t>Colciencias (y «aliados», sin especificar cuáles).</w:t>
            </w:r>
          </w:p>
        </w:tc>
        <w:tc>
          <w:tcPr>
            <w:tcW w:type="dxa" w:w="3742"/>
          </w:tcPr>
          <w:p>
            <w:r>
              <w:t>MinCiencias, ya como ministerio (creado durante el gobierno anterior).</w:t>
            </w:r>
          </w:p>
        </w:tc>
      </w:tr>
      <w:tr>
        <w:trPr>
          <w:cantSplit/>
          <w:trHeight w:val="1247" w:hRule="atLeast"/>
        </w:trPr>
        <w:tc>
          <w:tcPr>
            <w:tcW w:type="dxa" w:w="2494"/>
            <w:shd w:val="clear" w:color="auto" w:fill="F5F5F3"/>
          </w:tcPr>
          <w:p>
            <w:r>
              <w:rPr>
                <w:b/>
                <w:i w:val="0"/>
              </w:rPr>
              <w:t>4. Población</w:t>
            </w:r>
          </w:p>
          <w:p>
            <w:r>
              <w:rPr>
                <w:i/>
                <w:color w:val="5D6371"/>
                <w:sz w:val="17"/>
              </w:rPr>
              <w:t>¿A quién va dirigida? ¿Enfoque diferencial o territorial?</w:t>
            </w:r>
          </w:p>
        </w:tc>
        <w:tc>
          <w:tcPr>
            <w:tcW w:type="dxa" w:w="3742"/>
          </w:tcPr>
          <w:p>
            <w:r>
              <w:t>Sin dato</w:t>
            </w:r>
          </w:p>
        </w:tc>
        <w:tc>
          <w:tcPr>
            <w:tcW w:type="dxa" w:w="3742"/>
          </w:tcPr>
          <w:p>
            <w:r>
              <w:t>Universidades, centros de investigación, empresas y actores territoriales; enfoque diferencial (jóvenes, mujeres, pueblos indígenas y NARP) y territorios priorizados (Pacífico, Amazonía, Catatumbo, PDET, ZOMAC).</w:t>
            </w:r>
          </w:p>
        </w:tc>
      </w:tr>
      <w:tr>
        <w:trPr>
          <w:cantSplit/>
          <w:trHeight w:val="1247" w:hRule="atLeast"/>
        </w:trPr>
        <w:tc>
          <w:tcPr>
            <w:tcW w:type="dxa" w:w="2494"/>
            <w:shd w:val="clear" w:color="auto" w:fill="F5F5F3"/>
          </w:tcPr>
          <w:p>
            <w:r>
              <w:rPr>
                <w:b/>
                <w:i w:val="0"/>
              </w:rPr>
              <w:t>5. Normativa</w:t>
            </w:r>
          </w:p>
          <w:p>
            <w:r>
              <w:rPr>
                <w:i/>
                <w:color w:val="5D6371"/>
                <w:sz w:val="17"/>
              </w:rPr>
              <w:t>Leyes, decretos o CONPES que la sustentan</w:t>
            </w:r>
          </w:p>
        </w:tc>
        <w:tc>
          <w:tcPr>
            <w:tcW w:type="dxa" w:w="3742"/>
          </w:tcPr>
          <w:p>
            <w:r>
              <w:t>Sin dato</w:t>
            </w:r>
          </w:p>
        </w:tc>
        <w:tc>
          <w:tcPr>
            <w:tcW w:type="dxa" w:w="3742"/>
          </w:tcPr>
          <w:p>
            <w:r>
              <w:t>Sin dato</w:t>
            </w:r>
          </w:p>
        </w:tc>
      </w:tr>
      <w:tr>
        <w:trPr>
          <w:cantSplit/>
          <w:trHeight w:val="1247" w:hRule="atLeast"/>
        </w:trPr>
        <w:tc>
          <w:tcPr>
            <w:tcW w:type="dxa" w:w="2494"/>
            <w:shd w:val="clear" w:color="auto" w:fill="F5F5F3"/>
          </w:tcPr>
          <w:p>
            <w:r>
              <w:rPr>
                <w:b/>
                <w:i w:val="0"/>
              </w:rPr>
              <w:t>6. Recursos</w:t>
            </w:r>
          </w:p>
          <w:p>
            <w:r>
              <w:rPr>
                <w:i/>
                <w:color w:val="5D6371"/>
                <w:sz w:val="17"/>
              </w:rPr>
              <w:t>¿Cuánto dinero y de qué fuente?</w:t>
            </w:r>
          </w:p>
        </w:tc>
        <w:tc>
          <w:tcPr>
            <w:tcW w:type="dxa" w:w="3742"/>
          </w:tcPr>
          <w:p>
            <w:r>
              <w:t>$6,50 billones aprobados en cupo de inversión tributaria (cuatrienio).</w:t>
            </w:r>
          </w:p>
        </w:tc>
        <w:tc>
          <w:tcPr>
            <w:tcW w:type="dxa" w:w="3742"/>
          </w:tcPr>
          <w:p>
            <w:r>
              <w:t>Sin dato</w:t>
            </w:r>
          </w:p>
        </w:tc>
      </w:tr>
      <w:tr>
        <w:trPr>
          <w:cantSplit/>
          <w:trHeight w:val="1247" w:hRule="atLeast"/>
        </w:trPr>
        <w:tc>
          <w:tcPr>
            <w:tcW w:type="dxa" w:w="2494"/>
            <w:shd w:val="clear" w:color="auto" w:fill="F5F5F3"/>
          </w:tcPr>
          <w:p>
            <w:r>
              <w:rPr>
                <w:b/>
                <w:i w:val="0"/>
              </w:rPr>
              <w:t>7. Metas</w:t>
            </w:r>
          </w:p>
          <w:p>
            <w:r>
              <w:rPr>
                <w:i/>
                <w:color w:val="5D6371"/>
                <w:sz w:val="17"/>
              </w:rPr>
              <w:t>¿Qué cifras reporta y contra qué meta del cuatrienio?</w:t>
            </w:r>
          </w:p>
        </w:tc>
        <w:tc>
          <w:tcPr>
            <w:tcW w:type="dxa" w:w="3742"/>
          </w:tcPr>
          <w:p>
            <w:r>
              <w:t>5.706 jóvenes investigadores apoyados; 4.327 candidatos a estudios doctorales financiables; 58.522 artículos científicos publicados (con meta cuatrienio y % de cumplimiento).</w:t>
            </w:r>
          </w:p>
        </w:tc>
        <w:tc>
          <w:tcPr>
            <w:tcW w:type="dxa" w:w="3742"/>
          </w:tcPr>
          <w:p>
            <w:r>
              <w:t>42 proyectos de CTeI en 23 departamentos; 3.126 NNA en Ondas; 262 jóvenes en Ciencia para la Paz (solo cifras de ejecución, sin meta cuatrienio de referencia).</w:t>
            </w:r>
          </w:p>
        </w:tc>
      </w:tr>
      <w:tr>
        <w:trPr>
          <w:cantSplit/>
          <w:trHeight w:val="1247" w:hRule="atLeast"/>
        </w:trPr>
        <w:tc>
          <w:tcPr>
            <w:tcW w:type="dxa" w:w="2494"/>
            <w:shd w:val="clear" w:color="auto" w:fill="F5F5F3"/>
          </w:tcPr>
          <w:p>
            <w:r>
              <w:rPr>
                <w:b/>
                <w:i w:val="0"/>
              </w:rPr>
              <w:t>8. Impacto</w:t>
            </w:r>
          </w:p>
          <w:p>
            <w:r>
              <w:rPr>
                <w:i/>
                <w:color w:val="5D6371"/>
                <w:sz w:val="17"/>
              </w:rPr>
              <w:t>¿Hay evidencia de impacto o solo de gestión y producto?</w:t>
            </w:r>
          </w:p>
        </w:tc>
        <w:tc>
          <w:tcPr>
            <w:tcW w:type="dxa" w:w="3742"/>
          </w:tcPr>
          <w:p>
            <w:r>
              <w:t>Sin dato</w:t>
            </w:r>
          </w:p>
        </w:tc>
        <w:tc>
          <w:tcPr>
            <w:tcW w:type="dxa" w:w="3742"/>
          </w:tcPr>
          <w:p>
            <w:r>
              <w:t>Sin dato</w:t>
            </w:r>
          </w:p>
        </w:tc>
      </w:tr>
    </w:tbl>
    <w:p>
      <w:pPr>
        <w:pStyle w:val="Heading1"/>
        <w:keepNext/>
        <w:spacing w:before="320"/>
      </w:pPr>
      <w:r>
        <w:rPr>
          <w:color w:val="23262E"/>
          <w:sz w:val="28"/>
        </w:rPr>
        <w:t>Fuentes complementarias</w:t>
      </w:r>
    </w:p>
    <w:p>
      <w:pPr>
        <w:keepNext/>
        <w:spacing w:after="120"/>
      </w:pPr>
      <w:r>
        <w:rPr>
          <w:i/>
          <w:color w:val="5D6371"/>
        </w:rPr>
        <w:t>Lo que consultaron más allá del informe de empalme. Agreguen filas si hace falta.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402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Fuente</w:t>
            </w:r>
          </w:p>
        </w:tc>
        <w:tc>
          <w:tcPr>
            <w:tcW w:type="dxa" w:w="3742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Qué aportó</w:t>
            </w:r>
          </w:p>
        </w:tc>
        <w:tc>
          <w:tcPr>
            <w:tcW w:type="dxa" w:w="2835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Página o enlace</w:t>
            </w:r>
          </w:p>
        </w:tc>
      </w:tr>
      <w:tr>
        <w:trPr>
          <w:trHeight w:val="567" w:hRule="atLeast"/>
        </w:trPr>
        <w:tc>
          <w:tcPr>
            <w:tcW w:type="dxa" w:w="3402"/>
          </w:tcPr>
          <w:p>
            <w:r>
              <w:t>Sinergia (DNP)</w:t>
            </w:r>
          </w:p>
        </w:tc>
        <w:tc>
          <w:tcPr>
            <w:tcW w:type="dxa" w:w="3742"/>
          </w:tcPr>
          <w:p>
            <w:r>
              <w:t>Meta del cuatrienio de los indicadores de 2022–2026</w:t>
            </w:r>
          </w:p>
        </w:tc>
        <w:tc>
          <w:tcPr>
            <w:tcW w:type="dxa" w:w="2835"/>
          </w:tcPr>
          <w:p>
            <w:r>
              <w:t>sinergia.dnp.gov.co</w:t>
            </w:r>
          </w:p>
        </w:tc>
      </w:tr>
      <w:tr>
        <w:trPr>
          <w:trHeight w:val="567" w:hRule="atLeast"/>
        </w:trPr>
        <w:tc>
          <w:tcPr>
            <w:tcW w:type="dxa" w:w="3402"/>
          </w:tcPr>
          <w:p>
            <w:r>
              <w:t>Informe de empalme 2022–2026, capítulo 10 «Inversión pública»</w:t>
            </w:r>
          </w:p>
        </w:tc>
        <w:tc>
          <w:tcPr>
            <w:tcW w:type="dxa" w:w="3742"/>
          </w:tcPr>
          <w:p>
            <w:r>
              <w:t>Recursos del sector que no aparecen en la sección de CTeI</w:t>
            </w:r>
          </w:p>
        </w:tc>
        <w:tc>
          <w:tcPr>
            <w:tcW w:type="dxa" w:w="2835"/>
          </w:tcPr>
          <w:p/>
        </w:tc>
      </w:tr>
      <w:tr>
        <w:trPr>
          <w:trHeight w:val="567" w:hRule="atLeast"/>
        </w:trPr>
        <w:tc>
          <w:tcPr>
            <w:tcW w:type="dxa" w:w="3402"/>
          </w:tcPr>
          <w:p/>
        </w:tc>
        <w:tc>
          <w:tcPr>
            <w:tcW w:type="dxa" w:w="3742"/>
          </w:tcPr>
          <w:p/>
        </w:tc>
        <w:tc>
          <w:tcPr>
            <w:tcW w:type="dxa" w:w="2835"/>
          </w:tcPr>
          <w:p/>
        </w:tc>
      </w:tr>
      <w:tr>
        <w:trPr>
          <w:trHeight w:val="567" w:hRule="atLeast"/>
        </w:trPr>
        <w:tc>
          <w:tcPr>
            <w:tcW w:type="dxa" w:w="3402"/>
          </w:tcPr>
          <w:p/>
        </w:tc>
        <w:tc>
          <w:tcPr>
            <w:tcW w:type="dxa" w:w="3742"/>
          </w:tcPr>
          <w:p/>
        </w:tc>
        <w:tc>
          <w:tcPr>
            <w:tcW w:type="dxa" w:w="2835"/>
          </w:tcPr>
          <w:p/>
        </w:tc>
      </w:tr>
      <w:tr>
        <w:trPr>
          <w:trHeight w:val="567" w:hRule="atLeast"/>
        </w:trPr>
        <w:tc>
          <w:tcPr>
            <w:tcW w:type="dxa" w:w="3402"/>
          </w:tcPr>
          <w:p/>
        </w:tc>
        <w:tc>
          <w:tcPr>
            <w:tcW w:type="dxa" w:w="3742"/>
          </w:tcPr>
          <w:p/>
        </w:tc>
        <w:tc>
          <w:tcPr>
            <w:tcW w:type="dxa" w:w="2835"/>
          </w:tcPr>
          <w:p/>
        </w:tc>
      </w:tr>
      <w:tr>
        <w:trPr>
          <w:trHeight w:val="567" w:hRule="atLeast"/>
        </w:trPr>
        <w:tc>
          <w:tcPr>
            <w:tcW w:type="dxa" w:w="3402"/>
          </w:tcPr>
          <w:p/>
        </w:tc>
        <w:tc>
          <w:tcPr>
            <w:tcW w:type="dxa" w:w="3742"/>
          </w:tcPr>
          <w:p/>
        </w:tc>
        <w:tc>
          <w:tcPr>
            <w:tcW w:type="dxa" w:w="2835"/>
          </w:tcPr>
          <w:p/>
        </w:tc>
      </w:tr>
    </w:tbl>
    <w:p>
      <w:pPr>
        <w:pStyle w:val="Heading1"/>
        <w:keepNext/>
        <w:spacing w:before="320"/>
      </w:pPr>
      <w:r>
        <w:rPr>
          <w:color w:val="23262E"/>
          <w:sz w:val="28"/>
        </w:rPr>
        <w:t>Lo que el ejercicio le enseña al taller</w:t>
      </w:r>
    </w:p>
    <w:p>
      <w:pPr>
        <w:keepNext/>
        <w:spacing w:after="120"/>
      </w:pPr>
      <w:r>
        <w:rPr>
          <w:i/>
          <w:color w:val="5D6371"/>
        </w:rPr>
        <w:t>Para el plenario, en pocas líneas. Pistas: ¿el objetivo revela un giro de enfoque? ¿las metas son comparables o hay que homologarlas? ¿hay evidencia de impacto o solo de gestión? ¿qué huecos tiene cada informe?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blHeader/>
        </w:trPr>
        <w:tc>
          <w:tcPr>
            <w:tcW w:type="dxa" w:w="9978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Lo que el ejercicio le enseña al taller</w:t>
            </w:r>
          </w:p>
        </w:tc>
      </w:tr>
      <w:tr>
        <w:trPr>
          <w:cantSplit/>
          <w:trHeight w:val="3402" w:hRule="atLeast"/>
        </w:trPr>
        <w:tc>
          <w:tcPr>
            <w:tcW w:type="dxa" w:w="9978"/>
          </w:tcPr>
          <w:p>
            <w:r>
              <w:t>El objetivo revela un giro de enfoque: mismo sector, filosofía distinta.</w:t>
            </w:r>
          </w:p>
          <w:p>
            <w:r>
              <w:t>Las metas engañan si no se homologan: comparar 5.706 con 3.126 es comparar manzanas con peras; hay que buscar la meta del PND 2022–2026 en Sinergia.</w:t>
            </w:r>
          </w:p>
          <w:p>
            <w:r>
              <w:t>El impacto queda vacío en ambos: solo hay métricas de gestión y producto.</w:t>
            </w:r>
          </w:p>
          <w:p>
            <w:r>
              <w:t>Normativa y recursos faltan de forma distinta en cada informe: esa asimetría se anota, no se rellena con supuestos.</w:t>
            </w:r>
          </w:p>
        </w:tc>
      </w:tr>
    </w:tbl>
    <w:p>
      <w:pPr>
        <w:pStyle w:val="Heading1"/>
        <w:keepNext/>
        <w:spacing w:before="320"/>
      </w:pPr>
      <w:r>
        <w:rPr>
          <w:color w:val="23262E"/>
          <w:sz w:val="28"/>
        </w:rPr>
        <w:t>Hipótesis para la sesión 2</w:t>
      </w:r>
    </w:p>
    <w:p>
      <w:pPr>
        <w:keepNext/>
        <w:spacing w:after="120"/>
      </w:pPr>
      <w:r>
        <w:rPr>
          <w:i/>
          <w:color w:val="5D6371"/>
        </w:rPr>
        <w:t>¿Qué patrón creen que comparten las otras políticas? Se contrasta con el mapa integrado.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blHeader/>
        </w:trPr>
        <w:tc>
          <w:tcPr>
            <w:tcW w:type="dxa" w:w="9978"/>
            <w:shd w:val="clear" w:color="auto" w:fill="ECEAFD"/>
          </w:tcPr>
          <w:p>
            <w:pPr>
              <w:keepNext/>
            </w:pPr>
            <w:r>
              <w:rPr>
                <w:b/>
                <w:i w:val="0"/>
              </w:rPr>
              <w:t>Hipótesis para la sesión 2</w:t>
            </w:r>
          </w:p>
        </w:tc>
      </w:tr>
      <w:tr>
        <w:trPr>
          <w:cantSplit/>
          <w:trHeight w:val="1984" w:hRule="atLeast"/>
        </w:trPr>
        <w:tc>
          <w:tcPr>
            <w:tcW w:type="dxa" w:w="9978"/>
          </w:tcPr>
          <w:p>
            <w:r>
              <w:t>Los instrumentos de tesoro persisten entre gobiernos aunque cambie el objetivo declarado.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371"/>
        <w:sz w:val="16"/>
      </w:rPr>
      <w:t xml:space="preserve">Laboratorio de Cocreación · Bitácora de grupo · v1 · página </w:t>
    </w:r>
    <w:r>
      <w:rPr>
        <w:color w:val="5D6371"/>
        <w:sz w:val="16"/>
      </w:rPr>
      <w:fldChar w:fldCharType="begin"/>
    </w:r>
    <w:r>
      <w:rPr>
        <w:color w:val="5D6371"/>
        <w:sz w:val="16"/>
      </w:rPr>
      <w:instrText xml:space="preserve">PAGE</w:instrText>
    </w:r>
    <w:r>
      <w:rPr>
        <w:color w:val="5D6371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326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