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E1A63"/>
          <w:sz w:val="44"/>
        </w:rPr>
        <w:t>Bitácora de grupo</w:t>
      </w:r>
    </w:p>
    <w:p>
      <w:r>
        <w:rPr>
          <w:color w:val="6941A5"/>
          <w:sz w:val="23"/>
        </w:rPr>
        <w:t>Laboratorio de Cocreación · Una política pública, dos gobiernos</w:t>
      </w:r>
    </w:p>
    <w:p>
      <w:r>
        <w:t>Elijamos una política pública de la red y describámosla en los dos gobiernos (2018–2022 y 2022–2026). Usemos el informe de empalme (el balance que un gobierno le entrega al siguiente) y otras fuentes: Sinergia (el sistema oficial de seguimiento de metas), el Plan Nacional de Desarrollo, las leyes y los documentos CONPES (las políticas que aprueba el consejo de planeación).</w:t>
      </w:r>
    </w:p>
    <w:p>
      <w:r>
        <w:rPr>
          <w:b/>
        </w:rPr>
        <w:t xml:space="preserve">Regla 1: si la fuente no lo dice, escribamos «Sin dato». </w:t>
      </w:r>
      <w:r>
        <w:t>Podemos agregar el porqué: «Sin dato: el balance no lo desagrega». Un vacío es un hallazgo: no lo llenemos con suposiciones.</w:t>
      </w:r>
    </w:p>
    <w:p>
      <w:r>
        <w:rPr>
          <w:b/>
        </w:rPr>
        <w:t xml:space="preserve">Regla 2: no cambiemos los títulos de tablas y filas ni combinemos celdas. </w:t>
      </w:r>
      <w:r>
        <w:t>Así el equipo organizador puede sumar todas las bitácoras a la red.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4986"/>
        <w:gridCol w:w="4986"/>
      </w:tblGrid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Grupo</w:t>
            </w:r>
          </w:p>
          <w:p>
            <w:r>
              <w:rPr>
                <w:i/>
                <w:color w:val="5D6371"/>
                <w:sz w:val="17"/>
              </w:rPr>
              <w:t>Nombre o número</w:t>
            </w:r>
          </w:p>
        </w:tc>
        <w:tc>
          <w:tcPr>
            <w:tcW w:type="dxa" w:w="6576"/>
          </w:tcPr>
          <w:p>
            <w:r>
              <w:t>Ejemplo del equipo</w:t>
            </w:r>
          </w:p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Integrantes</w:t>
            </w:r>
          </w:p>
          <w:p>
            <w:r>
              <w:rPr>
                <w:i/>
                <w:color w:val="5D6371"/>
                <w:sz w:val="17"/>
              </w:rPr>
              <w:t>Nombres, separados por coma</w:t>
            </w:r>
          </w:p>
        </w:tc>
        <w:tc>
          <w:tcPr>
            <w:tcW w:type="dxa" w:w="6576"/>
          </w:tcPr>
          <w:p>
            <w:r>
              <w:t>Equipo del laboratorio</w:t>
            </w:r>
          </w:p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Política pública</w:t>
            </w:r>
          </w:p>
          <w:p>
            <w:r>
              <w:rPr>
                <w:i/>
                <w:color w:val="5D6371"/>
                <w:sz w:val="17"/>
              </w:rPr>
              <w:t>Como aparece en la red</w:t>
            </w:r>
          </w:p>
        </w:tc>
        <w:tc>
          <w:tcPr>
            <w:tcW w:type="dxa" w:w="6576"/>
          </w:tcPr>
          <w:p>
            <w:r>
              <w:t>Ciencia, Tecnología e Innovación (sector completo)</w:t>
            </w:r>
          </w:p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¿Por qué elegimos esta política?</w:t>
            </w:r>
          </w:p>
          <w:p>
            <w:r>
              <w:rPr>
                <w:i/>
                <w:color w:val="5D6371"/>
                <w:sz w:val="17"/>
              </w:rPr>
              <w:t>Una pregunta o una razón concreta</w:t>
            </w:r>
          </w:p>
        </w:tc>
        <w:tc>
          <w:tcPr>
            <w:tcW w:type="dxa" w:w="6576"/>
          </w:tcPr>
          <w:p>
            <w:r>
              <w:t>Es el sector piloto del mapa: sirve de ejemplo para las demás políticas.</w:t>
            </w:r>
          </w:p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¿Qué esperamos encontrar?</w:t>
            </w:r>
          </w:p>
          <w:p>
            <w:r>
              <w:rPr>
                <w:i/>
                <w:color w:val="5D6371"/>
                <w:sz w:val="17"/>
              </w:rPr>
              <w:t>Nuestra hipótesis inicial, antes de comparar</w:t>
            </w:r>
          </w:p>
        </w:tc>
        <w:tc>
          <w:tcPr>
            <w:tcW w:type="dxa" w:w="6576"/>
          </w:tcPr>
          <w:p>
            <w:r>
              <w:t>Un cambio de enfoque entre gobiernos, con instrumentos que se mantienen.</w:t>
            </w:r>
          </w:p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1. Ubicar la política</w:t>
      </w:r>
    </w:p>
    <w:p>
      <w:pPr>
        <w:keepNext/>
        <w:spacing w:after="120"/>
      </w:pPr>
      <w:r>
        <w:rPr>
          <w:i/>
          <w:color w:val="5D6371"/>
        </w:rPr>
        <w:t>Ubiquemos la política en el informe de cada gobierno y veamos cómo reporta su avance. La red puede sugerir dónde está, pero verifiquémoslo en el informe.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Qué mirar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2018–2022 (Duque)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2022–2026 (Petro)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Ubicación</w:t>
            </w:r>
          </w:p>
          <w:p>
            <w:r>
              <w:rPr>
                <w:i/>
                <w:color w:val="5D6371"/>
                <w:sz w:val="17"/>
              </w:rPr>
              <w:t>Sección, capítulo o páginas</w:t>
            </w:r>
          </w:p>
        </w:tc>
        <w:tc>
          <w:tcPr>
            <w:tcW w:type="dxa" w:w="3742"/>
          </w:tcPr>
          <w:p>
            <w:r>
              <w:t>Pacto Transversal IX — «Un sistema para construir el conocimiento de la Colombia del futuro».</w:t>
            </w:r>
          </w:p>
        </w:tc>
        <w:tc>
          <w:tcPr>
            <w:tcW w:type="dxa" w:w="3742"/>
          </w:tcPr>
          <w:p>
            <w:r>
              <w:t>Transformación 4.2 «CTeI para la transformación territorial» + Transformación 5.7.2 «Programas y proyectos de CTeI para la reducción de brechas».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Indicador o forma de reporte</w:t>
            </w:r>
          </w:p>
          <w:p>
            <w:r>
              <w:rPr>
                <w:i/>
                <w:color w:val="5D6371"/>
                <w:sz w:val="17"/>
              </w:rPr>
              <w:t>¿Cómo muestra el avance? ¿Qué mide?</w:t>
            </w:r>
          </w:p>
        </w:tc>
        <w:tc>
          <w:tcPr>
            <w:tcW w:type="dxa" w:w="3742"/>
          </w:tcPr>
          <w:p>
            <w:r>
              <w:t>Porcentaje de cumplimiento del pacto en el cuatrienio.</w:t>
            </w:r>
          </w:p>
        </w:tc>
        <w:tc>
          <w:tcPr>
            <w:tcW w:type="dxa" w:w="3742"/>
          </w:tcPr>
          <w:p>
            <w:r>
              <w:t>No tiene indicador único: cada programa reporta sus cifras de ejecución.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Valor y referencia</w:t>
            </w:r>
          </w:p>
          <w:p>
            <w:r>
              <w:rPr>
                <w:i/>
                <w:color w:val="5D6371"/>
                <w:sz w:val="17"/>
              </w:rPr>
              <w:t>Cifra reportada y su meta, periodo o base de comparación</w:t>
            </w:r>
          </w:p>
        </w:tc>
        <w:tc>
          <w:tcPr>
            <w:tcW w:type="dxa" w:w="3742"/>
          </w:tcPr>
          <w:p>
            <w:r>
              <w:t>94,41 % de cumplimiento en el cuatrienio.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Tabla puente: ¿qué es comparable?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¿Los dos gobiernos miden lo mismo, con la misma unidad, la misma población y la misma meta? ¿Qué no se puede comparar?</w:t>
            </w:r>
          </w:p>
        </w:tc>
      </w:tr>
      <w:tr>
        <w:trPr>
          <w:cantSplit/>
          <w:trHeight w:val="2551" w:hRule="atLeast"/>
        </w:trPr>
        <w:tc>
          <w:tcPr>
            <w:tcW w:type="dxa" w:w="9978"/>
          </w:tcPr>
          <w:p>
            <w:r>
              <w:t>En 2018–2022 la CTeI es un pacto transversal con su propio porcentaje de cumplimiento. En 2022–2026 está repartida en dos secciones de dos transformaciones distintas y no tiene indicador único: hace falta la tabla puente antes de comparar números.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80"/>
      </w:pPr>
      <w:r>
        <w:rPr>
          <w:color w:val="4B2E83"/>
          <w:sz w:val="28"/>
        </w:rPr>
        <w:t>2. Los instrumentos</w:t>
      </w:r>
    </w:p>
    <w:p>
      <w:pPr>
        <w:keepNext/>
        <w:spacing w:after="120"/>
      </w:pPr>
      <w:r>
        <w:rPr>
          <w:i/>
          <w:color w:val="5D6371"/>
        </w:rPr>
        <w:t>Escojamos hasta tres instrumentos de esta política: el medio concreto con que actúa el Estado (un programa, una ley, un fondo, una convocatoria). Describamos cada uno en los dos gobiernos: ¿sigue, cambia de uso, es nuevo o se deja? En la última columna, digamos por qué lo elegimos.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215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Instrumento</w:t>
            </w:r>
          </w:p>
        </w:tc>
        <w:tc>
          <w:tcPr>
            <w:tcW w:type="dxa" w:w="272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2018–2022 (Duque)</w:t>
            </w:r>
          </w:p>
        </w:tc>
        <w:tc>
          <w:tcPr>
            <w:tcW w:type="dxa" w:w="272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2022–2026 (Petro)</w:t>
            </w:r>
          </w:p>
        </w:tc>
        <w:tc>
          <w:tcPr>
            <w:tcW w:type="dxa" w:w="238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Por qué es relevante</w:t>
            </w:r>
          </w:p>
        </w:tc>
      </w:tr>
      <w:tr>
        <w:trPr>
          <w:cantSplit/>
          <w:trHeight w:val="2268" w:hRule="atLeast"/>
        </w:trPr>
        <w:tc>
          <w:tcPr>
            <w:tcW w:type="dxa" w:w="215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Instrumento 1</w:t>
            </w:r>
          </w:p>
          <w:p>
            <w:r>
              <w:rPr>
                <w:i/>
                <w:color w:val="5D6371"/>
                <w:sz w:val="17"/>
              </w:rPr>
              <w:t>Nombre:</w:t>
            </w:r>
          </w:p>
          <w:p>
            <w:r>
              <w:t>Beneficios tributarios para CTeI (cupo de inversión)</w:t>
            </w:r>
          </w:p>
        </w:tc>
        <w:tc>
          <w:tcPr>
            <w:tcW w:type="dxa" w:w="2721"/>
          </w:tcPr>
          <w:p>
            <w:r>
              <w:t>Instrumento central: $6,50 billones aprobados en cupo de deducción y descuento tributario para empresas que invierten en I+D.</w:t>
            </w:r>
          </w:p>
        </w:tc>
        <w:tc>
          <w:tcPr>
            <w:tcW w:type="dxa" w:w="2721"/>
          </w:tcPr>
          <w:p>
            <w:r>
              <w:t>Se menciona el fortalecimiento de los beneficios tributarios para I+D, sin cifra propia.</w:t>
            </w:r>
          </w:p>
        </w:tc>
        <w:tc>
          <w:tcPr>
            <w:tcW w:type="dxa" w:w="2381"/>
          </w:tcPr>
          <w:p>
            <w:r>
              <w:t>Es el instrumento de tesoro con más recursos reportados del sector.</w:t>
            </w:r>
          </w:p>
        </w:tc>
      </w:tr>
      <w:tr>
        <w:trPr>
          <w:cantSplit/>
          <w:trHeight w:val="2268" w:hRule="atLeast"/>
        </w:trPr>
        <w:tc>
          <w:tcPr>
            <w:tcW w:type="dxa" w:w="215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Instrumento 2</w:t>
            </w:r>
          </w:p>
          <w:p>
            <w:r>
              <w:rPr>
                <w:i/>
                <w:color w:val="5D6371"/>
                <w:sz w:val="17"/>
              </w:rPr>
              <w:t>Nombre:</w:t>
            </w:r>
          </w:p>
          <w:p>
            <w:r>
              <w:t>Formación de talento</w:t>
            </w:r>
          </w:p>
        </w:tc>
        <w:tc>
          <w:tcPr>
            <w:tcW w:type="dxa" w:w="2721"/>
          </w:tcPr>
          <w:p>
            <w:r>
              <w:t>Becas y créditos-beca para estudios doctorales (Colciencias y aliados).</w:t>
            </w:r>
          </w:p>
        </w:tc>
        <w:tc>
          <w:tcPr>
            <w:tcW w:type="dxa" w:w="2721"/>
          </w:tcPr>
          <w:p>
            <w:r>
              <w:t>Programa «Ondas en los Territorios» (formación STEM en NNA) + «Ciencia para la Paz» (jóvenes en municipios PDET).</w:t>
            </w:r>
          </w:p>
        </w:tc>
        <w:tc>
          <w:tcPr>
            <w:tcW w:type="dxa" w:w="2381"/>
          </w:tcPr>
          <w:p>
            <w:r>
              <w:t>Muestra un giro: de la formación doctoral a la formación temprana en los territorios.</w:t>
            </w:r>
          </w:p>
        </w:tc>
      </w:tr>
      <w:tr>
        <w:trPr>
          <w:cantSplit/>
          <w:trHeight w:val="2268" w:hRule="atLeast"/>
        </w:trPr>
        <w:tc>
          <w:tcPr>
            <w:tcW w:type="dxa" w:w="215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Instrumento 3</w:t>
            </w:r>
          </w:p>
          <w:p>
            <w:r>
              <w:rPr>
                <w:i/>
                <w:color w:val="5D6371"/>
                <w:sz w:val="17"/>
              </w:rPr>
              <w:t>Nombre:</w:t>
            </w:r>
          </w:p>
          <w:p>
            <w:r>
              <w:t>Convocatorias de financiación</w:t>
            </w:r>
          </w:p>
        </w:tc>
        <w:tc>
          <w:tcPr>
            <w:tcW w:type="dxa" w:w="2721"/>
          </w:tcPr>
          <w:p>
            <w:r>
              <w:t>Sin dato</w:t>
            </w:r>
          </w:p>
        </w:tc>
        <w:tc>
          <w:tcPr>
            <w:tcW w:type="dxa" w:w="2721"/>
          </w:tcPr>
          <w:p>
            <w:r>
              <w:t>Convocatorias de financiación: ColombIA Inteligente, ECONOVA, Ciencias Básicas y del Espacio, Océanos-Clima-Recursos Marino-Costeros, Investigación Fundamental, Fondo de Investigación en Salud (FIS).</w:t>
            </w:r>
          </w:p>
        </w:tc>
        <w:tc>
          <w:tcPr>
            <w:tcW w:type="dxa" w:w="2381"/>
          </w:tcPr>
          <w:p>
            <w:r>
              <w:t>Es el instrumento principal que reporta el gobierno 2022–2026.</w:t>
            </w:r>
          </w:p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3. Co-construyamos la red</w:t>
      </w:r>
    </w:p>
    <w:p>
      <w:pPr>
        <w:keepNext/>
        <w:spacing w:after="120"/>
      </w:pPr>
      <w:r>
        <w:rPr>
          <w:i/>
          <w:color w:val="5D6371"/>
        </w:rPr>
        <w:t>La red es una primera propuesta. Corrijamos, añadamos, conectemos o reclasifiquemos lo que haga falta, y anotemos las dudas. Si hay varios aportes del mismo tipo, agreguemos filas.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204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Tipo de aporte</w:t>
            </w:r>
          </w:p>
        </w:tc>
        <w:tc>
          <w:tcPr>
            <w:tcW w:type="dxa" w:w="249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Elemento o relación</w:t>
            </w:r>
          </w:p>
        </w:tc>
        <w:tc>
          <w:tcPr>
            <w:tcW w:type="dxa" w:w="306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Nuestra propuesta</w:t>
            </w:r>
          </w:p>
        </w:tc>
        <w:tc>
          <w:tcPr>
            <w:tcW w:type="dxa" w:w="238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Evidencia o fuente</w:t>
            </w:r>
          </w:p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Corregir</w:t>
            </w:r>
          </w:p>
          <w:p>
            <w:r>
              <w:rPr>
                <w:i/>
                <w:color w:val="5D6371"/>
                <w:sz w:val="17"/>
              </w:rPr>
              <w:t>Un dato de la red que está mal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Añadir</w:t>
            </w:r>
          </w:p>
          <w:p>
            <w:r>
              <w:rPr>
                <w:i/>
                <w:color w:val="5D6371"/>
                <w:sz w:val="17"/>
              </w:rPr>
              <w:t>Un instrumento o una política que falta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Conectar</w:t>
            </w:r>
          </w:p>
          <w:p>
            <w:r>
              <w:rPr>
                <w:i/>
                <w:color w:val="5D6371"/>
                <w:sz w:val="17"/>
              </w:rPr>
              <w:t>Una relación que falta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Reclasificar</w:t>
            </w:r>
          </w:p>
          <w:p>
            <w:r>
              <w:rPr>
                <w:i/>
                <w:color w:val="5D6371"/>
                <w:sz w:val="17"/>
              </w:rPr>
              <w:t>Le corresponde otro tipo de instrumento o de cambio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Duda</w:t>
            </w:r>
          </w:p>
          <w:p>
            <w:r>
              <w:rPr>
                <w:i/>
                <w:color w:val="5D6371"/>
                <w:sz w:val="17"/>
              </w:rPr>
              <w:t>Algo que hay que revisar</w:t>
            </w:r>
          </w:p>
        </w:tc>
        <w:tc>
          <w:tcPr>
            <w:tcW w:type="dxa" w:w="2494"/>
          </w:tcPr>
          <w:p>
            <w:r>
              <w:t>Modo de cambio de los beneficios tributarios</w:t>
            </w:r>
          </w:p>
        </w:tc>
        <w:tc>
          <w:tcPr>
            <w:tcW w:type="dxa" w:w="3061"/>
          </w:tcPr>
          <w:p>
            <w:r>
              <w:t>Revisar si es continuidad o conversión: en 2022–2026 aparece sin cifra propia.</w:t>
            </w:r>
          </w:p>
        </w:tc>
        <w:tc>
          <w:tcPr>
            <w:tcW w:type="dxa" w:w="2381"/>
          </w:tcPr>
          <w:p>
            <w:r>
              <w:t>Informe de empalme 2022–2026, sección de CTeI</w:t>
            </w:r>
          </w:p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Otro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4. Las siete subcategorías, lado a lado</w:t>
      </w:r>
    </w:p>
    <w:p>
      <w:pPr>
        <w:keepNext/>
        <w:spacing w:after="120"/>
      </w:pPr>
      <w:r>
        <w:rPr>
          <w:i/>
          <w:color w:val="5D6371"/>
        </w:rPr>
        <w:t>Comparemos las siete subcategorías, fila por fila. Si la fuente no lo dice, escribamos «Sin dato».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Subcategoría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2018–2022 (Duque)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2022–2026 (Petro)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4.1 Objetivo</w:t>
            </w:r>
          </w:p>
          <w:p>
            <w:r>
              <w:rPr>
                <w:i/>
                <w:color w:val="5D6371"/>
                <w:sz w:val="17"/>
              </w:rPr>
              <w:t>¿Qué declara que busca?</w:t>
            </w:r>
          </w:p>
        </w:tc>
        <w:tc>
          <w:tcPr>
            <w:tcW w:type="dxa" w:w="3742"/>
          </w:tcPr>
          <w:p>
            <w:r>
              <w:t>Movilizar talento, impulsar empresas de base tecnológica y cerrar brechas sociales vía capacidades productivas regionales.</w:t>
            </w:r>
          </w:p>
        </w:tc>
        <w:tc>
          <w:tcPr>
            <w:tcW w:type="dxa" w:w="3742"/>
          </w:tcPr>
          <w:p>
            <w:r>
              <w:t>Consolidar capacidades científicas, tecnológicas y de innovación para la transformación productiva, con enfoque territorial y de cierre de brechas.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4.2 Instituciones</w:t>
            </w:r>
          </w:p>
          <w:p>
            <w:r>
              <w:rPr>
                <w:i/>
                <w:color w:val="5D6371"/>
                <w:sz w:val="17"/>
              </w:rPr>
              <w:t>¿Quién la ejecuta o la coordina?</w:t>
            </w:r>
          </w:p>
        </w:tc>
        <w:tc>
          <w:tcPr>
            <w:tcW w:type="dxa" w:w="3742"/>
          </w:tcPr>
          <w:p>
            <w:r>
              <w:t>Colciencias (y «aliados», sin especificar cuáles).</w:t>
            </w:r>
          </w:p>
        </w:tc>
        <w:tc>
          <w:tcPr>
            <w:tcW w:type="dxa" w:w="3742"/>
          </w:tcPr>
          <w:p>
            <w:r>
              <w:t>MinCiencias, ya como ministerio (creado durante el gobierno anterior).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4.3 Población</w:t>
            </w:r>
          </w:p>
          <w:p>
            <w:r>
              <w:rPr>
                <w:i/>
                <w:color w:val="5D6371"/>
                <w:sz w:val="17"/>
              </w:rPr>
              <w:t>¿A quién va dirigida? ¿Atiende distinto a ciertos grupos o regiones?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  <w:tc>
          <w:tcPr>
            <w:tcW w:type="dxa" w:w="3742"/>
          </w:tcPr>
          <w:p>
            <w:r>
              <w:t>Universidades, centros de investigación, empresas y actores territoriales; enfoque diferencial (jóvenes, mujeres, pueblos indígenas y NARP) y territorios priorizados (Pacífico, Amazonía, Catatumbo, PDET, ZOMAC).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4.4 Normativa</w:t>
            </w:r>
          </w:p>
          <w:p>
            <w:r>
              <w:rPr>
                <w:i/>
                <w:color w:val="5D6371"/>
                <w:sz w:val="17"/>
              </w:rPr>
              <w:t>¿Qué leyes, decretos o documentos CONPES la sustentan?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4.5 Recursos</w:t>
            </w:r>
          </w:p>
          <w:p>
            <w:r>
              <w:rPr>
                <w:i/>
                <w:color w:val="5D6371"/>
                <w:sz w:val="17"/>
              </w:rPr>
              <w:t>¿Qué recursos reporta y de qué fuente?</w:t>
            </w:r>
          </w:p>
        </w:tc>
        <w:tc>
          <w:tcPr>
            <w:tcW w:type="dxa" w:w="3742"/>
          </w:tcPr>
          <w:p>
            <w:r>
              <w:t>$6,50 billones aprobados en cupo de inversión tributaria (cuatrienio).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4.6 Metas</w:t>
            </w:r>
          </w:p>
          <w:p>
            <w:r>
              <w:rPr>
                <w:i/>
                <w:color w:val="5D6371"/>
                <w:sz w:val="17"/>
              </w:rPr>
              <w:t>¿Qué meta se fijó para el cuatrienio y cuánto cumplió?</w:t>
            </w:r>
          </w:p>
        </w:tc>
        <w:tc>
          <w:tcPr>
            <w:tcW w:type="dxa" w:w="3742"/>
          </w:tcPr>
          <w:p>
            <w:r>
              <w:t>5.706 jóvenes investigadores apoyados; 4.327 candidatos a estudios doctorales financiables; 58.522 artículos científicos publicados (con meta cuatrienio y % de cumplimiento).</w:t>
            </w:r>
          </w:p>
        </w:tc>
        <w:tc>
          <w:tcPr>
            <w:tcW w:type="dxa" w:w="3742"/>
          </w:tcPr>
          <w:p>
            <w:r>
              <w:t>42 proyectos de CTeI en 23 departamentos; 3.126 NNA en Ondas; 262 jóvenes en Ciencia para la Paz (solo cifras de ejecución, sin meta cuatrienio de referencia).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4.7 Impacto</w:t>
            </w:r>
          </w:p>
          <w:p>
            <w:r>
              <w:rPr>
                <w:i/>
                <w:color w:val="5D6371"/>
                <w:sz w:val="17"/>
              </w:rPr>
              <w:t>¿Hay pruebas de que cambió la vida de la gente, o solo de lo que se hizo y se entregó?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  <w:tc>
          <w:tcPr>
            <w:tcW w:type="dxa" w:w="3742"/>
          </w:tcPr>
          <w:p>
            <w:r>
              <w:t>Sin dato</w:t>
            </w:r>
          </w:p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5. Fuentes complementarias</w:t>
      </w:r>
    </w:p>
    <w:p>
      <w:pPr>
        <w:keepNext/>
        <w:spacing w:after="120"/>
      </w:pPr>
      <w:r>
        <w:rPr>
          <w:i/>
          <w:color w:val="5D6371"/>
        </w:rPr>
        <w:t>Anotemos solo las fuentes distintas del informe que usamos para verificar o ampliar la comparación. Si hace falta, agreguemos filas.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40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Fuente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Qué aportó</w:t>
            </w:r>
          </w:p>
        </w:tc>
        <w:tc>
          <w:tcPr>
            <w:tcW w:type="dxa" w:w="2835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Página o enlace</w:t>
            </w:r>
          </w:p>
        </w:tc>
      </w:tr>
      <w:tr>
        <w:trPr>
          <w:trHeight w:val="680" w:hRule="atLeast"/>
        </w:trPr>
        <w:tc>
          <w:tcPr>
            <w:tcW w:type="dxa" w:w="3402"/>
          </w:tcPr>
          <w:p>
            <w:r>
              <w:t>Sinergia (DNP)</w:t>
            </w:r>
          </w:p>
        </w:tc>
        <w:tc>
          <w:tcPr>
            <w:tcW w:type="dxa" w:w="3742"/>
          </w:tcPr>
          <w:p>
            <w:r>
              <w:t>Meta del cuatrienio de los indicadores de 2022–2026</w:t>
            </w:r>
          </w:p>
        </w:tc>
        <w:tc>
          <w:tcPr>
            <w:tcW w:type="dxa" w:w="2835"/>
          </w:tcPr>
          <w:p>
            <w:r>
              <w:t>sinergia.dnp.gov.co</w:t>
            </w:r>
          </w:p>
        </w:tc>
      </w:tr>
      <w:tr>
        <w:trPr>
          <w:trHeight w:val="680" w:hRule="atLeast"/>
        </w:trPr>
        <w:tc>
          <w:tcPr>
            <w:tcW w:type="dxa" w:w="3402"/>
            <w:shd w:val="clear" w:color="auto" w:fill="F7F4FB"/>
          </w:tcPr>
          <w:p>
            <w:r>
              <w:t>Informe de empalme 2022–2026, capítulo 10 «Inversión pública»</w:t>
            </w:r>
          </w:p>
        </w:tc>
        <w:tc>
          <w:tcPr>
            <w:tcW w:type="dxa" w:w="3742"/>
            <w:shd w:val="clear" w:color="auto" w:fill="F7F4FB"/>
          </w:tcPr>
          <w:p>
            <w:r>
              <w:t>Recursos del sector que no aparecen en la sección de CTeI</w:t>
            </w:r>
          </w:p>
        </w:tc>
        <w:tc>
          <w:tcPr>
            <w:tcW w:type="dxa" w:w="2835"/>
            <w:shd w:val="clear" w:color="auto" w:fill="F7F4FB"/>
          </w:tcPr>
          <w:p/>
        </w:tc>
      </w:tr>
      <w:tr>
        <w:trPr>
          <w:trHeight w:val="680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680" w:hRule="atLeast"/>
        </w:trPr>
        <w:tc>
          <w:tcPr>
            <w:tcW w:type="dxa" w:w="3402"/>
            <w:shd w:val="clear" w:color="auto" w:fill="F7F4FB"/>
          </w:tcPr>
          <w:p/>
        </w:tc>
        <w:tc>
          <w:tcPr>
            <w:tcW w:type="dxa" w:w="3742"/>
            <w:shd w:val="clear" w:color="auto" w:fill="F7F4FB"/>
          </w:tcPr>
          <w:p/>
        </w:tc>
        <w:tc>
          <w:tcPr>
            <w:tcW w:type="dxa" w:w="2835"/>
            <w:shd w:val="clear" w:color="auto" w:fill="F7F4FB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6. En términos de complejidad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Patrones que pueden emerger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¿Qué podría verse al mirar juntas varias políticas que no se ve en una sola? Por ejemplo, instrumentos, entidades o recursos que comparten.</w:t>
            </w:r>
          </w:p>
        </w:tc>
      </w:tr>
      <w:tr>
        <w:trPr>
          <w:cantSplit/>
          <w:trHeight w:val="2268" w:hRule="atLeast"/>
        </w:trPr>
        <w:tc>
          <w:tcPr>
            <w:tcW w:type="dxa" w:w="9978"/>
          </w:tcPr>
          <w:p>
            <w:r>
              <w:t>Sí: los beneficios tributarios y los fondos aparecen en varias políticas a la vez. Al juntarlas se vería si un mismo instrumento sostiene objetivos distintos.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60" w:after="80"/>
      </w:pPr>
      <w:r>
        <w:rPr>
          <w:color w:val="4B2E83"/>
          <w:sz w:val="28"/>
        </w:rPr>
        <w:t>7. Conclusiones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Hallazgo principal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¿Qué aprendimos que no era evidente al comienzo?</w:t>
            </w:r>
          </w:p>
        </w:tc>
      </w:tr>
      <w:tr>
        <w:trPr>
          <w:cantSplit/>
          <w:trHeight w:val="2835" w:hRule="atLeast"/>
        </w:trPr>
        <w:tc>
          <w:tcPr>
            <w:tcW w:type="dxa" w:w="9978"/>
          </w:tcPr>
          <w:p>
            <w:r>
              <w:t>El objetivo revela un giro de enfoque: mismo sector, filosofía distinta.</w:t>
            </w:r>
          </w:p>
          <w:p>
            <w:r>
              <w:t>Las metas engañan si no se homologan: comparar 5.706 con 3.126 es comparar manzanas con peras; hay que buscar la meta del PND 2022–2026 en Sinergia.</w:t>
            </w:r>
          </w:p>
          <w:p>
            <w:r>
              <w:t>El impacto queda vacío en ambos: solo hay métricas de gestión y producto.</w:t>
            </w:r>
          </w:p>
          <w:p>
            <w:r>
              <w:t>Normativa y recursos faltan de forma distinta en cada informe: esa asimetría se anota, no se rellena con supuestos.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Hipótesis para la sesión 2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¿Qué patrón creemos que podría repetirse en otras políticas?</w:t>
            </w:r>
          </w:p>
        </w:tc>
      </w:tr>
      <w:tr>
        <w:trPr>
          <w:cantSplit/>
          <w:trHeight w:val="2268" w:hRule="atLeast"/>
        </w:trPr>
        <w:tc>
          <w:tcPr>
            <w:tcW w:type="dxa" w:w="9978"/>
          </w:tcPr>
          <w:p>
            <w:r>
              <w:t>Los instrumentos de tesoro persisten entre gobiernos aunque cambie el objetivo declarado.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371"/>
        <w:sz w:val="16"/>
      </w:rPr>
      <w:t xml:space="preserve">Laboratorio de Cocreación · Bitácora de grupo · v4 · página </w:t>
    </w:r>
    <w:r>
      <w:rPr>
        <w:color w:val="5D6371"/>
        <w:sz w:val="16"/>
      </w:rPr>
      <w:fldChar w:fldCharType="begin"/>
    </w:r>
    <w:r>
      <w:rPr>
        <w:color w:val="5D6371"/>
        <w:sz w:val="16"/>
      </w:rPr>
      <w:instrText xml:space="preserve">PAGE</w:instrText>
    </w:r>
    <w:r>
      <w:rPr>
        <w:color w:val="5D637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326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