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February 2025 </w:t>
      </w:r>
    </w:p>
    <w:p>
      <w:pPr>
        <w:autoSpaceDN w:val="0"/>
        <w:autoSpaceDE w:val="0"/>
        <w:widowControl/>
        <w:spacing w:line="233" w:lineRule="auto" w:before="46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BARRATT REDROW plc </w:t>
      </w:r>
    </w:p>
    <w:p>
      <w:pPr>
        <w:autoSpaceDN w:val="0"/>
        <w:autoSpaceDE w:val="0"/>
        <w:widowControl/>
        <w:spacing w:line="233" w:lineRule="auto" w:before="260" w:after="0"/>
        <w:ind w:left="21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Half year results for the period ended 29 December 2024 </w:t>
      </w:r>
    </w:p>
    <w:p>
      <w:pPr>
        <w:autoSpaceDN w:val="0"/>
        <w:autoSpaceDE w:val="0"/>
        <w:widowControl/>
        <w:spacing w:line="235" w:lineRule="auto" w:before="380" w:after="0"/>
        <w:ind w:left="199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 Solid customer demand; strongly positioned for future growth  </w:t>
      </w:r>
    </w:p>
    <w:p>
      <w:pPr>
        <w:autoSpaceDN w:val="0"/>
        <w:autoSpaceDE w:val="0"/>
        <w:widowControl/>
        <w:spacing w:line="233" w:lineRule="auto" w:before="33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Commenting on the interim results David Thomas, Chief Executive of Barratt Redrow plc said:</w:t>
      </w:r>
    </w:p>
    <w:p>
      <w:pPr>
        <w:autoSpaceDN w:val="0"/>
        <w:autoSpaceDE w:val="0"/>
        <w:widowControl/>
        <w:spacing w:line="230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 am pleased with the performance we have achieved in the first half of the year, continuing to deliver outstanding homes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customers across the country and further building on our unrivalled reputation for quality, service and sustainability.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integration of Redrow is progressing well and we are on track to deliver at least £100m of cost synergies, £10m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ahead of the original target. </w:t>
      </w:r>
    </w:p>
    <w:p>
      <w:pPr>
        <w:autoSpaceDN w:val="0"/>
        <w:autoSpaceDE w:val="0"/>
        <w:widowControl/>
        <w:spacing w:line="228" w:lineRule="exact" w:before="1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the economic, political and lending environments have stabilised, there has been some recovery in customer demand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we have seen solid reservation activity since the start of January, building a strong forward sales position.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result, we now expect our full year adjusted profit before tax will be towards the upper end of market expectations. </w:t>
      </w:r>
    </w:p>
    <w:p>
      <w:pPr>
        <w:autoSpaceDN w:val="0"/>
        <w:autoSpaceDE w:val="0"/>
        <w:widowControl/>
        <w:spacing w:line="230" w:lineRule="exact" w:before="140" w:after="23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Whilst the housing market remains sensitive to the wider economy and mortgage rates and availability, there remains a </w:t>
      </w:r>
      <w:r>
        <w:rPr>
          <w:rFonts w:ascii="ArialMT" w:hAnsi="ArialMT" w:eastAsia="ArialMT"/>
          <w:b w:val="0"/>
          <w:i w:val="0"/>
          <w:color w:val="000000"/>
          <w:sz w:val="20"/>
        </w:rPr>
        <w:t>significant shortage of homes in the UK. With our scale and track record of delivery, Barratt Redrow is uniquely well-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positioned to meet this underlying demand and drive continued growth for the benefit of all stakeholders.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761"/>
        <w:gridCol w:w="1761"/>
        <w:gridCol w:w="1761"/>
        <w:gridCol w:w="1761"/>
        <w:gridCol w:w="1761"/>
        <w:gridCol w:w="1761"/>
      </w:tblGrid>
      <w:tr>
        <w:trPr>
          <w:trHeight w:hRule="exact" w:val="1054"/>
        </w:trPr>
        <w:tc>
          <w:tcPr>
            <w:tcW w:type="dxa" w:w="3400"/>
            <w:tcBorders>
              <w:start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£m unless otherwise stated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>1, 2</w:t>
            </w:r>
          </w:p>
        </w:tc>
        <w:tc>
          <w:tcPr>
            <w:tcW w:type="dxa" w:w="1416"/>
            <w:tcBorders>
              <w:start w:sz="3.2000000000000455" w:val="single" w:color="#000000"/>
              <w:end w:sz="11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ended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 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416"/>
            <w:tcBorders>
              <w:start w:sz="11.200000000000273" w:val="single" w:color="#000000"/>
              <w:top w:sz="11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432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Impact of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purchase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price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allocation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(‘PPA’) </w:t>
            </w:r>
          </w:p>
        </w:tc>
        <w:tc>
          <w:tcPr>
            <w:tcW w:type="dxa" w:w="1564"/>
            <w:tcBorders>
              <w:start w:sz="4.0" w:val="single" w:color="#000000"/>
              <w:top w:sz="11.200000000000273" w:val="single" w:color="#000000"/>
              <w:end w:sz="11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 December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2024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before PPA </w:t>
            </w:r>
          </w:p>
        </w:tc>
        <w:tc>
          <w:tcPr>
            <w:tcW w:type="dxa" w:w="1560"/>
            <w:tcBorders>
              <w:start w:sz="11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31 December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2023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R</w:t>
            </w:r>
          </w:p>
        </w:tc>
        <w:tc>
          <w:tcPr>
            <w:tcW w:type="dxa" w:w="1124"/>
            <w:tcBorders>
              <w:start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Variance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vs HY24</w:t>
            </w:r>
          </w:p>
        </w:tc>
      </w:tr>
      <w:tr>
        <w:trPr>
          <w:trHeight w:hRule="exact" w:val="246"/>
        </w:trPr>
        <w:tc>
          <w:tcPr>
            <w:tcW w:type="dxa" w:w="340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Total home completions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6,846 </w:t>
            </w:r>
          </w:p>
        </w:tc>
        <w:tc>
          <w:tcPr>
            <w:tcW w:type="dxa" w:w="1416"/>
            <w:tcBorders>
              <w:start w:sz="11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564"/>
            <w:tcBorders>
              <w:start w:sz="4.0" w:val="single" w:color="#000000"/>
              <w:top w:sz="3.200000000000273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6,846 </w:t>
            </w:r>
          </w:p>
        </w:tc>
        <w:tc>
          <w:tcPr>
            <w:tcW w:type="dxa" w:w="1560"/>
            <w:tcBorders>
              <w:start w:sz="11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6,171 </w:t>
            </w:r>
          </w:p>
        </w:tc>
        <w:tc>
          <w:tcPr>
            <w:tcW w:type="dxa" w:w="112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10.9%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Revenue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11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2,280.8 </w:t>
            </w:r>
          </w:p>
        </w:tc>
        <w:tc>
          <w:tcPr>
            <w:tcW w:type="dxa" w:w="1416"/>
            <w:tcBorders>
              <w:start w:sz="11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11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2,280.8 </w:t>
            </w:r>
          </w:p>
        </w:tc>
        <w:tc>
          <w:tcPr>
            <w:tcW w:type="dxa" w:w="1560"/>
            <w:tcBorders>
              <w:start w:sz="11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1,850.8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23.2% </w:t>
            </w:r>
          </w:p>
        </w:tc>
      </w:tr>
      <w:tr>
        <w:trPr>
          <w:trHeight w:hRule="exact" w:val="242"/>
        </w:trPr>
        <w:tc>
          <w:tcPr>
            <w:tcW w:type="dxa" w:w="340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Alternative performance measures: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4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11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11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3.200000000000273" w:val="single" w:color="#000000"/>
              <w:end w:sz="11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11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Adjusted gross profit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338.7 </w:t>
            </w:r>
          </w:p>
        </w:tc>
        <w:tc>
          <w:tcPr>
            <w:tcW w:type="dxa" w:w="1416"/>
            <w:tcBorders>
              <w:start w:sz="11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47.9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386.6 </w:t>
            </w:r>
          </w:p>
        </w:tc>
        <w:tc>
          <w:tcPr>
            <w:tcW w:type="dxa" w:w="1560"/>
            <w:tcBorders>
              <w:start w:sz="11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295.9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14.5%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Adjusted profit before tax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167.1 </w:t>
            </w:r>
          </w:p>
        </w:tc>
        <w:tc>
          <w:tcPr>
            <w:tcW w:type="dxa" w:w="1416"/>
            <w:tcBorders>
              <w:start w:sz="11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50.4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217.5 </w:t>
            </w:r>
          </w:p>
        </w:tc>
        <w:tc>
          <w:tcPr>
            <w:tcW w:type="dxa" w:w="1560"/>
            <w:tcBorders>
              <w:start w:sz="11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157.1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6.4% </w:t>
            </w:r>
          </w:p>
        </w:tc>
      </w:tr>
      <w:tr>
        <w:trPr>
          <w:trHeight w:hRule="exact" w:val="246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Adjusted gross margin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14.9% </w:t>
            </w:r>
          </w:p>
        </w:tc>
        <w:tc>
          <w:tcPr>
            <w:tcW w:type="dxa" w:w="1416"/>
            <w:tcBorders>
              <w:start w:sz="11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210 bps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17.0% </w:t>
            </w:r>
          </w:p>
        </w:tc>
        <w:tc>
          <w:tcPr>
            <w:tcW w:type="dxa" w:w="1560"/>
            <w:tcBorders>
              <w:start w:sz="11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16.0%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(110 bps)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Adjusted operating margin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7.2% </w:t>
            </w:r>
          </w:p>
        </w:tc>
        <w:tc>
          <w:tcPr>
            <w:tcW w:type="dxa" w:w="1416"/>
            <w:tcBorders>
              <w:start w:sz="11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210 bps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11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9.3% </w:t>
            </w:r>
          </w:p>
        </w:tc>
        <w:tc>
          <w:tcPr>
            <w:tcW w:type="dxa" w:w="1560"/>
            <w:tcBorders>
              <w:start w:sz="11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8.4%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(120 bps) </w:t>
            </w:r>
          </w:p>
        </w:tc>
      </w:tr>
      <w:tr>
        <w:trPr>
          <w:trHeight w:hRule="exact" w:val="246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Adjusted basic earnings per share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11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9.3p </w:t>
            </w:r>
          </w:p>
        </w:tc>
        <w:tc>
          <w:tcPr>
            <w:tcW w:type="dxa" w:w="1416"/>
            <w:tcBorders>
              <w:start w:sz="11.200000000000273" w:val="single" w:color="#000000"/>
              <w:top w:sz="4.0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2.7p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11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12.0p </w:t>
            </w:r>
          </w:p>
        </w:tc>
        <w:tc>
          <w:tcPr>
            <w:tcW w:type="dxa" w:w="1560"/>
            <w:tcBorders>
              <w:start w:sz="11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11.8p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(21.2%) </w:t>
            </w:r>
          </w:p>
        </w:tc>
      </w:tr>
      <w:tr>
        <w:trPr>
          <w:trHeight w:hRule="exact" w:val="262"/>
        </w:trPr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Statutory performance measures: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11.199999999999818" w:val="single" w:color="#000000"/>
              <w:end w:sz="4.0" w:val="single" w:color="#000000"/>
              <w:bottom w:sz="3.199999999999818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11.199999999999818" w:val="single" w:color="#000000"/>
              <w:end w:sz="4.0" w:val="single" w:color="#000000"/>
              <w:bottom w:sz="3.199999999999818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Gross profit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338.7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238.5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42.0% </w:t>
            </w:r>
          </w:p>
        </w:tc>
      </w:tr>
      <w:tr>
        <w:trPr>
          <w:trHeight w:hRule="exact" w:val="246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Profit before tax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117.2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95.2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23.1%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Gross margin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14.9%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12.9%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200 bps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Operating margin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5.0%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5.3%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 bps)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Basic earnings per share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5.8p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7.1p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(18.3%) </w:t>
            </w:r>
          </w:p>
        </w:tc>
      </w:tr>
      <w:tr>
        <w:trPr>
          <w:trHeight w:hRule="exact" w:val="232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ROCE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8.1%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12.8%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(470 bps) </w:t>
            </w:r>
          </w:p>
        </w:tc>
      </w:tr>
      <w:tr>
        <w:trPr>
          <w:trHeight w:hRule="exact" w:val="244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Net cash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458.9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753.4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(39.1%) </w:t>
            </w:r>
          </w:p>
        </w:tc>
      </w:tr>
      <w:tr>
        <w:trPr>
          <w:trHeight w:hRule="exact" w:val="242"/>
        </w:trPr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Interim dividend per share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5.5p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4.4p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25.0% </w:t>
            </w:r>
          </w:p>
        </w:tc>
      </w:tr>
      <w:tr>
        <w:trPr>
          <w:trHeight w:hRule="exact" w:val="246"/>
        </w:trPr>
        <w:tc>
          <w:tcPr>
            <w:tcW w:type="dxa" w:w="34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Tangible net asset value per share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438p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451p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(2.9%) </w:t>
            </w:r>
          </w:p>
        </w:tc>
      </w:tr>
    </w:tbl>
    <w:p>
      <w:pPr>
        <w:autoSpaceDN w:val="0"/>
        <w:autoSpaceDE w:val="0"/>
        <w:widowControl/>
        <w:spacing w:line="186" w:lineRule="exact" w:before="2" w:after="0"/>
        <w:ind w:left="0" w:right="64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Notes: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 Refer to Glossary for definition of key financial metrics. </w:t>
      </w:r>
    </w:p>
    <w:p>
      <w:pPr>
        <w:autoSpaceDN w:val="0"/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 = Reported and denotes a Barratt Developments PLC group (“Barratt Group”) reported metric based on the reported performance of the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Barratt Group in the comparable reporting period.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 = Aggregated and denotes an aggregated metric based on the reported performance of the Barratt Group in the comparable reporting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period 1 July 2023 to 31 December 2023 and includes the performance of the legacy Redrow plc group (“Redrow Group”) from 24 August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2023 to 31 December 2023, the equivalent period of ownership, to provide comparability on operational and financial performance. </w:t>
      </w:r>
    </w:p>
    <w:p>
      <w:pPr>
        <w:autoSpaceDN w:val="0"/>
        <w:autoSpaceDE w:val="0"/>
        <w:widowControl/>
        <w:spacing w:line="245" w:lineRule="auto" w:before="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Redrow Group data is based on Redrow plc’s standalone accounting policies and therefore excludes any impact of policy alignments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made since the acquisition. Aggregated adjusted measures are also presented, prepared on the same basis. The aggregated value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comparatives have not been audited or reviewed by Barratt Redrow plc’s auditors. </w:t>
      </w:r>
    </w:p>
    <w:p>
      <w:pPr>
        <w:autoSpaceDN w:val="0"/>
        <w:autoSpaceDE w:val="0"/>
        <w:widowControl/>
        <w:spacing w:line="18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 Unless otherwise stated, all numbers quoted exclude JVs. </w:t>
      </w:r>
    </w:p>
    <w:p>
      <w:pPr>
        <w:autoSpaceDN w:val="0"/>
        <w:autoSpaceDE w:val="0"/>
        <w:widowControl/>
        <w:spacing w:line="178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 Including JVs in which the Group has an interest. </w:t>
      </w:r>
    </w:p>
    <w:p>
      <w:pPr>
        <w:autoSpaceDN w:val="0"/>
        <w:autoSpaceDE w:val="0"/>
        <w:widowControl/>
        <w:spacing w:line="184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 In addition to the Group using a variety of statutory performance measures, alternative performance measures (APMs) are also used. Definitions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APMs and reconciliations to the equivalent statutory measures are detailed in the Glossary and Definitions. In this period, new APMs have been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introduced to allow for the assessment of the performance of the combined Group, before the impact of PPA adjustments. Net cash definition is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included in Note 13. </w:t>
      </w:r>
    </w:p>
    <w:p>
      <w:pPr>
        <w:autoSpaceDN w:val="0"/>
        <w:autoSpaceDE w:val="0"/>
        <w:widowControl/>
        <w:spacing w:line="18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 Bloomberg consensus for FY25 adjusted profit before tax on 11 February 2025 was £542m with a range of £506m to £588m, excluding the impact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of purchase price adjustments. </w:t>
      </w:r>
    </w:p>
    <w:p>
      <w:pPr>
        <w:autoSpaceDN w:val="0"/>
        <w:autoSpaceDE w:val="0"/>
        <w:widowControl/>
        <w:spacing w:line="178" w:lineRule="exact" w:before="38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496" w:right="632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tabs>
          <w:tab w:pos="358" w:val="left"/>
          <w:tab w:pos="714" w:val="left"/>
        </w:tabs>
        <w:autoSpaceDE w:val="0"/>
        <w:widowControl/>
        <w:spacing w:line="232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Financial highlights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>Good operational performance, delivering 6,846 total home completions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(HY24: 6,171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7,777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), with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adjusted profit before tax at £167.1m (HY24: £157.1m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£248.8m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after purchase price allocation (“PPA”)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of £50.4m. </w:t>
      </w:r>
    </w:p>
    <w:p>
      <w:pPr>
        <w:autoSpaceDN w:val="0"/>
        <w:tabs>
          <w:tab w:pos="714" w:val="left"/>
        </w:tabs>
        <w:autoSpaceDE w:val="0"/>
        <w:widowControl/>
        <w:spacing w:line="228" w:lineRule="exact" w:before="10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>Net private weekly reservation rate up 33% to 0.60 compared to 0.45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aggregated performance for Barratt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Redrow in the comparable period (HY24: 0.48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</w:t>
      </w:r>
    </w:p>
    <w:p>
      <w:pPr>
        <w:autoSpaceDN w:val="0"/>
        <w:tabs>
          <w:tab w:pos="714" w:val="left"/>
        </w:tabs>
        <w:autoSpaceDE w:val="0"/>
        <w:widowControl/>
        <w:spacing w:line="230" w:lineRule="exact" w:before="94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integration progressing well with nine divisional office closures completed or announced across both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businesses and wider integration programme now on track to deliver £100m of cost synergies. </w:t>
      </w:r>
    </w:p>
    <w:p>
      <w:pPr>
        <w:autoSpaceDN w:val="0"/>
        <w:tabs>
          <w:tab w:pos="714" w:val="left"/>
        </w:tabs>
        <w:autoSpaceDE w:val="0"/>
        <w:widowControl/>
        <w:spacing w:line="230" w:lineRule="exact" w:before="94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>Adjusted items relating to Redrow transaction and integration costs totalled £49.9m (HY24: £nil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with no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incremental building safety remediation costs charged in the half (HY24: £61.9m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), resulting in reported profit </w:t>
      </w:r>
      <w:r>
        <w:rPr>
          <w:rFonts w:ascii="ArialMT" w:hAnsi="ArialMT" w:eastAsia="ArialMT"/>
          <w:b w:val="0"/>
          <w:i w:val="0"/>
          <w:color w:val="000000"/>
          <w:sz w:val="20"/>
        </w:rPr>
        <w:t>before tax of £117.2m (HY24: £95.2m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</w:t>
      </w:r>
    </w:p>
    <w:p>
      <w:pPr>
        <w:autoSpaceDN w:val="0"/>
        <w:tabs>
          <w:tab w:pos="714" w:val="left"/>
        </w:tabs>
        <w:autoSpaceDE w:val="0"/>
        <w:widowControl/>
        <w:spacing w:line="230" w:lineRule="exact" w:before="96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>Balance sheet remains strong with net cash of £458.9m (31 December 2023: £753.4m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£874.4m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), after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 of the FY24 final dividend of £170.5m across the combined shareholder base in November (FY23 final </w:t>
      </w:r>
      <w:r>
        <w:rPr>
          <w:rFonts w:ascii="ArialMT" w:hAnsi="ArialMT" w:eastAsia="ArialMT"/>
          <w:b w:val="0"/>
          <w:i w:val="0"/>
          <w:color w:val="000000"/>
          <w:sz w:val="20"/>
        </w:rPr>
        <w:t>dividend: £228.0m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and incremental investment in land and work in progress of £332m. </w:t>
      </w:r>
    </w:p>
    <w:p>
      <w:pPr>
        <w:autoSpaceDN w:val="0"/>
        <w:tabs>
          <w:tab w:pos="714" w:val="left"/>
        </w:tabs>
        <w:autoSpaceDE w:val="0"/>
        <w:widowControl/>
        <w:spacing w:line="234" w:lineRule="exact" w:before="74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>Interim ordinary dividend increased by 25% to 5.5p (HY24: 4.4p</w:t>
      </w:r>
      <w:r>
        <w:rPr>
          <w:rFonts w:ascii="ArialMT" w:hAnsi="ArialMT" w:eastAsia="ArialMT"/>
          <w:b w:val="0"/>
          <w:i w:val="0"/>
          <w:color w:val="000000"/>
          <w:sz w:val="13"/>
        </w:rPr>
        <w:t>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reflecting planned FY25 1.75 times adjusted </w:t>
      </w:r>
      <w:r>
        <w:rPr>
          <w:rFonts w:ascii="ArialMT" w:hAnsi="ArialMT" w:eastAsia="ArialMT"/>
          <w:b w:val="0"/>
          <w:i w:val="0"/>
          <w:color w:val="000000"/>
          <w:sz w:val="20"/>
        </w:rPr>
        <w:t>earnings cover, before the impact of PPA adjustments. This includes four months’ contribution of Redrow profits.</w:t>
      </w:r>
    </w:p>
    <w:p>
      <w:pPr>
        <w:autoSpaceDN w:val="0"/>
        <w:tabs>
          <w:tab w:pos="714" w:val="left"/>
        </w:tabs>
        <w:autoSpaceDE w:val="0"/>
        <w:widowControl/>
        <w:spacing w:line="228" w:lineRule="exact" w:before="96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Full year adjusted profit before tax, before the impact of PPA adjustments, is now expected to be at the upper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>end of market expectations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3" w:lineRule="auto" w:before="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Operational highlights </w:t>
      </w:r>
    </w:p>
    <w:p>
      <w:pPr>
        <w:autoSpaceDN w:val="0"/>
        <w:tabs>
          <w:tab w:pos="720" w:val="left"/>
        </w:tabs>
        <w:autoSpaceDE w:val="0"/>
        <w:widowControl/>
        <w:spacing w:line="230" w:lineRule="exact" w:before="1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integration progressing well with key functions such as Safety, Health and Environment and IT already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single leadership. </w:t>
      </w:r>
    </w:p>
    <w:p>
      <w:pPr>
        <w:autoSpaceDN w:val="0"/>
        <w:tabs>
          <w:tab w:pos="720" w:val="left"/>
        </w:tabs>
        <w:autoSpaceDE w:val="0"/>
        <w:widowControl/>
        <w:spacing w:line="244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Continued industry leadership on quality, customer satisfaction and sustainability: 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78" w:after="0"/>
        <w:ind w:left="10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111 NHBC Pride in the Job Awards across the combined Group, consistently ahead of any other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housebuilder for 20 years; 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80" w:after="0"/>
        <w:ind w:left="10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Rated ‘5 Stars’ by our customers in the HBF customer satisfaction survey – Barratt &amp; David Wilson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 years in a row and Redrow for the last 6 years consecutively; and 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80" w:after="0"/>
        <w:ind w:left="10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Barratt recognised as the leading national sustainable housebuilder by NextGeneration for the eleventh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consecutive year and Redrow the highest ranked non-member in 2024.</w:t>
      </w:r>
    </w:p>
    <w:p>
      <w:pPr>
        <w:autoSpaceDN w:val="0"/>
        <w:tabs>
          <w:tab w:pos="720" w:val="left"/>
        </w:tabs>
        <w:autoSpaceDE w:val="0"/>
        <w:widowControl/>
        <w:spacing w:line="244" w:lineRule="exact" w:before="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Important new joint ventures established with the launch of: </w:t>
      </w:r>
    </w:p>
    <w:p>
      <w:pPr>
        <w:autoSpaceDN w:val="0"/>
        <w:tabs>
          <w:tab w:pos="1434" w:val="left"/>
        </w:tabs>
        <w:autoSpaceDE w:val="0"/>
        <w:widowControl/>
        <w:spacing w:line="222" w:lineRule="exact" w:before="86" w:after="0"/>
        <w:ind w:left="10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MADE Partnership with Homes England and Lloyds Banking Group; and 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80" w:after="0"/>
        <w:ind w:left="10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West London Partnership with Places for London, the property arm of Transport for London,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encompassing the development of more than 4,000 homes in the coming decade in West London. </w:t>
      </w:r>
    </w:p>
    <w:p>
      <w:pPr>
        <w:autoSpaceDN w:val="0"/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Strategic update </w:t>
      </w:r>
    </w:p>
    <w:p>
      <w:pPr>
        <w:autoSpaceDN w:val="0"/>
        <w:tabs>
          <w:tab w:pos="714" w:val="left"/>
        </w:tabs>
        <w:autoSpaceDE w:val="0"/>
        <w:widowControl/>
        <w:spacing w:line="230" w:lineRule="exact" w:before="152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Following the acquisition of Redrow, we are updating our medium term guidance and targets for the combined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group. </w:t>
      </w:r>
    </w:p>
    <w:p>
      <w:pPr>
        <w:autoSpaceDN w:val="0"/>
        <w:tabs>
          <w:tab w:pos="714" w:val="left"/>
        </w:tabs>
        <w:autoSpaceDE w:val="0"/>
        <w:widowControl/>
        <w:spacing w:line="228" w:lineRule="exact" w:before="138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 expect to deliver c. 22,000 homes per annum in the medium term, with operating margin recovering to c. </w:t>
      </w:r>
      <w:r>
        <w:rPr>
          <w:rFonts w:ascii="ArialMT" w:hAnsi="ArialMT" w:eastAsia="ArialMT"/>
          <w:b w:val="0"/>
          <w:i w:val="0"/>
          <w:color w:val="000000"/>
          <w:sz w:val="20"/>
        </w:rPr>
        <w:t>15% and return on capital employed (including land creditors) to c. 20%.</w:t>
      </w:r>
    </w:p>
    <w:p>
      <w:pPr>
        <w:autoSpaceDN w:val="0"/>
        <w:tabs>
          <w:tab w:pos="714" w:val="left"/>
        </w:tabs>
        <w:autoSpaceDE w:val="0"/>
        <w:widowControl/>
        <w:spacing w:line="230" w:lineRule="exact" w:before="94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previously announced, our land acquisition hurdle requirements will be gross margin of 23% (and 24% </w:t>
      </w:r>
      <w:r>
        <w:rPr>
          <w:rFonts w:ascii="ArialMT" w:hAnsi="ArialMT" w:eastAsia="ArialMT"/>
          <w:b w:val="0"/>
          <w:i w:val="0"/>
          <w:color w:val="000000"/>
          <w:sz w:val="20"/>
        </w:rPr>
        <w:t>following delivery of procurement synergies) and return on capital employed of 25%.</w:t>
      </w:r>
    </w:p>
    <w:p>
      <w:pPr>
        <w:autoSpaceDN w:val="0"/>
        <w:tabs>
          <w:tab w:pos="714" w:val="left"/>
        </w:tabs>
        <w:autoSpaceDE w:val="0"/>
        <w:widowControl/>
        <w:spacing w:line="226" w:lineRule="exact" w:before="10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the growth of the business generates significant free cash flow in the medium term, we are refining our </w:t>
      </w:r>
      <w:r>
        <w:rPr>
          <w:rFonts w:ascii="ArialMT" w:hAnsi="ArialMT" w:eastAsia="ArialMT"/>
          <w:b w:val="0"/>
          <w:i w:val="0"/>
          <w:color w:val="000000"/>
          <w:sz w:val="20"/>
        </w:rPr>
        <w:t>approach to capital allocation, in particular, returns to our shareholders: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80" w:after="0"/>
        <w:ind w:left="10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Initiating an ongoing share buyback programme which will return £100m per annum and will begin with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£50m buyback in the second half of this financial year. 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80" w:after="0"/>
        <w:ind w:left="108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Refining our dividend cover from 1.75x to 2.0x adjusted earnings (before the impact of PPA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adjustments) from FY26.</w:t>
      </w:r>
    </w:p>
    <w:p>
      <w:pPr>
        <w:autoSpaceDN w:val="0"/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Current trading and outlook </w:t>
      </w:r>
    </w:p>
    <w:p>
      <w:pPr>
        <w:autoSpaceDN w:val="0"/>
        <w:tabs>
          <w:tab w:pos="720" w:val="left"/>
        </w:tabs>
        <w:autoSpaceDE w:val="0"/>
        <w:widowControl/>
        <w:spacing w:line="230" w:lineRule="exact" w:before="1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Our net private weekly reservation rate from 30 December 2024 to 2 February 2025 was 0.60 (2024: 0.60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with no private rental sector or other multi-unit sales (2024: 0.03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</w:t>
      </w:r>
    </w:p>
    <w:p>
      <w:pPr>
        <w:autoSpaceDN w:val="0"/>
        <w:tabs>
          <w:tab w:pos="720" w:val="left"/>
        </w:tabs>
        <w:autoSpaceDE w:val="0"/>
        <w:widowControl/>
        <w:spacing w:line="228" w:lineRule="exact" w:before="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Forward sales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as at 2 February 2025 were 10,903 homes (4 February 2024: 11,460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at a value of £3,350.3m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(4 February 2024: £3,135.2m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with 7,702 homes of these total forward sales either exchanged or contracted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(4 February 2024: 8,524</w:t>
      </w:r>
      <w:r>
        <w:rPr>
          <w:rFonts w:ascii="ArialMT" w:hAnsi="ArialMT" w:eastAsia="ArialMT"/>
          <w:b w:val="0"/>
          <w:i w:val="0"/>
          <w:color w:val="000000"/>
          <w:sz w:val="13"/>
        </w:rPr>
        <w:t>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). </w:t>
      </w:r>
    </w:p>
    <w:p>
      <w:pPr>
        <w:autoSpaceDN w:val="0"/>
        <w:tabs>
          <w:tab w:pos="714" w:val="left"/>
        </w:tabs>
        <w:autoSpaceDE w:val="0"/>
        <w:widowControl/>
        <w:spacing w:line="230" w:lineRule="exact" w:before="94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Whilst our full year out-turn remains dependent on how the market evolves through the Spring selling season,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solid reservation activity since the start of January, we expect to deliver total home completions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16,800 and 17,200 in FY25 (including c. 600 JV completions). </w:t>
      </w:r>
    </w:p>
    <w:p>
      <w:pPr>
        <w:autoSpaceDN w:val="0"/>
        <w:autoSpaceDE w:val="0"/>
        <w:widowControl/>
        <w:spacing w:line="178" w:lineRule="exact" w:before="3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496" w:right="632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Note on forward looking statements</w:t>
      </w:r>
    </w:p>
    <w:p>
      <w:pPr>
        <w:autoSpaceDN w:val="0"/>
        <w:autoSpaceDE w:val="0"/>
        <w:widowControl/>
        <w:spacing w:line="245" w:lineRule="auto" w:before="214" w:after="0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Certain statements in this announcement may be forward looking statements. By their nature, forward looking statements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involve a number of risks, uncertainties or assumptions that could cause actual results to differ materially from those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expressed or implied by those statements. Forward looking statements regarding past trends or activities should not be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taken as a representation that such trends or activities will continue in the future. Accordingly undue reliance should not </w:t>
      </w:r>
      <w:r>
        <w:rPr>
          <w:rFonts w:ascii="Arial" w:hAnsi="Arial" w:eastAsia="Arial"/>
          <w:b/>
          <w:i w:val="0"/>
          <w:color w:val="000000"/>
          <w:sz w:val="18"/>
        </w:rPr>
        <w:t>be placed on forward looking statements.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Unless otherwise required by applicable law, regulation or accounting standards,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the Group does not undertake to update or revise any forward looking statements, whether as a result of new information,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future developments or otherwise. </w:t>
      </w:r>
    </w:p>
    <w:p>
      <w:pPr>
        <w:autoSpaceDN w:val="0"/>
        <w:autoSpaceDE w:val="0"/>
        <w:widowControl/>
        <w:spacing w:line="247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There will be a results meeting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 at UBS, 5 Broadgate, London, EC2M 2AT</w:t>
      </w:r>
      <w:r>
        <w:rPr>
          <w:rFonts w:ascii="Arial" w:hAnsi="Arial" w:eastAsia="Arial"/>
          <w:b/>
          <w:i w:val="0"/>
          <w:color w:val="000000"/>
          <w:sz w:val="18"/>
        </w:rPr>
        <w:t>at 8.30am today followed by a Capital Markets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18"/>
        </w:rPr>
        <w:t>Update commencing at 10.00am.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7" w:lineRule="auto" w:before="1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The results presentation will also be webcast live with the Q&amp;A. Please register and access the webcast using the following </w:t>
      </w:r>
      <w:r>
        <w:rPr>
          <w:rFonts w:ascii="Arial" w:hAnsi="Arial" w:eastAsia="Arial"/>
          <w:b/>
          <w:i w:val="0"/>
          <w:color w:val="000000"/>
          <w:sz w:val="18"/>
        </w:rPr>
        <w:t>link:</w:t>
      </w:r>
    </w:p>
    <w:p>
      <w:pPr>
        <w:autoSpaceDN w:val="0"/>
        <w:autoSpaceDE w:val="0"/>
        <w:widowControl/>
        <w:spacing w:line="233" w:lineRule="auto" w:before="19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Barratt Redrow plc FY25 Interim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ult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: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B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roa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dc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ter Audience</w:t>
          </w:r>
        </w:hyperlink>
      </w:r>
      <w:r>
        <w:rPr>
          <w:rFonts w:ascii="Arial" w:hAnsi="Arial" w:eastAsia="Arial"/>
          <w:b/>
          <w:i w:val="0"/>
          <w:color w:val="0000FF"/>
          <w:sz w:val="18"/>
        </w:rPr>
        <w:t xml:space="preserve">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The Capital Markets Update will also be webcast live with the Q&amp;A. Please register and access the webcast using the </w:t>
      </w:r>
    </w:p>
    <w:p>
      <w:pPr>
        <w:autoSpaceDN w:val="0"/>
        <w:autoSpaceDE w:val="0"/>
        <w:widowControl/>
        <w:spacing w:line="233" w:lineRule="auto" w:before="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following link:</w:t>
      </w:r>
    </w:p>
    <w:p>
      <w:pPr>
        <w:autoSpaceDN w:val="0"/>
        <w:autoSpaceDE w:val="0"/>
        <w:widowControl/>
        <w:spacing w:line="233" w:lineRule="auto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Barratt Redrow plc Capital Marke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 xml:space="preserve">s 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pd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: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B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roa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dc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0" w:history="1">
          <w:r>
            <w:rPr>
              <w:rStyle w:val="Hyperlink"/>
            </w:rPr>
            <w:t>ster Audience</w:t>
          </w:r>
        </w:hyperlink>
      </w:r>
      <w:r>
        <w:rPr>
          <w:rFonts w:ascii="Arial" w:hAnsi="Arial" w:eastAsia="Arial"/>
          <w:b/>
          <w:i w:val="0"/>
          <w:color w:val="0000FF"/>
          <w:sz w:val="18"/>
        </w:rPr>
        <w:t xml:space="preserve">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 archived version of the results webcast as well as the Capital Markets Update will also be available on our website later this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afternoon and further copies of this announcement can be downloaded from the Barratt Redrow plc corporate website at </w:t>
      </w:r>
      <w:r>
        <w:rPr>
          <w:rFonts w:ascii="Arial" w:hAnsi="Arial" w:eastAsia="Arial"/>
          <w:b/>
          <w:i w:val="0"/>
          <w:color w:val="0000FF"/>
          <w:sz w:val="18"/>
          <w:u w:val="single"/>
        </w:rPr>
        <w:hyperlink r:id="rId11" w:history="1">
          <w:r>
            <w:rPr>
              <w:rStyle w:val="Hyperlink"/>
            </w:rPr>
            <w:t>www.barrattredrow.co.uk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or by request from the Company Secretary's office at: Barratt Redrow plc, Barratt Redrow House,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Cartwright Way, Forest Business Park, Bardon Hill, Coalville, Leicestershire, LE67 1UF. 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For further information, please contact: </w:t>
      </w:r>
    </w:p>
    <w:p>
      <w:pPr>
        <w:autoSpaceDN w:val="0"/>
        <w:tabs>
          <w:tab w:pos="5762" w:val="left"/>
        </w:tabs>
        <w:autoSpaceDE w:val="0"/>
        <w:widowControl/>
        <w:spacing w:line="248" w:lineRule="exact" w:before="280" w:after="0"/>
        <w:ind w:left="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Analyst / investor enquiries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Mike Scott, Chief Financial Officer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01530 278 278 </w:t>
      </w:r>
    </w:p>
    <w:p>
      <w:pPr>
        <w:autoSpaceDN w:val="0"/>
        <w:autoSpaceDE w:val="0"/>
        <w:widowControl/>
        <w:spacing w:line="222" w:lineRule="exact" w:before="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John Messenger, Group Investor Relations Director                   07867 201 763 </w:t>
      </w:r>
    </w:p>
    <w:p>
      <w:pPr>
        <w:autoSpaceDN w:val="0"/>
        <w:autoSpaceDE w:val="0"/>
        <w:widowControl/>
        <w:spacing w:line="233" w:lineRule="auto" w:before="27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Media enquiries </w:t>
      </w:r>
    </w:p>
    <w:p>
      <w:pPr>
        <w:autoSpaceDN w:val="0"/>
        <w:tabs>
          <w:tab w:pos="5762" w:val="left"/>
        </w:tabs>
        <w:autoSpaceDE w:val="0"/>
        <w:widowControl/>
        <w:spacing w:line="222" w:lineRule="exact" w:before="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 Collins, Group Corporate Affairs Director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01530 278 278 </w:t>
      </w:r>
    </w:p>
    <w:p>
      <w:pPr>
        <w:autoSpaceDN w:val="0"/>
        <w:tabs>
          <w:tab w:pos="5762" w:val="left"/>
        </w:tabs>
        <w:autoSpaceDE w:val="0"/>
        <w:widowControl/>
        <w:spacing w:line="248" w:lineRule="exact" w:before="248" w:after="0"/>
        <w:ind w:left="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Brunswick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Jonathan Glass / Rosie Oddy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020 7404 5959 </w:t>
      </w:r>
    </w:p>
    <w:p>
      <w:pPr>
        <w:autoSpaceDN w:val="0"/>
        <w:autoSpaceDE w:val="0"/>
        <w:widowControl/>
        <w:spacing w:line="233" w:lineRule="auto" w:before="3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Barratt Redrow plc LEI: 2138006R85VEOF5YNK29 </w:t>
      </w:r>
    </w:p>
    <w:p>
      <w:pPr>
        <w:autoSpaceDN w:val="0"/>
        <w:autoSpaceDE w:val="0"/>
        <w:widowControl/>
        <w:spacing w:line="222" w:lineRule="exact" w:before="3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The Group’s next scheduled announcement will be a trading update on Wednesday 16 April 2025.</w:t>
      </w:r>
    </w:p>
    <w:p>
      <w:pPr>
        <w:autoSpaceDN w:val="0"/>
        <w:autoSpaceDE w:val="0"/>
        <w:widowControl/>
        <w:spacing w:line="178" w:lineRule="exact" w:before="52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Chief Executive’s Statement </w:t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Overview </w:t>
      </w:r>
    </w:p>
    <w:p>
      <w:pPr>
        <w:autoSpaceDN w:val="0"/>
        <w:autoSpaceDE w:val="0"/>
        <w:widowControl/>
        <w:spacing w:line="202" w:lineRule="exact" w:before="12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have delivered a good operating performance for the six months to 29 December 2024, supported by the commitment and efforts </w:t>
      </w:r>
    </w:p>
    <w:p>
      <w:pPr>
        <w:autoSpaceDN w:val="0"/>
        <w:autoSpaceDE w:val="0"/>
        <w:widowControl/>
        <w:spacing w:line="200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of our employees, sub-contractors and supply chain partners across the enlarged business. </w:t>
      </w:r>
    </w:p>
    <w:p>
      <w:pPr>
        <w:autoSpaceDN w:val="0"/>
        <w:autoSpaceDE w:val="0"/>
        <w:widowControl/>
        <w:spacing w:line="200" w:lineRule="exact" w:before="12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economic and political backdrop was more stable during the first half with a less volatile mortgage lending environment resulting </w:t>
      </w:r>
    </w:p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a recovery in customer demand, however affordability challenges remain an issue for many home buyers and are particularly </w:t>
      </w:r>
    </w:p>
    <w:p>
      <w:pPr>
        <w:autoSpaceDN w:val="0"/>
        <w:autoSpaceDE w:val="0"/>
        <w:widowControl/>
        <w:spacing w:line="200" w:lineRule="exact" w:before="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notable for first time buyers.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9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Total home completions were 6,846 (HY24: 6,171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7,777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We delivered adjusted gross profit of £338.7m (HY24: £295.9m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£423.1m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 an adjusted gross margin of 14.9% </w:t>
      </w:r>
    </w:p>
    <w:p>
      <w:pPr>
        <w:autoSpaceDN w:val="0"/>
        <w:autoSpaceDE w:val="0"/>
        <w:widowControl/>
        <w:spacing w:line="206" w:lineRule="exact" w:before="3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(HY24: 16.0%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17.0%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reduced gross margin profitability partly reflected the underlying reduction in homes </w:t>
      </w:r>
    </w:p>
    <w:p>
      <w:pPr>
        <w:autoSpaceDN w:val="0"/>
        <w:autoSpaceDE w:val="0"/>
        <w:widowControl/>
        <w:spacing w:line="200" w:lineRule="exact" w:before="38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completed and the operational gearing impact of lower completion volumes. It also included an adverse purchase price </w:t>
      </w:r>
    </w:p>
    <w:p>
      <w:pPr>
        <w:autoSpaceDN w:val="0"/>
        <w:autoSpaceDE w:val="0"/>
        <w:widowControl/>
        <w:spacing w:line="200" w:lineRule="exact" w:before="38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allocation (‘PPA’) impact of £47.9m, as fair value adjustments to Redrow’s land and work in progress began to unwind </w:t>
      </w:r>
    </w:p>
    <w:p>
      <w:pPr>
        <w:autoSpaceDN w:val="0"/>
        <w:autoSpaceDE w:val="0"/>
        <w:widowControl/>
        <w:spacing w:line="200" w:lineRule="exact" w:before="4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through the income statement.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Adjusted gross profit before the impact of PPA adjustments was £386.6m (HY24: £295.9m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£423.1m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 adjusted </w:t>
      </w:r>
    </w:p>
    <w:p>
      <w:pPr>
        <w:autoSpaceDN w:val="0"/>
        <w:autoSpaceDE w:val="0"/>
        <w:widowControl/>
        <w:spacing w:line="206" w:lineRule="exact" w:before="3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gross margin before the impact of PPA was 17.0% (HY24: 16.0%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17.0%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Adjusted gross profit is also reported after the impact of accounting policy alignment which reduced gross profit by £14.3m </w:t>
      </w:r>
    </w:p>
    <w:p>
      <w:pPr>
        <w:autoSpaceDN w:val="0"/>
        <w:autoSpaceDE w:val="0"/>
        <w:widowControl/>
        <w:spacing w:line="200" w:lineRule="exact" w:before="36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(HY24: £nil).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We delivered an adjusted operating profit of £163.9m (HY24: £155.2m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£248.4m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 an adjusted operating margin </w:t>
      </w:r>
    </w:p>
    <w:p>
      <w:pPr>
        <w:autoSpaceDN w:val="0"/>
        <w:autoSpaceDE w:val="0"/>
        <w:widowControl/>
        <w:spacing w:line="206" w:lineRule="exact" w:before="3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of 7.2% (HY24: 8.4%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10.0%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Adjusted operating profit decreased due to PPA adjustments of £47.9m.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We generated an adjusted profit before tax of £167.1m (HY24: £157.1m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£248.8m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This included a decrease in profit </w:t>
      </w:r>
    </w:p>
    <w:p>
      <w:pPr>
        <w:autoSpaceDN w:val="0"/>
        <w:autoSpaceDE w:val="0"/>
        <w:widowControl/>
        <w:spacing w:line="202" w:lineRule="exact" w:before="34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due to PPA adjustments of £50.4m.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Reported profit before tax was £117.2m (HY24: £95.2m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£186.9m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Our balance sheet strength has been maintained with half year end net cash of £458.9m (HY24: £753.4m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£874.4m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</w:p>
    <w:p>
      <w:pPr>
        <w:autoSpaceDN w:val="0"/>
        <w:autoSpaceDE w:val="0"/>
        <w:widowControl/>
        <w:spacing w:line="206" w:lineRule="exact" w:before="3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after dividend payments of £170.5m (HY24: £228.0m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>), £46.2m incremental land investment (HY24: £23.6m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net reduction) </w:t>
      </w:r>
    </w:p>
    <w:p>
      <w:pPr>
        <w:autoSpaceDN w:val="0"/>
        <w:autoSpaceDE w:val="0"/>
        <w:widowControl/>
        <w:spacing w:line="200" w:lineRule="exact" w:before="38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the typical seasonal investment in work in progress.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ROCE reduced by 470 bps to 8.1% (HY24: 12.8%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), primarily due to reduced profitability. </w:t>
      </w:r>
    </w:p>
    <w:p>
      <w:pPr>
        <w:autoSpaceDN w:val="0"/>
        <w:autoSpaceDE w:val="0"/>
        <w:widowControl/>
        <w:spacing w:line="233" w:lineRule="auto" w:before="3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Redrow integration </w:t>
      </w:r>
    </w:p>
    <w:p>
      <w:pPr>
        <w:autoSpaceDN w:val="0"/>
        <w:autoSpaceDE w:val="0"/>
        <w:widowControl/>
        <w:spacing w:line="202" w:lineRule="exact" w:before="12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Since receiving Competition and Markets Authority (“CMA”) clearance on 4 October 2024, our joint integration team has made good </w:t>
      </w:r>
    </w:p>
    <w:p>
      <w:pPr>
        <w:autoSpaceDN w:val="0"/>
        <w:autoSpaceDE w:val="0"/>
        <w:widowControl/>
        <w:spacing w:line="200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progress in bringing the two businesses together. </w:t>
      </w:r>
    </w:p>
    <w:p>
      <w:pPr>
        <w:autoSpaceDN w:val="0"/>
        <w:autoSpaceDE w:val="0"/>
        <w:widowControl/>
        <w:spacing w:line="200" w:lineRule="exact" w:before="12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Certain functions such as Safety, Health and Environment and IT have been brought under single leadership and our plans for full </w:t>
      </w:r>
    </w:p>
    <w:p>
      <w:pPr>
        <w:autoSpaceDN w:val="0"/>
        <w:autoSpaceDE w:val="0"/>
        <w:widowControl/>
        <w:spacing w:line="200" w:lineRule="exact" w:before="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integration of the remaining functions are well developed, and all business functions and divisions will soon have a unified </w:t>
      </w:r>
    </w:p>
    <w:p>
      <w:pPr>
        <w:autoSpaceDN w:val="0"/>
        <w:autoSpaceDE w:val="0"/>
        <w:widowControl/>
        <w:spacing w:line="202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management structure.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Having reviewed the appropriate organisational structure for the Group over the medium term, we have already closed five divisional </w:t>
      </w:r>
    </w:p>
    <w:p>
      <w:pPr>
        <w:autoSpaceDN w:val="0"/>
        <w:autoSpaceDE w:val="0"/>
        <w:widowControl/>
        <w:spacing w:line="200" w:lineRule="exact" w:before="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offices across both businesses with plans to close a further four divisional offices, which, if confirmed, will result in Barratt Redrow </w:t>
      </w:r>
    </w:p>
    <w:p>
      <w:pPr>
        <w:autoSpaceDN w:val="0"/>
        <w:autoSpaceDE w:val="0"/>
        <w:widowControl/>
        <w:spacing w:line="202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operating from 32 divisions across the country with the capacity to deliver 22,000 homes per annum in the medium term.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Integration and synergy planning across our procurement and head office functions is also progressing well and the initial phase of </w:t>
      </w:r>
    </w:p>
    <w:p>
      <w:pPr>
        <w:autoSpaceDN w:val="0"/>
        <w:autoSpaceDE w:val="0"/>
        <w:widowControl/>
        <w:spacing w:line="202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each of these programmes is currently being implemented, including the opening of a new Finance Shared Service Centre. </w:t>
      </w:r>
    </w:p>
    <w:p>
      <w:pPr>
        <w:autoSpaceDN w:val="0"/>
        <w:autoSpaceDE w:val="0"/>
        <w:widowControl/>
        <w:spacing w:line="202" w:lineRule="exact" w:before="16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Given the progress made to date across the programme and our visibility of the pipeline of future opportunities, we now expect to be </w:t>
      </w:r>
    </w:p>
    <w:p>
      <w:pPr>
        <w:autoSpaceDN w:val="0"/>
        <w:autoSpaceDE w:val="0"/>
        <w:widowControl/>
        <w:spacing w:line="202" w:lineRule="exact" w:before="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able to deliver transaction synergies of at least £100m over the three years from CMA clearance, an increase of £10m on the £90m </w:t>
      </w:r>
    </w:p>
    <w:p>
      <w:pPr>
        <w:autoSpaceDN w:val="0"/>
        <w:autoSpaceDE w:val="0"/>
        <w:widowControl/>
        <w:spacing w:line="200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expected when the transaction was announced in February 2024.</w:t>
      </w:r>
    </w:p>
    <w:p>
      <w:pPr>
        <w:autoSpaceDN w:val="0"/>
        <w:autoSpaceDE w:val="0"/>
        <w:widowControl/>
        <w:spacing w:line="235" w:lineRule="auto" w:before="1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Keeping people safe</w:t>
      </w:r>
    </w:p>
    <w:p>
      <w:pPr>
        <w:autoSpaceDN w:val="0"/>
        <w:autoSpaceDE w:val="0"/>
        <w:widowControl/>
        <w:spacing w:line="202" w:lineRule="exact" w:before="1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As always, we are committed to achieving the highest industry health and safety standards to provide a safe working environment for </w:t>
      </w:r>
    </w:p>
    <w:p>
      <w:pPr>
        <w:autoSpaceDN w:val="0"/>
        <w:autoSpaceDE w:val="0"/>
        <w:widowControl/>
        <w:spacing w:line="200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all of our employees and subcontractors. </w:t>
      </w:r>
    </w:p>
    <w:p>
      <w:pPr>
        <w:autoSpaceDN w:val="0"/>
        <w:autoSpaceDE w:val="0"/>
        <w:widowControl/>
        <w:spacing w:line="200" w:lineRule="exact" w:before="11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the 12 months to 29 December 2024, reflecting concerted campaigns to highlight health and safety issues and drive improved 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behaviours, the Barratt operations’ IIR reduced to 292 (2023: 305) per 100,000 workers. Barratt operations SHE audit compliance </w:t>
      </w:r>
    </w:p>
    <w:p>
      <w:pPr>
        <w:autoSpaceDN w:val="0"/>
        <w:autoSpaceDE w:val="0"/>
        <w:widowControl/>
        <w:spacing w:line="202" w:lineRule="exact" w:before="3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also remained strong at 97% (2023: 97%). In the 12 months to 31 December 2024 Redrow’s operations delivered a significantly </w:t>
      </w:r>
    </w:p>
    <w:p>
      <w:pPr>
        <w:autoSpaceDN w:val="0"/>
        <w:autoSpaceDE w:val="0"/>
        <w:widowControl/>
        <w:spacing w:line="200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reduced IIR at 326 (2023: 370). </w:t>
      </w:r>
    </w:p>
    <w:p>
      <w:pPr>
        <w:autoSpaceDN w:val="0"/>
        <w:autoSpaceDE w:val="0"/>
        <w:widowControl/>
        <w:spacing w:line="200" w:lineRule="exact" w:before="11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Looking forward as an enlarged group, with the added capability to share experience and best practice with Redrow, we are focussed 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on further improving our site-based processes and procedures, challenging unsafe behaviours across our sites and production 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facilities and looking at ways we can minimise injuries and accidents. </w:t>
      </w:r>
    </w:p>
    <w:p>
      <w:pPr>
        <w:autoSpaceDN w:val="0"/>
        <w:autoSpaceDE w:val="0"/>
        <w:widowControl/>
        <w:spacing w:line="178" w:lineRule="exact" w:before="156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Building sustainably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8" w:lineRule="exact" w:before="11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Following the combination with Redrow, we will maintain our position as the leading national sustainable housebuilder. In October </w:t>
      </w:r>
      <w:r>
        <w:rPr>
          <w:rFonts w:ascii="ArialMT" w:hAnsi="ArialMT" w:eastAsia="ArialMT"/>
          <w:b w:val="0"/>
          <w:i w:val="0"/>
          <w:color w:val="000000"/>
          <w:sz w:val="18"/>
        </w:rPr>
        <w:t>2024, the SBTi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validated our refreshed net zero targets, demonstrating our ongoing commitment to achieving net zero greenhouse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gas emissions by 2040. Redrow also has validated targets, and we have started the work to set new targets for the combined Group. </w:t>
      </w:r>
    </w:p>
    <w:p>
      <w:pPr>
        <w:autoSpaceDN w:val="0"/>
        <w:autoSpaceDE w:val="0"/>
        <w:widowControl/>
        <w:spacing w:line="206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the housebuilding industry’s NextGeneration awards, Barratt maintained its position as the ‘Leading National Sustainable </w:t>
      </w:r>
      <w:r>
        <w:rPr>
          <w:rFonts w:ascii="ArialMT" w:hAnsi="ArialMT" w:eastAsia="ArialMT"/>
          <w:b w:val="0"/>
          <w:i w:val="0"/>
          <w:color w:val="000000"/>
          <w:sz w:val="18"/>
        </w:rPr>
        <w:t>Housebuilder’, receiving the “Gold Award” for the eleventh consecutive year, as well as the “Crystal Award” for transparency.</w:t>
      </w:r>
    </w:p>
    <w:p>
      <w:pPr>
        <w:autoSpaceDN w:val="0"/>
        <w:autoSpaceDE w:val="0"/>
        <w:widowControl/>
        <w:spacing w:line="206" w:lineRule="exact" w:before="21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eHome2, within the Energy House 2.0 chamber at Salford University, continues to provide important data on the real-world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performance of the construction methods and technologies which may be incorporated in our homes of the future. This research is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providing invaluable performance data not only for our teams but also for our suppliers helping them to drive improvements and new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product development. </w:t>
      </w:r>
      <w:r>
        <w:rPr>
          <w:rFonts w:ascii="ArialMT" w:hAnsi="ArialMT" w:eastAsia="ArialMT"/>
          <w:b w:val="0"/>
          <w:i w:val="0"/>
          <w:color w:val="000000"/>
          <w:sz w:val="18"/>
        </w:rPr>
        <w:t>Further information on the most recent heating system test results from eHome2 can be found here: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06" w:lineRule="exact" w:before="138" w:after="0"/>
        <w:ind w:left="0" w:right="3024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https://www.barrattdevelopments.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o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u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k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/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~/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me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dia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/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Files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/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B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/Barratt-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Developments/documents/Barra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t%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20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ed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o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w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_e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ome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2_Heating%20Systems%20Report.pdf</w:t>
          </w:r>
        </w:hyperlink>
      </w:r>
    </w:p>
    <w:p>
      <w:pPr>
        <w:autoSpaceDN w:val="0"/>
        <w:autoSpaceDE w:val="0"/>
        <w:widowControl/>
        <w:spacing w:line="233" w:lineRule="auto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Our customers </w:t>
      </w:r>
    </w:p>
    <w:p>
      <w:pPr>
        <w:autoSpaceDN w:val="0"/>
        <w:autoSpaceDE w:val="0"/>
        <w:widowControl/>
        <w:spacing w:line="206" w:lineRule="exact" w:before="12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industry leadership in quality and customer service is fundamental to our success with both Barratt and Redrow being consistently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awarded the maximum 5 Star rating by our customers in the HBF customer satisfaction survey – with Barratt and Redrow achieving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this for the last 15 and 6 consecutive years respectively. Our site and sales teams are committed to delivering for our customers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throughout their journey and benefit from ongoing training programmes delivered throughout the year. </w:t>
      </w:r>
    </w:p>
    <w:p>
      <w:pPr>
        <w:autoSpaceDN w:val="0"/>
        <w:autoSpaceDE w:val="0"/>
        <w:widowControl/>
        <w:spacing w:line="206" w:lineRule="exact" w:before="1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constantly strive to improve the design and space of our homes to meet customers’ desires and expectations. In addition, we are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continually looking at ways to increase the water and energy efficiency of our homes to help unlock lower lifetime housing costs for </w:t>
      </w:r>
      <w:r>
        <w:rPr>
          <w:rFonts w:ascii="ArialMT" w:hAnsi="ArialMT" w:eastAsia="ArialMT"/>
          <w:b w:val="0"/>
          <w:i w:val="0"/>
          <w:color w:val="000000"/>
          <w:sz w:val="18"/>
        </w:rPr>
        <w:t>our customers. In FY24 99% of our home completions were EPC rated ‘B’ or above, a level of energy efficiency shared by just 3.4%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6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of the existing housing stock. </w:t>
      </w:r>
    </w:p>
    <w:p>
      <w:pPr>
        <w:autoSpaceDN w:val="0"/>
        <w:autoSpaceDE w:val="0"/>
        <w:widowControl/>
        <w:spacing w:line="206" w:lineRule="exact" w:before="16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Given the ongoing affordability challenges, we continue to help our customers to access attractive mortgage products and work with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mortgage lenders to ensure that the products they offer newbuild home buyers are attractive and suitable. We continue to work with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lenders to encourage more “green mortgages” which reflect the lower running costs and resilience of newbuild homes. </w:t>
      </w:r>
    </w:p>
    <w:p>
      <w:pPr>
        <w:autoSpaceDN w:val="0"/>
        <w:autoSpaceDE w:val="0"/>
        <w:widowControl/>
        <w:spacing w:line="233" w:lineRule="auto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Our people </w:t>
      </w:r>
    </w:p>
    <w:p>
      <w:pPr>
        <w:autoSpaceDN w:val="0"/>
        <w:autoSpaceDE w:val="0"/>
        <w:widowControl/>
        <w:spacing w:line="208" w:lineRule="exact" w:before="11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second 2024 Barratt standalone employee engagement pulse survey was completed in October 2024. This pulse survey </w:t>
      </w:r>
      <w:r>
        <w:rPr>
          <w:rFonts w:ascii="ArialMT" w:hAnsi="ArialMT" w:eastAsia="ArialMT"/>
          <w:b w:val="0"/>
          <w:i w:val="0"/>
          <w:color w:val="000000"/>
          <w:sz w:val="18"/>
        </w:rPr>
        <w:t>delivered a good engagement score of 80.2%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which was a 130 basis point improvement from April 2024’s pulse survey and 530 basis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points ahead of the survey in September 2023. At a time of significant change and uncertainty, this is a particularly positive result. </w:t>
      </w:r>
    </w:p>
    <w:p>
      <w:pPr>
        <w:autoSpaceDN w:val="0"/>
        <w:autoSpaceDE w:val="0"/>
        <w:widowControl/>
        <w:spacing w:line="206" w:lineRule="exact" w:before="1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continue to operate as an accredited real Living Wage Employer and we promote the payment of the real Living Wage within our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UK supply chain through our standard sub-contractor terms and conditions. </w:t>
      </w:r>
    </w:p>
    <w:p>
      <w:pPr>
        <w:autoSpaceDN w:val="0"/>
        <w:autoSpaceDE w:val="0"/>
        <w:widowControl/>
        <w:spacing w:line="208" w:lineRule="exact" w:before="20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With the industry facing a longstanding skills shortage it remains important to attract and retain the best people. We continue to run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numerous award-winning schemes including those for graduates, apprentices and former Armed Forces personnel. Our partnership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with The School Outreach Company recently won the Personnel Today ‘Innovation in Recruitment’ award which recognises “initiatives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strategies that boost the talent pipeline and strengthen retention and candidate experience”. </w:t>
      </w:r>
    </w:p>
    <w:p>
      <w:pPr>
        <w:autoSpaceDN w:val="0"/>
        <w:autoSpaceDE w:val="0"/>
        <w:widowControl/>
        <w:spacing w:line="206" w:lineRule="exact" w:before="20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have four Degree Apprenticeships delivered in partnership with Sheffield Hallam University, encompassing Construction, Quantity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Surveying, Technical Design, and Real Estate. During the half, 25 of our degree apprentices completed their academic qualifications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and, since inception, our degree apprenticeship programme has seen 84 employees graduate with BSc (Honours). We had 558 </w:t>
      </w:r>
      <w:r>
        <w:rPr>
          <w:rFonts w:ascii="ArialMT" w:hAnsi="ArialMT" w:eastAsia="ArialMT"/>
          <w:b w:val="0"/>
          <w:i w:val="0"/>
          <w:color w:val="000000"/>
          <w:sz w:val="18"/>
        </w:rPr>
        <w:t>employees on our development programmes at 29 December 2024 across the enlarged group (31 December 2023: 414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35" w:lineRule="auto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Our land position </w:t>
      </w:r>
    </w:p>
    <w:p>
      <w:pPr>
        <w:autoSpaceDN w:val="0"/>
        <w:autoSpaceDE w:val="0"/>
        <w:widowControl/>
        <w:spacing w:line="206" w:lineRule="exact" w:before="120" w:after="6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During the half, we approved new land acquisitions totalling 7,727 plots (HY24: net cancellation of 254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plots). Our land teams have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also had notable planning successes which have included: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.00000000000003" w:type="dxa"/>
      </w:tblPr>
      <w:tblGrid>
        <w:gridCol w:w="5280"/>
        <w:gridCol w:w="5280"/>
      </w:tblGrid>
      <w:tr>
        <w:trPr>
          <w:trHeight w:hRule="exact" w:val="76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6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1,000 homes securing outline planning consent at Darwin Green in Cambridgeshire, following a decision from the Secretary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of State for Housing, Communities and Local Government; and,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Planning approval secured on six strategic land developments, securing outline consents for more than 2,000 new homes. </w:t>
            </w:r>
          </w:p>
        </w:tc>
      </w:tr>
    </w:tbl>
    <w:p>
      <w:pPr>
        <w:autoSpaceDN w:val="0"/>
        <w:autoSpaceDE w:val="0"/>
        <w:widowControl/>
        <w:spacing w:line="206" w:lineRule="exact" w:before="15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addition, Barratt London launched the West London Partnership with Places for London, the property arm of Transport for London.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West London Partnership is Places for London’s largest partnership to date and will operate across West London, including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London Boroughs of Barnet and Ealing, unlocking 60 acres of underutilised land, all with excellent transport connections and with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aim of delivering more than 4,000 homes over the next decade. </w:t>
      </w:r>
    </w:p>
    <w:p>
      <w:pPr>
        <w:autoSpaceDN w:val="0"/>
        <w:autoSpaceDE w:val="0"/>
        <w:widowControl/>
        <w:spacing w:line="206" w:lineRule="exact" w:before="21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also announced the creation of the MADE Partnership, a joint venture with Homes England and Lloyds Banking Group.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MADE Partnership will act as master developer for multiple large-scale, residential-led developments consisting of 1,000 to more than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10,000 homes and a variety of community facilities and employment uses. Since it launched, MADE Partnership has already secured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its first master development with Tameside Council to deliver Godley Green Garden Village which will include more than 2,000 homes.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MADE Partnership and Tameside Council are now working to prepare a comprehensive master development strategy for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development with the aim of starting on site in early 2026.</w:t>
      </w:r>
    </w:p>
    <w:p>
      <w:pPr>
        <w:autoSpaceDN w:val="0"/>
        <w:autoSpaceDE w:val="0"/>
        <w:widowControl/>
        <w:spacing w:line="178" w:lineRule="exact" w:before="82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Our build performance </w:t>
      </w:r>
    </w:p>
    <w:p>
      <w:pPr>
        <w:autoSpaceDN w:val="0"/>
        <w:autoSpaceDE w:val="0"/>
        <w:widowControl/>
        <w:spacing w:line="206" w:lineRule="exact" w:before="12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Throughout calendar year 2024, Barratt once again maintained its industry leadership position amongst the major housebuilders, with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Group registering the lowest Reportable Items (RIs) per NHBC inspection</w:t>
      </w:r>
      <w:r>
        <w:rPr>
          <w:rFonts w:ascii="ArialMT" w:hAnsi="ArialMT" w:eastAsia="ArialMT"/>
          <w:b w:val="0"/>
          <w:i w:val="0"/>
          <w:color w:val="000000"/>
          <w:sz w:val="12"/>
        </w:rPr>
        <w:t>7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at 0.12 (2023: 0.14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Over the comparable period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Redrow’s operations registered 0.24 RIs per inspection, a considerable improvement on the previous year’s 0.31 RIs per inspection.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Group will also look to ensure best practices are adopted across all build activity within the enlarged Group. </w:t>
      </w:r>
    </w:p>
    <w:p>
      <w:pPr>
        <w:autoSpaceDN w:val="0"/>
        <w:autoSpaceDE w:val="0"/>
        <w:widowControl/>
        <w:spacing w:line="206" w:lineRule="exact" w:before="12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build quality also continues to be recognised through the NHBC Pride in the Job Awards for site management. Our site teams’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success in the most recent judging period was recognised in June 2024, where site managers across the Barratt operations secured </w:t>
      </w:r>
      <w:r>
        <w:rPr>
          <w:rFonts w:ascii="ArialMT" w:hAnsi="ArialMT" w:eastAsia="ArialMT"/>
          <w:b w:val="0"/>
          <w:i w:val="0"/>
          <w:color w:val="000000"/>
          <w:sz w:val="18"/>
        </w:rPr>
        <w:t>89 awards, more than any other housebuilder for the 20</w:t>
      </w:r>
      <w:r>
        <w:rPr>
          <w:rFonts w:ascii="ArialMT" w:hAnsi="ArialMT" w:eastAsia="ArialMT"/>
          <w:b w:val="0"/>
          <w:i w:val="0"/>
          <w:color w:val="000000"/>
          <w:sz w:val="12"/>
        </w:rPr>
        <w:t>th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consecutive year, while Redrow’s site managers, judged across fewer sites,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secured 22 awards. Over the past two decades no other housebuilder has experienced this level of recognition for site standards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build quality which reflects our uncompromising approach to build quality. </w:t>
      </w:r>
    </w:p>
    <w:p>
      <w:pPr>
        <w:autoSpaceDN w:val="0"/>
        <w:autoSpaceDE w:val="0"/>
        <w:widowControl/>
        <w:spacing w:line="208" w:lineRule="exact" w:before="18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continue to grow the number of homes we build using Modern Methods of Construction (MMC). The adoption of MMC, most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notably timber frame construction, increases efficiency, reduces both embodied carbon and waste and helps to mitigate the long-term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challenges posed by the shortage of skilled workers across the industry. Across the Barratt operations, we completed 38.9% of our </w:t>
      </w:r>
      <w:r>
        <w:rPr>
          <w:rFonts w:ascii="ArialMT" w:hAnsi="ArialMT" w:eastAsia="ArialMT"/>
          <w:b w:val="0"/>
          <w:i w:val="0"/>
          <w:color w:val="000000"/>
          <w:sz w:val="18"/>
        </w:rPr>
        <w:t>homes (HY24: 35.2%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using MMC in the first half. </w:t>
      </w:r>
    </w:p>
    <w:p>
      <w:pPr>
        <w:autoSpaceDN w:val="0"/>
        <w:autoSpaceDE w:val="0"/>
        <w:widowControl/>
        <w:spacing w:line="208" w:lineRule="exact" w:before="20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site teams across the country successfully managed construction activity during the half with increased build activity across our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ongoing sites more than offsetting the reduction in sales outlets. During the first half, Barratt operations delivered 252 build equivalent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homes per week, in line with the 251 equivalent homes built each week in HY24 and Redrow’s operations delivered 71 build equivalent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homes per week, slightly lower than the 75 equivalent homes built each week in HY24. </w:t>
      </w:r>
    </w:p>
    <w:p>
      <w:pPr>
        <w:autoSpaceDN w:val="0"/>
        <w:autoSpaceDE w:val="0"/>
        <w:widowControl/>
        <w:spacing w:line="208" w:lineRule="exact" w:before="20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anticipate that construction activity will increase during the second half of FY25 due to both the normal seasonal uplift in activity,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reflecting the typically stronger reservation activity and longer site working hours available, as well as the increased investment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sales outlet openings planned across the Barratt Redrow operations over the coming months.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Responsible development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16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Fire safety and external wall systems </w:t>
      </w:r>
    </w:p>
    <w:p>
      <w:pPr>
        <w:autoSpaceDN w:val="0"/>
        <w:autoSpaceDE w:val="0"/>
        <w:widowControl/>
        <w:spacing w:line="224" w:lineRule="exact" w:before="16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During the half, no issues were identified which required an increase in the fire safety and external wall provision with the total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expected cost of remediation remaining within the Group’s estimates, with a provision of £798.1m as at 29 December 2024 (30 June </w:t>
      </w:r>
      <w:r>
        <w:rPr>
          <w:rFonts w:ascii="ArialMT" w:hAnsi="ArialMT" w:eastAsia="ArialMT"/>
          <w:b w:val="0"/>
          <w:i w:val="0"/>
          <w:color w:val="000000"/>
          <w:sz w:val="18"/>
        </w:rPr>
        <w:t>2024: £628.1m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24" w:lineRule="exact" w:before="18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Within the Group’s provision, as part of the acquisition fair value exercise, Redrow’s fire safety provision was increased by £39.3m to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£184.3m, reflecting the recognition of certain contingent liabilities which would not have met the threshold for provision on a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standalone basis. </w:t>
      </w:r>
    </w:p>
    <w:p>
      <w:pPr>
        <w:autoSpaceDN w:val="0"/>
        <w:autoSpaceDE w:val="0"/>
        <w:widowControl/>
        <w:spacing w:line="224" w:lineRule="exact" w:before="18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continue to make progress through the portfolio of buildings covered under the Building Safety Self Remediation Terms across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both the Barratt and Redrow legacy property portfolios. During the half year, through inspections and testing, or contact from building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owners regarding potential issues, we identified a net further 14 buildings potentially requiring remedial works, including one in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Redrow portfolio, (HY24: 18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buildings) and 12 buildings were completed or assessed as needing no remediation (HY24: 4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buildings). </w:t>
      </w:r>
    </w:p>
    <w:p>
      <w:pPr>
        <w:autoSpaceDN w:val="0"/>
        <w:autoSpaceDE w:val="0"/>
        <w:widowControl/>
        <w:spacing w:line="224" w:lineRule="exact" w:before="18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Around 64% of the Barratt portfolio have been assessed under the Fire Risk Assessment of External Walls and have an appropriate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PAS 9980 assessment in place, and 27 of the 28 buildings in Redrow’s active portfolio have been assessed under the Fire Risk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Assessment of External Walls and have an appropriate PAS 9980 assessment in place. </w:t>
      </w:r>
    </w:p>
    <w:p>
      <w:pPr>
        <w:autoSpaceDN w:val="0"/>
        <w:autoSpaceDE w:val="0"/>
        <w:widowControl/>
        <w:spacing w:line="224" w:lineRule="exact" w:before="18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Across the combined portfolio of 291 buildings under review, 193 buildings where at tender or site mobilisation, or were in the process </w:t>
      </w:r>
      <w:r>
        <w:rPr>
          <w:rFonts w:ascii="ArialMT" w:hAnsi="ArialMT" w:eastAsia="ArialMT"/>
          <w:b w:val="0"/>
          <w:i w:val="0"/>
          <w:color w:val="000000"/>
          <w:sz w:val="18"/>
        </w:rPr>
        <w:t>of being remediated (30 June 2024: 262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buildings, of which 137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buildings were at tender or site mobilisation, or were in the process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of being remediated). </w:t>
      </w:r>
    </w:p>
    <w:p>
      <w:pPr>
        <w:autoSpaceDN w:val="0"/>
        <w:autoSpaceDE w:val="0"/>
        <w:widowControl/>
        <w:spacing w:line="222" w:lineRule="exact" w:before="18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November 2024, an investigation by the Institution of Fire Engineers concluded that one of its members had failed to maintain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professional standards and terminated his membership. The firm at which the individual worked has provided fire risk assessments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on a number of buildings which the Group has developed. We are currently evaluating whether this matter has any impact on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assessment of those buildings. </w:t>
      </w:r>
    </w:p>
    <w:p>
      <w:pPr>
        <w:autoSpaceDN w:val="0"/>
        <w:autoSpaceDE w:val="0"/>
        <w:widowControl/>
        <w:spacing w:line="224" w:lineRule="exact" w:before="18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Group signed the Scottish Government’s Safer Building Accord, on 31 May 2023 and the industry continues to work with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Scottish Government to finalise the required standard of remediation in Scotland.</w:t>
      </w:r>
    </w:p>
    <w:p>
      <w:pPr>
        <w:autoSpaceDN w:val="0"/>
        <w:autoSpaceDE w:val="0"/>
        <w:widowControl/>
        <w:spacing w:line="235" w:lineRule="auto" w:before="142" w:after="0"/>
        <w:ind w:left="0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Reinforced concrete frames </w:t>
      </w:r>
    </w:p>
    <w:p>
      <w:pPr>
        <w:autoSpaceDN w:val="0"/>
        <w:autoSpaceDE w:val="0"/>
        <w:widowControl/>
        <w:spacing w:line="224" w:lineRule="exact" w:before="16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remediation activities with respect to reinforced concrete frame design and construction continued during the half year with legacy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developments proceeding in line with remediation plans, and no additional provision was required. The provision in respect of </w:t>
      </w:r>
      <w:r>
        <w:rPr>
          <w:rFonts w:ascii="ArialMT" w:hAnsi="ArialMT" w:eastAsia="ArialMT"/>
          <w:b w:val="0"/>
          <w:i w:val="0"/>
          <w:color w:val="000000"/>
          <w:sz w:val="18"/>
        </w:rPr>
        <w:t>reinforced concrete frame design and construction of £87.1m as at 29 December 2024 (30 June 2024: £102.2m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reflects our current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best estimate of the extent and future costs in respect of remediation work required. </w:t>
      </w:r>
    </w:p>
    <w:p>
      <w:pPr>
        <w:autoSpaceDN w:val="0"/>
        <w:autoSpaceDE w:val="0"/>
        <w:widowControl/>
        <w:spacing w:line="200" w:lineRule="exact" w:before="2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Further details on our approach to building safety can be viewed on our website at: </w:t>
      </w:r>
    </w:p>
    <w:p>
      <w:pPr>
        <w:autoSpaceDN w:val="0"/>
        <w:autoSpaceDE w:val="0"/>
        <w:widowControl/>
        <w:spacing w:line="200" w:lineRule="exact" w:before="18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https://www.barrattdevelopments.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c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k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/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b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-u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/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-a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p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3" w:history="1">
          <w:r>
            <w:rPr>
              <w:rStyle w:val="Hyperlink"/>
            </w:rPr>
            <w:t>proach-to-building-safety</w:t>
          </w:r>
        </w:hyperlink>
      </w:r>
      <w:r>
        <w:rPr>
          <w:rFonts w:ascii="ArialMT" w:hAnsi="ArialMT" w:eastAsia="ArialMT"/>
          <w:b w:val="0"/>
          <w:i w:val="0"/>
          <w:color w:val="242424"/>
          <w:sz w:val="18"/>
        </w:rPr>
        <w:hyperlink r:id="rId13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178" w:lineRule="exact" w:before="3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Charitable giving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FY24, we donated £6.4m (FY23 £6.3m) to charitable causes through the Barratt Foundation and employee fundraising. </w:t>
      </w:r>
    </w:p>
    <w:p>
      <w:pPr>
        <w:autoSpaceDN w:val="0"/>
        <w:autoSpaceDE w:val="0"/>
        <w:widowControl/>
        <w:spacing w:line="200" w:lineRule="exact" w:before="14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During the first half of FY25, the Barratt Foundation pledged more than £2m in grants to new and existing Charity Partners. Notable </w:t>
      </w:r>
    </w:p>
    <w:p>
      <w:pPr>
        <w:autoSpaceDN w:val="0"/>
        <w:autoSpaceDE w:val="0"/>
        <w:widowControl/>
        <w:spacing w:line="200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the half, the Foundation: </w:t>
      </w:r>
    </w:p>
    <w:p>
      <w:pPr>
        <w:autoSpaceDN w:val="0"/>
        <w:tabs>
          <w:tab w:pos="714" w:val="left"/>
        </w:tabs>
        <w:autoSpaceDE w:val="0"/>
        <w:widowControl/>
        <w:spacing w:line="220" w:lineRule="exact" w:before="206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Donated £100,000 to the “A place to call home” campaign, with Comic Relief and The Evening Standard, targeting support </w:t>
      </w:r>
    </w:p>
    <w:p>
      <w:pPr>
        <w:autoSpaceDN w:val="0"/>
        <w:autoSpaceDE w:val="0"/>
        <w:widowControl/>
        <w:spacing w:line="200" w:lineRule="exact" w:before="6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for children and families facing food insecurity and homelessness. </w:t>
      </w:r>
    </w:p>
    <w:p>
      <w:pPr>
        <w:autoSpaceDN w:val="0"/>
        <w:tabs>
          <w:tab w:pos="714" w:val="left"/>
        </w:tabs>
        <w:autoSpaceDE w:val="0"/>
        <w:widowControl/>
        <w:spacing w:line="220" w:lineRule="exact" w:before="62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Donated £48,000 in December to more than thirty deserving charities, through the Winter Support Fund, helping them </w:t>
      </w:r>
    </w:p>
    <w:p>
      <w:pPr>
        <w:autoSpaceDN w:val="0"/>
        <w:autoSpaceDE w:val="0"/>
        <w:widowControl/>
        <w:spacing w:line="200" w:lineRule="exact" w:before="4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navigate the most challenging winter period. </w:t>
      </w:r>
    </w:p>
    <w:p>
      <w:pPr>
        <w:autoSpaceDN w:val="0"/>
        <w:tabs>
          <w:tab w:pos="714" w:val="left"/>
        </w:tabs>
        <w:autoSpaceDE w:val="0"/>
        <w:widowControl/>
        <w:spacing w:line="220" w:lineRule="exact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Renewed its partnership with the Outward Bound Trust, committing funding of £1m over three years; </w:t>
      </w:r>
    </w:p>
    <w:p>
      <w:pPr>
        <w:autoSpaceDN w:val="0"/>
        <w:tabs>
          <w:tab w:pos="714" w:val="left"/>
        </w:tabs>
        <w:autoSpaceDE w:val="0"/>
        <w:widowControl/>
        <w:spacing w:line="218" w:lineRule="exact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Launched a new partnership with OnSide, a national youth charity with a growing a state-of-the-art network of youth centres </w:t>
      </w:r>
    </w:p>
    <w:p>
      <w:pPr>
        <w:autoSpaceDN w:val="0"/>
        <w:autoSpaceDE w:val="0"/>
        <w:widowControl/>
        <w:spacing w:line="200" w:lineRule="exact" w:before="8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(called Youth Zones) across the country, with a donation of £300,000; </w:t>
      </w:r>
    </w:p>
    <w:p>
      <w:pPr>
        <w:autoSpaceDN w:val="0"/>
        <w:tabs>
          <w:tab w:pos="714" w:val="left"/>
        </w:tabs>
        <w:autoSpaceDE w:val="0"/>
        <w:widowControl/>
        <w:spacing w:line="220" w:lineRule="exact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Renewed its partnership with Cleanup UK, committing funding of £75,000 over three years. This follows the hugely </w:t>
      </w:r>
    </w:p>
    <w:p>
      <w:pPr>
        <w:autoSpaceDN w:val="0"/>
        <w:autoSpaceDE w:val="0"/>
        <w:widowControl/>
        <w:spacing w:line="202" w:lineRule="exact" w:before="4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successful first national volunteering campaign in 2024 and will support the delivery and growth of the Barratt Redrow </w:t>
      </w:r>
    </w:p>
    <w:p>
      <w:pPr>
        <w:autoSpaceDN w:val="0"/>
        <w:autoSpaceDE w:val="0"/>
        <w:widowControl/>
        <w:spacing w:line="200" w:lineRule="exact" w:before="6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Cleanup in 2025, 2026 and 2027. </w:t>
      </w:r>
    </w:p>
    <w:p>
      <w:pPr>
        <w:autoSpaceDN w:val="0"/>
        <w:autoSpaceDE w:val="0"/>
        <w:widowControl/>
        <w:spacing w:line="202" w:lineRule="exact" w:before="27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Barratt Foundation’s charitable giving programmes will be rolled out to Redrow colleagues with the Foundation excited to share </w:t>
      </w:r>
    </w:p>
    <w:p>
      <w:pPr>
        <w:autoSpaceDN w:val="0"/>
        <w:autoSpaceDE w:val="0"/>
        <w:widowControl/>
        <w:spacing w:line="202" w:lineRule="exact" w:before="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 broader range of volunteering and fundraising activities to colleagues across the group’s enlarged operations.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Board changes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2" w:lineRule="exact" w:before="1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On 4 October 2024, we were delighted to welcome, as planned, three members of the Redrow plc Board to the Barratt Redrow plc </w:t>
      </w:r>
    </w:p>
    <w:p>
      <w:pPr>
        <w:autoSpaceDN w:val="0"/>
        <w:autoSpaceDE w:val="0"/>
        <w:widowControl/>
        <w:spacing w:line="200" w:lineRule="exact" w:before="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Board. Matthew Pratt was appointed to the position of Chief Executive Officer, Redrow and Group Executive Director, and Geeta </w:t>
      </w:r>
    </w:p>
    <w:p>
      <w:pPr>
        <w:autoSpaceDN w:val="0"/>
        <w:autoSpaceDE w:val="0"/>
        <w:widowControl/>
        <w:spacing w:line="200" w:lineRule="exact" w:before="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Nanda and Nicky Dulieu, were both appointed as Non-Executive Directors of Barratt Redrow plc. </w:t>
      </w:r>
    </w:p>
    <w:p>
      <w:pPr>
        <w:autoSpaceDN w:val="0"/>
        <w:autoSpaceDE w:val="0"/>
        <w:widowControl/>
        <w:spacing w:line="200" w:lineRule="exact" w:before="18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Board will continue to assess its own composition and that of its Committees. It will also consider the requirements of the Hampton </w:t>
      </w:r>
    </w:p>
    <w:p>
      <w:pPr>
        <w:autoSpaceDN w:val="0"/>
        <w:autoSpaceDE w:val="0"/>
        <w:widowControl/>
        <w:spacing w:line="202" w:lineRule="exact" w:before="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Alexander and the Parker and McGregor-Smith reviews throughout this process.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Reporting dates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2" w:lineRule="exact" w:before="18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Group has, following the acquisition of Redrow plc moved to a 52-week reporting cycle. As a result of this change in reporting </w:t>
      </w:r>
    </w:p>
    <w:p>
      <w:pPr>
        <w:autoSpaceDN w:val="0"/>
        <w:autoSpaceDE w:val="0"/>
        <w:widowControl/>
        <w:spacing w:line="200" w:lineRule="exact" w:before="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cycle we are reporting interim results for the 26 weeks to 29 December 2024. Our FY25 full year results will be reported to 29 June </w:t>
      </w:r>
    </w:p>
    <w:p>
      <w:pPr>
        <w:autoSpaceDN w:val="0"/>
        <w:autoSpaceDE w:val="0"/>
        <w:widowControl/>
        <w:spacing w:line="200" w:lineRule="exact" w:before="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2025. </w:t>
      </w:r>
    </w:p>
    <w:p>
      <w:pPr>
        <w:autoSpaceDN w:val="0"/>
        <w:autoSpaceDE w:val="0"/>
        <w:widowControl/>
        <w:spacing w:line="178" w:lineRule="exact" w:before="751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7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  <w:u w:val="single"/>
        </w:rPr>
        <w:t>Our financial performanc</w:t>
      </w:r>
      <w:r>
        <w:rPr>
          <w:rFonts w:ascii="Arial" w:hAnsi="Arial" w:eastAsia="Arial"/>
          <w:b/>
          <w:i w:val="0"/>
          <w:color w:val="000000"/>
          <w:sz w:val="24"/>
          <w:u w:val="single"/>
        </w:rPr>
        <w:t>e</w:t>
      </w:r>
    </w:p>
    <w:p>
      <w:pPr>
        <w:autoSpaceDN w:val="0"/>
        <w:autoSpaceDE w:val="0"/>
        <w:widowControl/>
        <w:spacing w:line="233" w:lineRule="auto" w:before="18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Reservation performance</w:t>
      </w:r>
    </w:p>
    <w:p>
      <w:pPr>
        <w:autoSpaceDN w:val="0"/>
        <w:autoSpaceDE w:val="0"/>
        <w:widowControl/>
        <w:spacing w:line="206" w:lineRule="exact" w:before="208" w:after="206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Our net private weekly reservation rate was up 33% to 0.60 compared to 0.45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A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like for like aggregated performance for Barratt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Redrow in the comparable period. This improvement reflected a more stable economic and political backdrop during the first half, as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well as a less volatile mortgage lending environment. Customer demand, whilst remaining highly sensitive to mortgage rates,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benefited from relative mortgage rate stability, in sharp contrast to the more challenging interest rate movements during the first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quarter of FY24.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83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 December 2024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Barratt and Redrow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aggregated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31 December 2023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Change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31 December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2023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R (2)</w:t>
            </w:r>
          </w:p>
        </w:tc>
      </w:tr>
      <w:tr>
        <w:trPr>
          <w:trHeight w:hRule="exact" w:val="216"/>
        </w:trPr>
        <w:tc>
          <w:tcPr>
            <w:tcW w:type="dxa" w:w="104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Average net private reservations per active outlet per week </w:t>
            </w:r>
          </w:p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Wholly owned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0.60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0.45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33.3%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0.48 </w:t>
            </w:r>
          </w:p>
        </w:tc>
      </w:tr>
      <w:tr>
        <w:trPr>
          <w:trHeight w:hRule="exact" w:val="21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- Of which PRS and other MUS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0.06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0.05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20.0%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0.06 </w:t>
            </w:r>
          </w:p>
        </w:tc>
      </w:tr>
      <w:tr>
        <w:trPr>
          <w:trHeight w:hRule="exact" w:val="220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0.80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0.78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2.6%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0.78 </w:t>
            </w:r>
          </w:p>
        </w:tc>
      </w:tr>
      <w:tr>
        <w:trPr>
          <w:trHeight w:hRule="exact" w:val="214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0.61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0.46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32.6%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0.49 </w:t>
            </w:r>
          </w:p>
        </w:tc>
      </w:tr>
      <w:tr>
        <w:trPr>
          <w:trHeight w:hRule="exact" w:val="218"/>
        </w:trPr>
        <w:tc>
          <w:tcPr>
            <w:tcW w:type="dxa" w:w="104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Average active sales outlets </w:t>
            </w:r>
          </w:p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Wholly owned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387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440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(12.0%)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358 </w:t>
            </w:r>
          </w:p>
        </w:tc>
      </w:tr>
      <w:tr>
        <w:trPr>
          <w:trHeight w:hRule="exact" w:val="21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11.1%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449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(11.6%)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367 </w:t>
            </w:r>
          </w:p>
        </w:tc>
      </w:tr>
      <w:tr>
        <w:trPr>
          <w:trHeight w:hRule="exact" w:val="216"/>
        </w:trPr>
        <w:tc>
          <w:tcPr>
            <w:tcW w:type="dxa" w:w="104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Private forward sales roll (homes) </w:t>
            </w:r>
          </w:p>
        </w:tc>
      </w:tr>
      <w:tr>
        <w:trPr>
          <w:trHeight w:hRule="exact" w:val="21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30-June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3,386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3,884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(12.8%)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3,884 </w:t>
            </w:r>
          </w:p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Reservations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1,152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1,139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1.1%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1,139 </w:t>
            </w:r>
          </w:p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Completions </w:t>
            </w:r>
          </w:p>
        </w:tc>
        <w:tc>
          <w:tcPr>
            <w:tcW w:type="dxa" w:w="2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(568) </w:t>
            </w:r>
          </w:p>
        </w:tc>
        <w:tc>
          <w:tcPr>
            <w:tcW w:type="dxa" w:w="1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(572) </w:t>
            </w:r>
          </w:p>
        </w:tc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(0.7%) </w:t>
            </w:r>
          </w:p>
        </w:tc>
        <w:tc>
          <w:tcPr>
            <w:tcW w:type="dxa" w:w="17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(572) </w:t>
            </w:r>
          </w:p>
        </w:tc>
      </w:tr>
      <w:tr>
        <w:trPr>
          <w:trHeight w:hRule="exact" w:val="216"/>
        </w:trPr>
        <w:tc>
          <w:tcPr>
            <w:tcW w:type="dxa" w:w="31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21/23 August </w:t>
            </w:r>
          </w:p>
        </w:tc>
        <w:tc>
          <w:tcPr>
            <w:tcW w:type="dxa" w:w="2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3,970 </w:t>
            </w:r>
          </w:p>
        </w:tc>
        <w:tc>
          <w:tcPr>
            <w:tcW w:type="dxa" w:w="1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4,451 </w:t>
            </w:r>
          </w:p>
        </w:tc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(10.8%) </w:t>
            </w:r>
          </w:p>
        </w:tc>
        <w:tc>
          <w:tcPr>
            <w:tcW w:type="dxa" w:w="17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4,451 </w:t>
            </w:r>
          </w:p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Redrow acquired order book </w:t>
            </w:r>
          </w:p>
        </w:tc>
        <w:tc>
          <w:tcPr>
            <w:tcW w:type="dxa" w:w="2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1,358 </w:t>
            </w:r>
          </w:p>
        </w:tc>
        <w:tc>
          <w:tcPr>
            <w:tcW w:type="dxa" w:w="1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1,384 </w:t>
            </w:r>
          </w:p>
        </w:tc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(1.9%) </w:t>
            </w:r>
          </w:p>
        </w:tc>
        <w:tc>
          <w:tcPr>
            <w:tcW w:type="dxa" w:w="17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Reservations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4,909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4,145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18.4%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3,363 </w:t>
            </w:r>
          </w:p>
        </w:tc>
      </w:tr>
      <w:tr>
        <w:trPr>
          <w:trHeight w:hRule="exact" w:val="21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Completions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(4,941)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(5,303)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(6.8%)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(4,208) </w:t>
            </w:r>
          </w:p>
        </w:tc>
      </w:tr>
      <w:tr>
        <w:trPr>
          <w:trHeight w:hRule="exact" w:val="21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29/31 December </w:t>
            </w:r>
          </w:p>
        </w:tc>
        <w:tc>
          <w:tcPr>
            <w:tcW w:type="dxa" w:w="2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5,296 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4,677 </w:t>
            </w:r>
          </w:p>
        </w:tc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13.2% </w:t>
            </w:r>
          </w:p>
        </w:tc>
        <w:tc>
          <w:tcPr>
            <w:tcW w:type="dxa" w:w="17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3,606 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80"/>
        <w:gridCol w:w="5280"/>
      </w:tblGrid>
      <w:tr>
        <w:trPr>
          <w:trHeight w:hRule="exact" w:val="390"/>
        </w:trPr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(1)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(2)</w:t>
            </w:r>
          </w:p>
        </w:tc>
        <w:tc>
          <w:tcPr>
            <w:tcW w:type="dxa" w:w="7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128" w:right="273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Barratt and Redrow included from 24 August 2023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Barratt as reported in prior period, HY24, from 1 July 2023 through 31 December 2023 </w:t>
            </w:r>
          </w:p>
        </w:tc>
      </w:tr>
    </w:tbl>
    <w:p>
      <w:pPr>
        <w:autoSpaceDN w:val="0"/>
        <w:autoSpaceDE w:val="0"/>
        <w:widowControl/>
        <w:spacing w:line="208" w:lineRule="exact" w:before="146" w:after="206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the half year, we operated from an average of 397 active sales outlets, including JVs, a decrease of 11.6% on the 449 aggregate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prior half year average outlets but in line with our guidance at the start of the year. We launched 42 new sales outlets in the half,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including JVs, and we continue to anticipate average sales outlets will begin to recover in the fourth quarter of FY25 and throughout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FY26. At 29 December 2024, we were operating from 426 active sales outlets. We continue to expect that average active sales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outlets, including JVs, for the full year will be c. 9% lower than the 443 aggregate average outlets in FY24 for the combined group.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63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Forward order book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 December 2024 </w:t>
            </w:r>
          </w:p>
        </w:tc>
        <w:tc>
          <w:tcPr>
            <w:tcW w:type="dxa" w:w="28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432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Barratt and Redrow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aggregated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31 December 2023 </w:t>
            </w:r>
          </w:p>
        </w:tc>
        <w:tc>
          <w:tcPr>
            <w:tcW w:type="dxa" w:w="283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Change % </w:t>
            </w:r>
          </w:p>
        </w:tc>
      </w:tr>
      <w:tr>
        <w:trPr>
          <w:trHeight w:hRule="exact" w:val="21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Homes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Homes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Homes </w:t>
            </w:r>
          </w:p>
        </w:tc>
      </w:tr>
      <w:tr>
        <w:trPr>
          <w:trHeight w:hRule="exact" w:val="21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Private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2,131.3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5,296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1,764.6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4,677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20.8%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13.2% </w:t>
            </w:r>
          </w:p>
        </w:tc>
      </w:tr>
      <w:tr>
        <w:trPr>
          <w:trHeight w:hRule="exact" w:val="21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Affordable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735.9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4,384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942.0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5,648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(21.9%)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(22.4%) </w:t>
            </w:r>
          </w:p>
        </w:tc>
      </w:tr>
      <w:tr>
        <w:trPr>
          <w:trHeight w:hRule="exact" w:val="21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Wholly owned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2,867.2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9,680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2,706.6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10,325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5.9%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(6.2%) </w:t>
            </w:r>
          </w:p>
        </w:tc>
      </w:tr>
      <w:tr>
        <w:trPr>
          <w:trHeight w:hRule="exact" w:val="216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151.2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396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160.0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(5.5%)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(12.6%) </w:t>
            </w:r>
          </w:p>
        </w:tc>
      </w:tr>
      <w:tr>
        <w:trPr>
          <w:trHeight w:hRule="exact" w:val="218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3,018.4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10,076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2,866.6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10,778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5.3%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(6.5%) </w:t>
            </w:r>
          </w:p>
        </w:tc>
      </w:tr>
    </w:tbl>
    <w:p>
      <w:pPr>
        <w:autoSpaceDN w:val="0"/>
        <w:autoSpaceDE w:val="0"/>
        <w:widowControl/>
        <w:spacing w:line="206" w:lineRule="exact" w:before="38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Reflecting the reduction in average sales outlets, notwithstanding the stronger reservation rate experienced in the half, total forward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sales (including JVs) as at 29 December 2024 reduced by 6.5% to 10,076 homes. The total value of the order book (including JVs)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as of 29 December 2024 has increased by 5.3% to £3,018.4m reflecting a recovery in the private order book up 13% from 4,677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homes to 5,296 homes at 29 December 2024, with the private order book value, at £2.1bn, up almost 21% on the prior year’s £1.8bn. </w:t>
      </w:r>
    </w:p>
    <w:p>
      <w:pPr>
        <w:autoSpaceDN w:val="0"/>
        <w:autoSpaceDE w:val="0"/>
        <w:widowControl/>
        <w:spacing w:line="208" w:lineRule="exact" w:before="180" w:after="0"/>
        <w:ind w:left="0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Meanwhile, in the affordable housing market, reflecting both challenging market conditions for affordable housing providers, as well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as the slowdown in affordable housing tenders with the decline in average sales outlets, the enlarged group’s affordable order book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reduced by around 22% on the prior year to 4,384 homes with a value of £735.9m. </w:t>
      </w:r>
    </w:p>
    <w:p>
      <w:pPr>
        <w:autoSpaceDN w:val="0"/>
        <w:autoSpaceDE w:val="0"/>
        <w:widowControl/>
        <w:spacing w:line="178" w:lineRule="exact" w:before="230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8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Home completions</w:t>
      </w:r>
    </w:p>
    <w:p>
      <w:pPr>
        <w:autoSpaceDN w:val="0"/>
        <w:autoSpaceDE w:val="0"/>
        <w:widowControl/>
        <w:spacing w:line="206" w:lineRule="exact" w:before="176" w:after="21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Group’s completion mix by both volume and average sales price (ASP), are detailed in the following table comparing completions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ASPs in HY25 to the aggregated results in HY24. Barratt’s performance as reported for HY24 is also included for reference.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83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 December 2024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Barratt and Redrow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aggregated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31 December 2023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Change (%)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Half year ended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31 December 2023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R (2)</w:t>
            </w:r>
          </w:p>
        </w:tc>
      </w:tr>
      <w:tr>
        <w:trPr>
          <w:trHeight w:hRule="exact" w:val="214"/>
        </w:trPr>
        <w:tc>
          <w:tcPr>
            <w:tcW w:type="dxa" w:w="104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Home completions (units)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Underlying Private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5,090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5,103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(0.3%)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4,008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PRS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481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(43.5%)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481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MUS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(49.5%)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 </w:t>
            </w:r>
          </w:p>
        </w:tc>
      </w:tr>
      <w:tr>
        <w:trPr>
          <w:trHeight w:hRule="exact" w:val="21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private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5,509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5,875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(6.2%)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4,780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Affordable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1,712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(37.8%)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1,201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Wholly owned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6,574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7,587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(13.4%)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5,981 </w:t>
            </w:r>
          </w:p>
        </w:tc>
      </w:tr>
      <w:tr>
        <w:trPr>
          <w:trHeight w:hRule="exact" w:val="21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% Affordable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16.2%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22.6%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(640 bps)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20.1% </w:t>
            </w:r>
          </w:p>
        </w:tc>
      </w:tr>
      <w:tr>
        <w:trPr>
          <w:trHeight w:hRule="exact" w:val="22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43.2%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190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6,846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7,777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(12.0%)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6,171 </w:t>
            </w:r>
          </w:p>
        </w:tc>
      </w:tr>
      <w:tr>
        <w:trPr>
          <w:trHeight w:hRule="exact" w:val="218"/>
        </w:trPr>
        <w:tc>
          <w:tcPr>
            <w:tcW w:type="dxa" w:w="104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1048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ASP (£’000) </w:t>
            </w:r>
          </w:p>
        </w:tc>
      </w:tr>
      <w:tr>
        <w:trPr>
          <w:trHeight w:hRule="exact" w:val="21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Underlying Private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378.3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383.9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(1.5%)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357.8 </w:t>
            </w:r>
          </w:p>
        </w:tc>
      </w:tr>
      <w:tr>
        <w:trPr>
          <w:trHeight w:hRule="exact" w:val="22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PRS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282.4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273.2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3.4%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273.2 </w:t>
            </w:r>
          </w:p>
        </w:tc>
      </w:tr>
      <w:tr>
        <w:trPr>
          <w:trHeight w:hRule="exact" w:val="21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MUS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286.9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278.1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3.2%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278.1 </w:t>
            </w:r>
          </w:p>
        </w:tc>
      </w:tr>
      <w:tr>
        <w:trPr>
          <w:trHeight w:hRule="exact" w:val="21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private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371.1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369.6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0.4%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344.4 </w:t>
            </w:r>
          </w:p>
        </w:tc>
      </w:tr>
      <w:tr>
        <w:trPr>
          <w:trHeight w:hRule="exact" w:val="216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Affordable </w:t>
            </w:r>
          </w:p>
        </w:tc>
        <w:tc>
          <w:tcPr>
            <w:tcW w:type="dxa" w:w="212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178.4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179.0 </w:t>
            </w:r>
          </w:p>
        </w:tc>
        <w:tc>
          <w:tcPr>
            <w:tcW w:type="dxa" w:w="172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(0.3%) </w:t>
            </w:r>
          </w:p>
        </w:tc>
        <w:tc>
          <w:tcPr>
            <w:tcW w:type="dxa" w:w="209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160.8 </w:t>
            </w:r>
          </w:p>
        </w:tc>
      </w:tr>
      <w:tr>
        <w:trPr>
          <w:trHeight w:hRule="exact" w:val="216"/>
        </w:trPr>
        <w:tc>
          <w:tcPr>
            <w:tcW w:type="dxa" w:w="25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Wholly owned </w:t>
            </w:r>
          </w:p>
        </w:tc>
        <w:tc>
          <w:tcPr>
            <w:tcW w:type="dxa" w:w="212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339.9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326.6 </w:t>
            </w:r>
          </w:p>
        </w:tc>
        <w:tc>
          <w:tcPr>
            <w:tcW w:type="dxa" w:w="172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4.1% </w:t>
            </w:r>
          </w:p>
        </w:tc>
        <w:tc>
          <w:tcPr>
            <w:tcW w:type="dxa" w:w="209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307.6 </w:t>
            </w:r>
          </w:p>
        </w:tc>
      </w:tr>
      <w:tr>
        <w:trPr>
          <w:trHeight w:hRule="exact" w:val="22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 </w:t>
            </w:r>
          </w:p>
        </w:tc>
        <w:tc>
          <w:tcPr>
            <w:tcW w:type="dxa" w:w="21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353.9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353.9 </w:t>
            </w:r>
          </w:p>
        </w:tc>
        <w:tc>
          <w:tcPr>
            <w:tcW w:type="dxa" w:w="172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20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353.9 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80"/>
        <w:gridCol w:w="5280"/>
      </w:tblGrid>
      <w:tr>
        <w:trPr>
          <w:trHeight w:hRule="exact" w:val="392"/>
        </w:trPr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(1)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(2)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128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Barratt and Redrow included from 24 August 2023 based on the individual accounting policies of Barratt and Redrow.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Barratt as reported in prior HY24 from 1 July 2023 to 31 December 2023 </w:t>
            </w:r>
          </w:p>
        </w:tc>
      </w:tr>
    </w:tbl>
    <w:p>
      <w:pPr>
        <w:autoSpaceDN w:val="0"/>
        <w:autoSpaceDE w:val="0"/>
        <w:widowControl/>
        <w:spacing w:line="208" w:lineRule="exact" w:before="9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The combined Group delivered 6,846 total home completions (including JVs of 272 (HY24: 190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), a decline of 12% on the aggregated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7,777 home completions in HY24. The decline in total home completions in the period reflected a relatively limited, 6.2%, decline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private home completions but a more significant 37.8% decline in affordable home completions. </w:t>
      </w:r>
    </w:p>
    <w:p>
      <w:pPr>
        <w:autoSpaceDN w:val="0"/>
        <w:autoSpaceDE w:val="0"/>
        <w:widowControl/>
        <w:spacing w:line="206" w:lineRule="exact" w:before="21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modest decline in private home completions mainly reflected the size of the opening forward order book and lower sales outlets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the half, partially offset by improved reservation rates. The decline in affordable completions was in line with our expectations given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reduced affordable order book entering the new financial year, reflecting both challenging market conditions for affordable housing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providers as well as the slowdown in affordable housing tenders with the decline in average sales outlets. </w:t>
      </w:r>
    </w:p>
    <w:p>
      <w:pPr>
        <w:autoSpaceDN w:val="0"/>
        <w:autoSpaceDE w:val="0"/>
        <w:widowControl/>
        <w:spacing w:line="206" w:lineRule="exact" w:before="20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Our underlying private ASP decreased by 1.5% to £378.3k (HY24: £383.9k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£357.8k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We saw broadly flat pricing across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combined Group as a whole (HY24: 2.7%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underlying price decline) with site mix changes and a lower proportion of delivery from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London impacting the overall ASP movement. </w:t>
      </w:r>
    </w:p>
    <w:p>
      <w:pPr>
        <w:autoSpaceDN w:val="0"/>
        <w:autoSpaceDE w:val="0"/>
        <w:widowControl/>
        <w:spacing w:line="208" w:lineRule="exact" w:before="20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The total private ASP including PRS and multi-unit sales increased by 0.4% to £371.1k (HY24: £369.6k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£344.4k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>affordable ASP reduced by 0.3% to £178.4k (HY24: £179.0k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£160.8k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), a function of lower proportional delivery from London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modest changes in site mix. </w:t>
      </w:r>
    </w:p>
    <w:p>
      <w:pPr>
        <w:autoSpaceDN w:val="0"/>
        <w:autoSpaceDE w:val="0"/>
        <w:widowControl/>
        <w:spacing w:line="206" w:lineRule="exact" w:before="2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Reflecting all of the mix movements, the Group’s total wholly owned ASP was 4.1% higher on an aggregated comparable basis at </w:t>
      </w:r>
      <w:r>
        <w:rPr>
          <w:rFonts w:ascii="ArialMT" w:hAnsi="ArialMT" w:eastAsia="ArialMT"/>
          <w:b w:val="0"/>
          <w:i w:val="0"/>
          <w:color w:val="000000"/>
          <w:sz w:val="18"/>
        </w:rPr>
        <w:t>£339.9k and 10.5% ahead of the Barratt reported ASP in HY24 (HY24: £326.6k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£307.6k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178" w:lineRule="exact" w:before="45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Acquisition of Redrow plc </w:t>
      </w:r>
    </w:p>
    <w:p>
      <w:pPr>
        <w:autoSpaceDN w:val="0"/>
        <w:autoSpaceDE w:val="0"/>
        <w:widowControl/>
        <w:spacing w:line="230" w:lineRule="exact" w:before="208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completed the acquisition of Redrow plc on 21 August 2024. The fair value of the consideration paid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£2,528.9m included a premium of £469.1m to the book value of the net assets of the Redrow Group at the date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completion. As required by IFRS 3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Business Combinations,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identifiable assets and liabilities of Redrow have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recognised on the Group Balance Sheet at their fair value at the acquisition date. The values are provisional as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half year. The £259.0m excess of the consideration over the net assets acquired is recorded as goodwill. </w:t>
      </w:r>
    </w:p>
    <w:p>
      <w:pPr>
        <w:autoSpaceDN w:val="0"/>
        <w:autoSpaceDE w:val="0"/>
        <w:widowControl/>
        <w:spacing w:line="228" w:lineRule="exact" w:before="232" w:after="21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fair value adjustments to the Redrow book value of assets and liabilities, after reclassification of balances to align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their presentation in the Barratt Group financial statements, are shown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8.0" w:type="dxa"/>
      </w:tblPr>
      <w:tblGrid>
        <w:gridCol w:w="3520"/>
        <w:gridCol w:w="3520"/>
        <w:gridCol w:w="3520"/>
      </w:tblGrid>
      <w:tr>
        <w:trPr>
          <w:trHeight w:hRule="exact" w:val="47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Redrow plc – fair value adjustments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Explanatory note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726" w:right="0" w:hanging="1594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Fair value adjustment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£m </w:t>
            </w:r>
          </w:p>
        </w:tc>
      </w:tr>
      <w:tr>
        <w:trPr>
          <w:trHeight w:hRule="exact" w:val="24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Inventories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- Land options </w:t>
            </w:r>
          </w:p>
        </w:tc>
        <w:tc>
          <w:tcPr>
            <w:tcW w:type="dxa" w:w="190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1(a) </w:t>
            </w:r>
          </w:p>
        </w:tc>
        <w:tc>
          <w:tcPr>
            <w:tcW w:type="dxa" w:w="2098"/>
            <w:tcBorders>
              <w:start w:sz="4.0" w:val="single" w:color="#000000"/>
              <w:top w:sz="3.2000000000000455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71.8 </w:t>
            </w:r>
          </w:p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- Land not in development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1(b)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(60.5) </w:t>
            </w:r>
          </w:p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- Land and work in progress in development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1(c)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93.0 </w:t>
            </w:r>
          </w:p>
        </w:tc>
      </w:tr>
      <w:tr>
        <w:trPr>
          <w:trHeight w:hRule="exact" w:val="33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Inventories - total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104.3 </w:t>
            </w:r>
          </w:p>
        </w:tc>
      </w:tr>
      <w:tr>
        <w:trPr>
          <w:trHeight w:hRule="exact" w:val="24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Provisions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Building safety provisions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2(a)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(39.3) </w:t>
            </w:r>
          </w:p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Completed development provisions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2(b)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(7.2) </w:t>
            </w:r>
          </w:p>
        </w:tc>
      </w:tr>
      <w:tr>
        <w:trPr>
          <w:trHeight w:hRule="exact" w:val="242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Intangible assets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Brand</w:t>
            </w:r>
          </w:p>
        </w:tc>
        <w:tc>
          <w:tcPr>
            <w:tcW w:type="dxa" w:w="190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3(a) </w:t>
            </w:r>
          </w:p>
        </w:tc>
        <w:tc>
          <w:tcPr>
            <w:tcW w:type="dxa" w:w="2098"/>
            <w:tcBorders>
              <w:start w:sz="4.0" w:val="single" w:color="#000000"/>
              <w:top w:sz="3.199999999999818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231.8 </w:t>
            </w:r>
          </w:p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Customer order book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3(b)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4.1 </w:t>
            </w:r>
          </w:p>
        </w:tc>
      </w:tr>
      <w:tr>
        <w:trPr>
          <w:trHeight w:hRule="exact" w:val="24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Other adjustments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 </w:t>
            </w:r>
          </w:p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Deferred tax on adjustments above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(89.1) </w:t>
            </w:r>
          </w:p>
        </w:tc>
      </w:tr>
      <w:tr>
        <w:trPr>
          <w:trHeight w:hRule="exact" w:val="246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Goodwill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259.0 </w:t>
            </w:r>
          </w:p>
        </w:tc>
      </w:tr>
      <w:tr>
        <w:trPr>
          <w:trHeight w:hRule="exact" w:val="244"/>
        </w:trPr>
        <w:tc>
          <w:tcPr>
            <w:tcW w:type="dxa" w:w="456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premium allocated </w:t>
            </w:r>
          </w:p>
        </w:tc>
        <w:tc>
          <w:tcPr>
            <w:tcW w:type="dxa" w:w="190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tcBorders>
              <w:start w:sz="4.0" w:val="single" w:color="#000000"/>
              <w:top w:sz="4.0" w:val="single" w:color="#000000"/>
              <w:end w:sz="3.999999999999545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469.1 </w:t>
            </w:r>
          </w:p>
        </w:tc>
      </w:tr>
    </w:tbl>
    <w:p>
      <w:pPr>
        <w:autoSpaceDN w:val="0"/>
        <w:autoSpaceDE w:val="0"/>
        <w:widowControl/>
        <w:spacing w:line="233" w:lineRule="auto" w:before="21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Explanatory notes </w:t>
      </w:r>
    </w:p>
    <w:p>
      <w:pPr>
        <w:autoSpaceDN w:val="0"/>
        <w:tabs>
          <w:tab w:pos="720" w:val="left"/>
        </w:tabs>
        <w:autoSpaceDE w:val="0"/>
        <w:widowControl/>
        <w:spacing w:line="206" w:lineRule="exact" w:before="234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market value of land options on which planning has progressed; land not in development; and, land and work in progress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development have been adjusted to fair value. </w:t>
      </w:r>
    </w:p>
    <w:p>
      <w:pPr>
        <w:autoSpaceDN w:val="0"/>
        <w:tabs>
          <w:tab w:pos="1080" w:val="left"/>
        </w:tabs>
        <w:autoSpaceDE w:val="0"/>
        <w:widowControl/>
        <w:spacing w:line="208" w:lineRule="exact" w:before="58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(a) In relation to land options held by Redrow, progress on planning has resulted in an increase in their carrying value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£71.8m. </w:t>
      </w:r>
    </w:p>
    <w:p>
      <w:pPr>
        <w:autoSpaceDN w:val="0"/>
        <w:tabs>
          <w:tab w:pos="1080" w:val="left"/>
        </w:tabs>
        <w:autoSpaceDE w:val="0"/>
        <w:widowControl/>
        <w:spacing w:line="206" w:lineRule="exact" w:before="62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(b) Land not yet under development has been adjusted to reflect recent market conditions, resulting in a reduction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carrying value of £60.5m. </w:t>
      </w:r>
    </w:p>
    <w:p>
      <w:pPr>
        <w:autoSpaceDN w:val="0"/>
        <w:tabs>
          <w:tab w:pos="1080" w:val="left"/>
        </w:tabs>
        <w:autoSpaceDE w:val="0"/>
        <w:widowControl/>
        <w:spacing w:line="208" w:lineRule="exact" w:before="58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(c) Land and work in progress in development has been valued to reflect its current stage of development. This resulted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 increase in carrying value of £93.0m. </w:t>
      </w:r>
    </w:p>
    <w:p>
      <w:pPr>
        <w:autoSpaceDN w:val="0"/>
        <w:tabs>
          <w:tab w:pos="720" w:val="left"/>
        </w:tabs>
        <w:autoSpaceDE w:val="0"/>
        <w:widowControl/>
        <w:spacing w:line="200" w:lineRule="exact" w:before="66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Redrow’s provisions have been adjusted to fair value. </w:t>
      </w:r>
    </w:p>
    <w:p>
      <w:pPr>
        <w:autoSpaceDN w:val="0"/>
        <w:autoSpaceDE w:val="0"/>
        <w:widowControl/>
        <w:spacing w:line="206" w:lineRule="exact" w:before="64" w:after="0"/>
        <w:ind w:left="1078" w:right="20" w:hanging="358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(a) Redrow legacy property provisions have been increased, largely reflecting the requirement under IFRS 3 to bring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contingent liabilities onto the balance sheet. After the impact of discounting was also reflected, there was a net £39.3m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increase in the provision. </w:t>
      </w:r>
    </w:p>
    <w:p>
      <w:pPr>
        <w:autoSpaceDN w:val="0"/>
        <w:autoSpaceDE w:val="0"/>
        <w:widowControl/>
        <w:spacing w:line="200" w:lineRule="exact" w:before="66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(b) The re-appraisal of the Redrow completed development provision resulted in a £7.2m increase in the provision. </w:t>
      </w:r>
    </w:p>
    <w:p>
      <w:pPr>
        <w:autoSpaceDN w:val="0"/>
        <w:tabs>
          <w:tab w:pos="720" w:val="left"/>
        </w:tabs>
        <w:autoSpaceDE w:val="0"/>
        <w:widowControl/>
        <w:spacing w:line="202" w:lineRule="exact" w:before="68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relation to intangible asset recognition. </w:t>
      </w:r>
    </w:p>
    <w:p>
      <w:pPr>
        <w:autoSpaceDN w:val="0"/>
        <w:tabs>
          <w:tab w:pos="1070" w:val="left"/>
        </w:tabs>
        <w:autoSpaceDE w:val="0"/>
        <w:widowControl/>
        <w:spacing w:line="206" w:lineRule="exact" w:before="60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(a) The fair value of the Redrow brand is £231.8m and based on the assumption that the brand will be maintained into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future, the brand will not be amortised. </w:t>
      </w:r>
    </w:p>
    <w:p>
      <w:pPr>
        <w:autoSpaceDN w:val="0"/>
        <w:autoSpaceDE w:val="0"/>
        <w:widowControl/>
        <w:spacing w:line="200" w:lineRule="exact" w:before="66" w:after="0"/>
        <w:ind w:left="7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(b) The Redrow order book had a fair value uplift of £4.1m reflecting the embedded margin at the date of acquisition. </w:t>
      </w:r>
    </w:p>
    <w:p>
      <w:pPr>
        <w:autoSpaceDN w:val="0"/>
        <w:tabs>
          <w:tab w:pos="720" w:val="left"/>
        </w:tabs>
        <w:autoSpaceDE w:val="0"/>
        <w:widowControl/>
        <w:spacing w:line="206" w:lineRule="exact" w:before="270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All adjustments are anticipated to be subject to the Group’s effective tax rate at 29% and a deferred tax liability of £89.1m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has been recognised in the balance sheet at acquisition and will be released as these various PPA adjustments impact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income statement over the coming years. </w:t>
      </w:r>
    </w:p>
    <w:p>
      <w:pPr>
        <w:autoSpaceDN w:val="0"/>
        <w:tabs>
          <w:tab w:pos="720" w:val="left"/>
        </w:tabs>
        <w:autoSpaceDE w:val="0"/>
        <w:widowControl/>
        <w:spacing w:line="200" w:lineRule="exact" w:before="216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remaining balance of the premium to net asset value of £259.0m has been recognised as goodwill. </w:t>
      </w:r>
    </w:p>
    <w:p>
      <w:pPr>
        <w:autoSpaceDN w:val="0"/>
        <w:autoSpaceDE w:val="0"/>
        <w:widowControl/>
        <w:spacing w:line="224" w:lineRule="exact" w:before="18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expect these fair value adjustments to largely unwind through the income statement over a period of up to 24 months from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balance sheet date. The reduction in reported operating profit is estimated to be between £80m and £90m in FY25 and £10m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£20m in FY26 with no further material impacts on operating profit expected in subsequent years. In HY25, the reduction in reported </w:t>
      </w:r>
    </w:p>
    <w:p>
      <w:pPr>
        <w:autoSpaceDN w:val="0"/>
        <w:autoSpaceDE w:val="0"/>
        <w:widowControl/>
        <w:spacing w:line="202" w:lineRule="exact" w:before="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profit before tax was £50.4m. </w:t>
      </w:r>
    </w:p>
    <w:p>
      <w:pPr>
        <w:autoSpaceDN w:val="0"/>
        <w:autoSpaceDE w:val="0"/>
        <w:widowControl/>
        <w:spacing w:line="178" w:lineRule="exact" w:before="4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addition to the fair value adjustments above, the Redrow results for the period have been consolidated under Barratt Group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accounting policies, in particular the recognition of development-wide costs to complete. This increased cost of sales in HY25 by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£14.3m when compared to Redrow’s previous accounting policies. In FY25, the total impact of the application of Group policies for </w:t>
      </w:r>
      <w:r>
        <w:rPr>
          <w:rFonts w:ascii="ArialMT" w:hAnsi="ArialMT" w:eastAsia="ArialMT"/>
          <w:b w:val="0"/>
          <w:i w:val="0"/>
          <w:color w:val="000000"/>
          <w:sz w:val="18"/>
        </w:rPr>
        <w:t>Redrow is expected to be in the range of £25m to £30m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Financial results </w:t>
      </w:r>
    </w:p>
    <w:p>
      <w:pPr>
        <w:autoSpaceDN w:val="0"/>
        <w:autoSpaceDE w:val="0"/>
        <w:widowControl/>
        <w:spacing w:line="206" w:lineRule="exact" w:before="2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enlarged group delivered adjusted gross profit of £338.7m compared to £295.9m from Barratt on a reported basis in HY24. We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experienced a 110 basis point decline in adjusted gross margin in the half year. This reflected the impact of home completion volume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gearing, with house prices and build costs broadly stable at a combined Group level, as well as the purchase price allocation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accounting policy alignment impacts on Redrow’s adjusted gross profitability. </w:t>
      </w:r>
    </w:p>
    <w:p>
      <w:pPr>
        <w:autoSpaceDN w:val="0"/>
        <w:autoSpaceDE w:val="0"/>
        <w:widowControl/>
        <w:spacing w:line="208" w:lineRule="exact" w:before="21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purchase price allocation impact in the half year reduced adjusted gross profit by £47.9m with a further reduction of £14.3m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relation to the alignment of accounting policies. These adjustments along with the operational gearing impact of lower home </w:t>
      </w:r>
      <w:r>
        <w:rPr>
          <w:rFonts w:ascii="ArialMT" w:hAnsi="ArialMT" w:eastAsia="ArialMT"/>
          <w:b w:val="0"/>
          <w:i w:val="0"/>
          <w:color w:val="000000"/>
          <w:sz w:val="18"/>
        </w:rPr>
        <w:t>completions in the half, resulted in an adjusted gross margin of 14.9% (HY24: 16.0%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R </w:t>
      </w:r>
      <w:r>
        <w:rPr>
          <w:rFonts w:ascii="ArialMT" w:hAnsi="ArialMT" w:eastAsia="ArialMT"/>
          <w:b w:val="0"/>
          <w:i w:val="0"/>
          <w:color w:val="000000"/>
          <w:sz w:val="18"/>
        </w:rPr>
        <w:t>and 17.0%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There were no additional building </w:t>
      </w:r>
      <w:r>
        <w:rPr>
          <w:rFonts w:ascii="ArialMT" w:hAnsi="ArialMT" w:eastAsia="ArialMT"/>
          <w:b w:val="0"/>
          <w:i w:val="0"/>
          <w:color w:val="000000"/>
          <w:sz w:val="18"/>
        </w:rPr>
        <w:t>safety remediation charges in the half through cost of sales (HY24: £57.4m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charge), resulting in reported gross profit of £338.7m </w:t>
      </w:r>
      <w:r>
        <w:rPr>
          <w:rFonts w:ascii="ArialMT" w:hAnsi="ArialMT" w:eastAsia="ArialMT"/>
          <w:b w:val="0"/>
          <w:i w:val="0"/>
          <w:color w:val="000000"/>
          <w:sz w:val="18"/>
        </w:rPr>
        <w:t>and a reported gross margin of 14.9% (HY24: 12.9%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14.7%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24" w:lineRule="exact" w:before="19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Our forward sales at the start of the second half incorporated an estimated 1.1% underlying increase in sales prices, excluding multi-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unit sales, on the position a year ago. During the first half, total build cost inflation recognised through the income statement was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broadly flat as anticipated. As we continue to see limited movements in total build cost inflation, with current materials purchases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labour costs broadly stable on a year-on-year basis, our full year guidance remains unchanged, with total build cost inflation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anticipated to be broadly flat in the income statement. </w:t>
      </w:r>
    </w:p>
    <w:p>
      <w:pPr>
        <w:autoSpaceDN w:val="0"/>
        <w:autoSpaceDE w:val="0"/>
        <w:widowControl/>
        <w:spacing w:line="226" w:lineRule="exact" w:before="15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During the second half of FY25 we anticipate a proportionally higher share of home completions will improve fixed cost absorption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supporting adjusted gross profitability. However, there will also continue to be an impact on the Group’s reported performance from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unwind from purchase price adjustments. These are expected to reduce profit before tax by £35m to £45m in the second half. </w:t>
      </w:r>
    </w:p>
    <w:p>
      <w:pPr>
        <w:autoSpaceDN w:val="0"/>
        <w:autoSpaceDE w:val="0"/>
        <w:widowControl/>
        <w:spacing w:line="208" w:lineRule="exact" w:before="17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Adjusted administrative costs in the half year increased to £175.7m (HY24: £140.9m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£174.9m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reflecting the impact of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Redrow combination, as well as annual payroll inflation but reduced headcount through our continuing recruitment freeze and lower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IT development spend. We expect adjusted administrative expenses for FY25 will be c. £400m including intangible amortisation costs </w:t>
      </w:r>
      <w:r>
        <w:rPr>
          <w:rFonts w:ascii="ArialMT" w:hAnsi="ArialMT" w:eastAsia="ArialMT"/>
          <w:b w:val="0"/>
          <w:i w:val="0"/>
          <w:color w:val="000000"/>
          <w:sz w:val="18"/>
        </w:rPr>
        <w:t>of c. £10m and cost synergies of c. £10m. Part exchange net income was £0.9m (HY24: £0.2m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income). </w:t>
      </w:r>
    </w:p>
    <w:p>
      <w:pPr>
        <w:autoSpaceDN w:val="0"/>
        <w:autoSpaceDE w:val="0"/>
        <w:widowControl/>
        <w:spacing w:line="206" w:lineRule="exact" w:before="21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Adjusted operating profit increased to £163.9m (HY24: £155.2m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£248.4m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reflecting the inclusion of Redrow’s activities but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also reduced volume delivery given the lower order book at the start of FY25. Our adjusted operating profit margin reduced by 120 </w:t>
      </w:r>
      <w:r>
        <w:rPr>
          <w:rFonts w:ascii="ArialMT" w:hAnsi="ArialMT" w:eastAsia="ArialMT"/>
          <w:b w:val="0"/>
          <w:i w:val="0"/>
          <w:color w:val="000000"/>
          <w:sz w:val="18"/>
        </w:rPr>
        <w:t>bps to 7.2% (HY24: 8.4%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10.0%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 The adjusted operating profit before the impact of PPA adjustments of £47.9m, was £211.8m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the operating profit margin before the impact of PPA adjustments was 9.3%. </w:t>
      </w:r>
    </w:p>
    <w:p>
      <w:pPr>
        <w:autoSpaceDN w:val="0"/>
        <w:autoSpaceDE w:val="0"/>
        <w:widowControl/>
        <w:spacing w:line="200" w:lineRule="exact" w:before="2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To help the understanding of performance across the period in which Redrow was acquired, the following reconciliation is provided: </w:t>
      </w:r>
    </w:p>
    <w:p>
      <w:pPr>
        <w:autoSpaceDN w:val="0"/>
        <w:autoSpaceDE w:val="0"/>
        <w:widowControl/>
        <w:spacing w:line="206" w:lineRule="exact" w:before="2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The Barratt standalone adjusted operating margin increased by 140 bps to 9.8% (HY24: 8.4%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change in the adjusted operating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margin in the year reflected several impacts: </w:t>
      </w:r>
    </w:p>
    <w:p>
      <w:pPr>
        <w:autoSpaceDN w:val="0"/>
        <w:tabs>
          <w:tab w:pos="714" w:val="left"/>
        </w:tabs>
        <w:autoSpaceDE w:val="0"/>
        <w:widowControl/>
        <w:spacing w:line="220" w:lineRule="exact" w:before="12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" w:hAnsi="Arial" w:eastAsia="Arial"/>
          <w:b/>
          <w:i w:val="0"/>
          <w:color w:val="000000"/>
          <w:sz w:val="18"/>
        </w:rPr>
        <w:t>Completion volumes: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decline in wholly owned completions of 11.8%, or 706 homes, created a 150 bps negative impact; </w:t>
      </w:r>
    </w:p>
    <w:p>
      <w:pPr>
        <w:autoSpaceDN w:val="0"/>
        <w:tabs>
          <w:tab w:pos="714" w:val="left"/>
        </w:tabs>
        <w:autoSpaceDE w:val="0"/>
        <w:widowControl/>
        <w:spacing w:line="204" w:lineRule="exact" w:before="138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" w:hAnsi="Arial" w:eastAsia="Arial"/>
          <w:b/>
          <w:i w:val="0"/>
          <w:color w:val="000000"/>
          <w:sz w:val="18"/>
        </w:rPr>
        <w:t>Net inflation: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modest sales price improvements, combined with stability of build cost inflation produced a 30 bps positive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impact; </w:t>
      </w:r>
    </w:p>
    <w:p>
      <w:pPr>
        <w:autoSpaceDN w:val="0"/>
        <w:tabs>
          <w:tab w:pos="714" w:val="left"/>
        </w:tabs>
        <w:autoSpaceDE w:val="0"/>
        <w:widowControl/>
        <w:spacing w:line="208" w:lineRule="exact" w:before="132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" w:hAnsi="Arial" w:eastAsia="Arial"/>
          <w:b/>
          <w:i w:val="0"/>
          <w:color w:val="000000"/>
          <w:sz w:val="18"/>
        </w:rPr>
        <w:t>Completed developments provision: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after reflecting the increasingly extended time periods being experienced in relation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to the adoption of roads and public space by local authorities on completed developments into FY24, modest changes to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this provision in the year created a 60 bps positive margin impact; </w:t>
      </w:r>
    </w:p>
    <w:p>
      <w:pPr>
        <w:autoSpaceDN w:val="0"/>
        <w:tabs>
          <w:tab w:pos="714" w:val="left"/>
        </w:tabs>
        <w:autoSpaceDE w:val="0"/>
        <w:widowControl/>
        <w:spacing w:line="206" w:lineRule="exact" w:before="134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" w:hAnsi="Arial" w:eastAsia="Arial"/>
          <w:b/>
          <w:i w:val="0"/>
          <w:color w:val="000000"/>
          <w:sz w:val="18"/>
        </w:rPr>
        <w:t>Gladman: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start of recovery in the land buying market drove increased activity and, as a result, a positive impact of 60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bps on the adjusted operating margin; </w:t>
      </w:r>
    </w:p>
    <w:p>
      <w:pPr>
        <w:autoSpaceDN w:val="0"/>
        <w:tabs>
          <w:tab w:pos="714" w:val="left"/>
        </w:tabs>
        <w:autoSpaceDE w:val="0"/>
        <w:widowControl/>
        <w:spacing w:line="204" w:lineRule="exact" w:before="138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rPr>
          <w:rFonts w:ascii="Arial" w:hAnsi="Arial" w:eastAsia="Arial"/>
          <w:b/>
          <w:i w:val="0"/>
          <w:color w:val="000000"/>
          <w:sz w:val="18"/>
        </w:rPr>
        <w:t>Mix and other items: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changes in sales mix, improved profitability on part exchange properties and a policy amendment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relation to land options drove the remaining 140 bps positive impact on the Barratt standalone adjusted operating margin. </w:t>
      </w:r>
    </w:p>
    <w:p>
      <w:pPr>
        <w:autoSpaceDN w:val="0"/>
        <w:autoSpaceDE w:val="0"/>
        <w:widowControl/>
        <w:spacing w:line="208" w:lineRule="exact" w:before="2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Redrow standalone adjusted operating margin, for the period post-acquisition, decreased by 660 bps in total to 7.9%, compared </w:t>
      </w:r>
      <w:r>
        <w:rPr>
          <w:rFonts w:ascii="ArialMT" w:hAnsi="ArialMT" w:eastAsia="ArialMT"/>
          <w:b w:val="0"/>
          <w:i w:val="0"/>
          <w:color w:val="000000"/>
          <w:sz w:val="18"/>
        </w:rPr>
        <w:t>to 14.5% for the same period during HY24. However, within this movement, 250 bps relates to alignment of accounting policies post-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acquisition. The remaining change of 410 bps was driven by the following impacts: </w:t>
      </w:r>
    </w:p>
    <w:p>
      <w:pPr>
        <w:autoSpaceDN w:val="0"/>
        <w:tabs>
          <w:tab w:pos="720" w:val="left"/>
        </w:tabs>
        <w:autoSpaceDE w:val="0"/>
        <w:widowControl/>
        <w:spacing w:line="206" w:lineRule="exact" w:before="13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>Completion volumes: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the decline in wholly owned completions of 19.1%, or 307 homes, created a 180 bps negative impact,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broadly in line with Barratt standalone; </w:t>
      </w:r>
    </w:p>
    <w:p>
      <w:pPr>
        <w:autoSpaceDN w:val="0"/>
        <w:tabs>
          <w:tab w:pos="720" w:val="left"/>
        </w:tabs>
        <w:autoSpaceDE w:val="0"/>
        <w:widowControl/>
        <w:spacing w:line="208" w:lineRule="exact" w:before="13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>Net inflation: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whilst Redrow have also seen stability in build costs, sales prices saw deflation of c. 1.2% in the half equating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to 100 bps negative margin impact; </w:t>
      </w:r>
    </w:p>
    <w:p>
      <w:pPr>
        <w:autoSpaceDN w:val="0"/>
        <w:tabs>
          <w:tab w:pos="720" w:val="left"/>
        </w:tabs>
        <w:autoSpaceDE w:val="0"/>
        <w:widowControl/>
        <w:spacing w:line="220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>Mix and other items: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changes in sales mix, and other movements drove the remaining 130 bps impact. </w:t>
      </w:r>
    </w:p>
    <w:p>
      <w:pPr>
        <w:autoSpaceDN w:val="0"/>
        <w:autoSpaceDE w:val="0"/>
        <w:widowControl/>
        <w:spacing w:line="208" w:lineRule="exact" w:before="2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combined Barratt Redrow adjusted operating margin was also affected by PPA adjustments of £47.9m, which impacted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combined adjusted operating profit margin by 210 bps. </w:t>
      </w:r>
    </w:p>
    <w:p>
      <w:pPr>
        <w:autoSpaceDN w:val="0"/>
        <w:autoSpaceDE w:val="0"/>
        <w:widowControl/>
        <w:spacing w:line="178" w:lineRule="exact" w:before="49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11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2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We incurred adjusted item charges of £49.9m (HY24: £57.4m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within reported operating profits, with no adjusted item charges in our </w:t>
      </w:r>
      <w:r>
        <w:rPr>
          <w:rFonts w:ascii="ArialMT" w:hAnsi="ArialMT" w:eastAsia="ArialMT"/>
          <w:b w:val="0"/>
          <w:i w:val="0"/>
          <w:color w:val="000000"/>
          <w:sz w:val="18"/>
        </w:rPr>
        <w:t>joint ventures (HY24: £4.5m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adjusted charge). Adjusted items in the period included the remaining transaction costs, incurred by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both Barratt and Redrow, including the associated Stamp Duty costs in relation to the acquisition of Redrow plc (£35.5m), and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initial restructuring costs to realise synergies of (£14.4m). </w:t>
      </w:r>
    </w:p>
    <w:p>
      <w:pPr>
        <w:autoSpaceDN w:val="0"/>
        <w:autoSpaceDE w:val="0"/>
        <w:widowControl/>
        <w:spacing w:line="208" w:lineRule="exact" w:before="20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After adjusted items, the reported operating profit was £114.0m (HY24: £97.8m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£191.0m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 the operating margin for the half </w:t>
      </w:r>
      <w:r>
        <w:rPr>
          <w:rFonts w:ascii="ArialMT" w:hAnsi="ArialMT" w:eastAsia="ArialMT"/>
          <w:b w:val="0"/>
          <w:i w:val="0"/>
          <w:color w:val="000000"/>
          <w:sz w:val="18"/>
        </w:rPr>
        <w:t>year was 5.0% (HY24: 5.3%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7.7%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6" w:lineRule="exact" w:before="20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Barratt Redrow received final CMA clearance for the combination on 4 October 2024. Given the time required to deliver on our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commitments to consult with employees as part of any restructuring, there were no cost synergies delivered in the half year. Looking </w:t>
      </w:r>
      <w:r>
        <w:rPr>
          <w:rFonts w:ascii="ArialMT" w:hAnsi="ArialMT" w:eastAsia="ArialMT"/>
          <w:b w:val="0"/>
          <w:i w:val="0"/>
          <w:color w:val="000000"/>
          <w:sz w:val="18"/>
        </w:rPr>
        <w:t>forward we expect to deliver c. £10m of cost synergies through our income statement in the second half and achieve an annual run-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rate of savings of c. £26m at the end of FY25. We anticipate the run rate of savings will now total c.£65m at the end of FY26, with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full run rate achieved by the end of HY28. </w:t>
      </w:r>
    </w:p>
    <w:p>
      <w:pPr>
        <w:autoSpaceDN w:val="0"/>
        <w:autoSpaceDE w:val="0"/>
        <w:widowControl/>
        <w:spacing w:line="206" w:lineRule="exact" w:before="210" w:after="0"/>
        <w:ind w:left="28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Net finance charges were above the prior period at £5.2m (HY24: £2.6m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This reflected a continuing but lower benefit from interest </w:t>
      </w:r>
      <w:r>
        <w:rPr>
          <w:rFonts w:ascii="ArialMT" w:hAnsi="ArialMT" w:eastAsia="ArialMT"/>
          <w:b w:val="0"/>
          <w:i w:val="0"/>
          <w:color w:val="000000"/>
          <w:sz w:val="18"/>
        </w:rPr>
        <w:t>received on cash on deposit, with finance income at £22.7m (HY24: £24.0m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cash related finance income in the half was </w:t>
      </w:r>
      <w:r>
        <w:rPr>
          <w:rFonts w:ascii="ArialMT" w:hAnsi="ArialMT" w:eastAsia="ArialMT"/>
          <w:b w:val="0"/>
          <w:i w:val="0"/>
          <w:color w:val="000000"/>
          <w:sz w:val="18"/>
        </w:rPr>
        <w:t>£17.4m (HY24: £19.0m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income), with non-cash charges of £22.6m (HY24: £21.6m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8" w:lineRule="exact" w:before="210" w:after="0"/>
        <w:ind w:left="2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non-cash finance charges reflected the increase in legacy property provisions at the start of the financial year, the additional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provisions inherited through the Redrow acquisition and, as a result, an increased charge with respect to the unwinding of the discount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attached to legacy property provisions, as well as a modest offset through a £2.1m reduction in imputed land creditor finance charges.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This increase in non-cash finance charges also included a £2.5m impact of discounting the Redrow proportion of the Group’s legacy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property provision. </w:t>
      </w:r>
    </w:p>
    <w:p>
      <w:pPr>
        <w:autoSpaceDN w:val="0"/>
        <w:autoSpaceDE w:val="0"/>
        <w:widowControl/>
        <w:spacing w:line="208" w:lineRule="exact" w:before="204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now anticipate FY25 net finance costs will be around £20m, comprising c. £25m of cash finance income and c. £45m of non-cash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finance charges including the estimated £5m interest charge with respect to Redrow legacy property provision discounting unwind. </w:t>
      </w:r>
    </w:p>
    <w:p>
      <w:pPr>
        <w:autoSpaceDN w:val="0"/>
        <w:autoSpaceDE w:val="0"/>
        <w:widowControl/>
        <w:spacing w:line="206" w:lineRule="exact" w:before="20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In the half year, the Group’s reported share of JV profit was £8.4m (HY24: £nil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adjusted share of JV profit was £8.4m (HY24: </w:t>
      </w:r>
      <w:r>
        <w:rPr>
          <w:rFonts w:ascii="ArialMT" w:hAnsi="ArialMT" w:eastAsia="ArialMT"/>
          <w:b w:val="0"/>
          <w:i w:val="0"/>
          <w:color w:val="000000"/>
          <w:sz w:val="18"/>
        </w:rPr>
        <w:t>£4.5m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>) with no adjusting charges associated with legacy properties (HY24: £4.5m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charge). </w:t>
      </w:r>
    </w:p>
    <w:p>
      <w:pPr>
        <w:autoSpaceDN w:val="0"/>
        <w:autoSpaceDE w:val="0"/>
        <w:widowControl/>
        <w:spacing w:line="206" w:lineRule="exact" w:before="21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Adjusted profit before tax was £167.1m (HY24: £157.1m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£248.8m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and, after adjusted items, profit before tax was £117.2m </w:t>
      </w:r>
      <w:r>
        <w:rPr>
          <w:rFonts w:ascii="ArialMT" w:hAnsi="ArialMT" w:eastAsia="ArialMT"/>
          <w:b w:val="0"/>
          <w:i w:val="0"/>
          <w:color w:val="000000"/>
          <w:sz w:val="18"/>
        </w:rPr>
        <w:t>(HY24: £95.2m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£186.9m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adjusted profit before tax, before the impact of PPA adjustments totalling £50.4m, was £217.5m. </w:t>
      </w:r>
    </w:p>
    <w:p>
      <w:pPr>
        <w:autoSpaceDN w:val="0"/>
        <w:autoSpaceDE w:val="0"/>
        <w:widowControl/>
        <w:spacing w:line="208" w:lineRule="exact" w:before="206" w:after="0"/>
        <w:ind w:left="2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The Group recognised £41.9m of total tax charges (HY24: £26.4m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>) at an effective rate of 35.8% (HY24: 27.7%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), with the tax rate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impacted by the absence of tax deductibility with respect to Redrow transaction costs reported in adjusted items. The expected tax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rate for the enlarged Group in FY25 is 29% on adjusted profit before tax, reflecting both the rates of corporation tax (25%) and RPDT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(4%). </w:t>
      </w:r>
    </w:p>
    <w:p>
      <w:pPr>
        <w:autoSpaceDN w:val="0"/>
        <w:autoSpaceDE w:val="0"/>
        <w:widowControl/>
        <w:spacing w:line="208" w:lineRule="exact" w:before="206" w:after="0"/>
        <w:ind w:left="28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Adjusted basic earnings per share reduced to 9.3 pence per share (HY24: 11.8 pence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per share). The step-up in adjusted pre-tax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profitability was offset by the increase in average shares in issue, following the acquisition of Redrow, and created the 21.2% reduction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adjusted earnings per share. </w:t>
      </w:r>
    </w:p>
    <w:p>
      <w:pPr>
        <w:autoSpaceDN w:val="0"/>
        <w:autoSpaceDE w:val="0"/>
        <w:widowControl/>
        <w:spacing w:line="206" w:lineRule="exact" w:before="20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Basic earnings per share reduced by 18.3% to 5.8 pence per share (HY24: 7.1 pence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per share). </w:t>
      </w:r>
    </w:p>
    <w:p>
      <w:pPr>
        <w:autoSpaceDN w:val="0"/>
        <w:autoSpaceDE w:val="0"/>
        <w:widowControl/>
        <w:spacing w:line="235" w:lineRule="auto" w:before="212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Maintaining a strong balance sheet </w:t>
      </w:r>
    </w:p>
    <w:p>
      <w:pPr>
        <w:autoSpaceDN w:val="0"/>
        <w:autoSpaceDE w:val="0"/>
        <w:widowControl/>
        <w:spacing w:line="206" w:lineRule="exact" w:before="20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continue to maintain an appropriate capital structure reflecting our disciplined operating framework to ensure our balance sheet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strength and resilience are maintained through the cycle. </w:t>
      </w:r>
    </w:p>
    <w:p>
      <w:pPr>
        <w:autoSpaceDN w:val="0"/>
        <w:autoSpaceDE w:val="0"/>
        <w:widowControl/>
        <w:spacing w:line="210" w:lineRule="exact" w:before="204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The net cash balance of £458.9m (31 December 2023: £753.4m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), including cash and cash equivalents of £655.3m (31 December </w:t>
      </w:r>
      <w:r>
        <w:rPr>
          <w:rFonts w:ascii="ArialMT" w:hAnsi="ArialMT" w:eastAsia="ArialMT"/>
          <w:b w:val="0"/>
          <w:i w:val="0"/>
          <w:color w:val="000000"/>
          <w:sz w:val="18"/>
        </w:rPr>
        <w:t>2023: £949.9m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reflects the resilience of underlying operating cash generation, notwithstanding: </w:t>
      </w:r>
    </w:p>
    <w:p>
      <w:pPr>
        <w:autoSpaceDN w:val="0"/>
        <w:tabs>
          <w:tab w:pos="748" w:val="left"/>
        </w:tabs>
        <w:autoSpaceDE w:val="0"/>
        <w:widowControl/>
        <w:spacing w:line="220" w:lineRule="exact" w:before="5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A £484.4m increase in working capital in the period (HY24: £145.1m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increase) which included: </w:t>
      </w:r>
    </w:p>
    <w:p>
      <w:pPr>
        <w:autoSpaceDN w:val="0"/>
        <w:tabs>
          <w:tab w:pos="1468" w:val="left"/>
        </w:tabs>
        <w:autoSpaceDE w:val="0"/>
        <w:widowControl/>
        <w:spacing w:line="222" w:lineRule="exact" w:before="28" w:after="0"/>
        <w:ind w:left="110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 £285.9m underlying increase in inventories on the balance sheet, after adjusting for the Redrow acquisition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impact, which included: </w:t>
      </w:r>
    </w:p>
    <w:p>
      <w:pPr>
        <w:autoSpaceDN w:val="0"/>
        <w:tabs>
          <w:tab w:pos="2188" w:val="left"/>
        </w:tabs>
        <w:autoSpaceDE w:val="0"/>
        <w:widowControl/>
        <w:spacing w:line="202" w:lineRule="exact" w:before="64" w:after="0"/>
        <w:ind w:left="182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8"/>
        </w:rPr>
        <w:t>▪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 decrease in land investment carried of £1.2m; and </w:t>
      </w:r>
    </w:p>
    <w:p>
      <w:pPr>
        <w:autoSpaceDN w:val="0"/>
        <w:tabs>
          <w:tab w:pos="2188" w:val="left"/>
        </w:tabs>
        <w:autoSpaceDE w:val="0"/>
        <w:widowControl/>
        <w:spacing w:line="202" w:lineRule="exact" w:before="60" w:after="0"/>
        <w:ind w:left="182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18"/>
        </w:rPr>
        <w:t>▪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 increase in construction work in progress of £285.6m. </w:t>
      </w:r>
    </w:p>
    <w:p>
      <w:pPr>
        <w:autoSpaceDN w:val="0"/>
        <w:tabs>
          <w:tab w:pos="1468" w:val="left"/>
        </w:tabs>
        <w:autoSpaceDE w:val="0"/>
        <w:widowControl/>
        <w:spacing w:line="200" w:lineRule="exact" w:before="50" w:after="0"/>
        <w:ind w:left="110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 underlying reduction in land creditors of £47.4m; </w:t>
      </w:r>
    </w:p>
    <w:p>
      <w:pPr>
        <w:autoSpaceDN w:val="0"/>
        <w:tabs>
          <w:tab w:pos="1468" w:val="left"/>
        </w:tabs>
        <w:autoSpaceDE w:val="0"/>
        <w:widowControl/>
        <w:spacing w:line="200" w:lineRule="exact" w:before="50" w:after="0"/>
        <w:ind w:left="110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 underlying reduction in trade and other payables, excluding land creditors, of £179.7m; </w:t>
      </w:r>
    </w:p>
    <w:p>
      <w:pPr>
        <w:autoSpaceDN w:val="0"/>
        <w:tabs>
          <w:tab w:pos="1468" w:val="left"/>
        </w:tabs>
        <w:autoSpaceDE w:val="0"/>
        <w:widowControl/>
        <w:spacing w:line="206" w:lineRule="exact" w:before="40" w:after="0"/>
        <w:ind w:left="110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An underlying decrease in receivables of £70.5m (HY24: £60.5m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decrease); and </w:t>
      </w:r>
    </w:p>
    <w:p>
      <w:pPr>
        <w:autoSpaceDN w:val="0"/>
        <w:tabs>
          <w:tab w:pos="1468" w:val="left"/>
        </w:tabs>
        <w:autoSpaceDE w:val="0"/>
        <w:widowControl/>
        <w:spacing w:line="208" w:lineRule="exact" w:before="36" w:after="0"/>
        <w:ind w:left="110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Legacy property building safety remediation spend of £46.5m (HY24: £38.1m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0" w:lineRule="exact" w:before="6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addition, during the half, net cash was impacted by: </w:t>
      </w:r>
    </w:p>
    <w:p>
      <w:pPr>
        <w:autoSpaceDN w:val="0"/>
        <w:tabs>
          <w:tab w:pos="748" w:val="left"/>
        </w:tabs>
        <w:autoSpaceDE w:val="0"/>
        <w:widowControl/>
        <w:spacing w:line="218" w:lineRule="exact" w:before="4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The payment of the final FY24 dividend of £170.5m (HY24: £228.0m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FY23 final dividend); and </w:t>
      </w:r>
    </w:p>
    <w:p>
      <w:pPr>
        <w:autoSpaceDN w:val="0"/>
        <w:tabs>
          <w:tab w:pos="748" w:val="left"/>
        </w:tabs>
        <w:autoSpaceDE w:val="0"/>
        <w:widowControl/>
        <w:spacing w:line="220" w:lineRule="exact" w:before="3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Tax payments of £75.6m (HY24: 24.1m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acquisition of Redrow completed on 21 August 2024 and resulted in the consolidation of net cash of £194.3m held by Redrow </w:t>
      </w:r>
    </w:p>
    <w:p>
      <w:pPr>
        <w:autoSpaceDN w:val="0"/>
        <w:autoSpaceDE w:val="0"/>
        <w:widowControl/>
        <w:spacing w:line="200" w:lineRule="exact" w:before="40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on that date. </w:t>
      </w:r>
    </w:p>
    <w:p>
      <w:pPr>
        <w:autoSpaceDN w:val="0"/>
        <w:autoSpaceDE w:val="0"/>
        <w:widowControl/>
        <w:spacing w:line="178" w:lineRule="exact" w:before="5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12 </w:t>
      </w:r>
    </w:p>
    <w:p>
      <w:pPr>
        <w:sectPr>
          <w:pgSz w:w="11906" w:h="16838"/>
          <w:pgMar w:top="492" w:right="638" w:bottom="354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anticipate year end net cash of between £0.5bn and £0.6bn with increased build activity in the second half, offset by a greater 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proportion of completions. Our construction activity will continue to be carefully managed to align with reservation activity, but we will 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see an impact from up-front construction work in progress invested to bring through the incremental growth in sales outlets planned 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the fourth quarter of FY25 and through FY26. </w:t>
      </w:r>
    </w:p>
    <w:p>
      <w:pPr>
        <w:autoSpaceDN w:val="0"/>
        <w:autoSpaceDE w:val="0"/>
        <w:widowControl/>
        <w:spacing w:line="208" w:lineRule="exact" w:before="24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increased pace of land buying activity has seen land creditors move modestly higher although land creditor funding remains </w:t>
      </w:r>
      <w:r>
        <w:rPr>
          <w:rFonts w:ascii="ArialMT" w:hAnsi="ArialMT" w:eastAsia="ArialMT"/>
          <w:b w:val="0"/>
          <w:i w:val="0"/>
          <w:color w:val="000000"/>
          <w:sz w:val="18"/>
        </w:rPr>
        <w:t>below our operating framework range. As at 29 December 2024 land creditors totalled £594.6m (31 December 2023: £367.2m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>£548.2m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>) and equated to 12.2% (31 December 2023: 12.3%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of the owned land bank. Land creditors falling due within the next 12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months, augmented by land creditors within Redrow’s balance sheet, totalled £401.0m at 29 December 2024 (31 December 2023: </w:t>
      </w:r>
      <w:r>
        <w:rPr>
          <w:rFonts w:ascii="ArialMT" w:hAnsi="ArialMT" w:eastAsia="ArialMT"/>
          <w:b w:val="0"/>
          <w:i w:val="0"/>
          <w:color w:val="000000"/>
          <w:sz w:val="18"/>
        </w:rPr>
        <w:t>£228.9m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6" w:lineRule="exact" w:before="2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After deducting land creditor obligations from our net cash balance, we recorded a total net indebtedness of £135.7m at 29 December </w:t>
      </w:r>
      <w:r>
        <w:rPr>
          <w:rFonts w:ascii="ArialMT" w:hAnsi="ArialMT" w:eastAsia="ArialMT"/>
          <w:b w:val="0"/>
          <w:i w:val="0"/>
          <w:color w:val="000000"/>
          <w:sz w:val="18"/>
        </w:rPr>
        <w:t>2024 (31 December 2023: net cash surplus of £386.2m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£326.2m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6" w:lineRule="exact" w:before="21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During the half, we once again extended our £700m revolving credit facility by one additional year to November 2029. This completes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full extension period of this facility. </w:t>
      </w:r>
    </w:p>
    <w:p>
      <w:pPr>
        <w:autoSpaceDN w:val="0"/>
        <w:autoSpaceDE w:val="0"/>
        <w:widowControl/>
        <w:spacing w:line="235" w:lineRule="auto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  <w:u w:val="single"/>
        </w:rPr>
        <w:t>CMA investigation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06" w:lineRule="exact" w:before="16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On 26 February 2024, the CMA launched an investigation into suspected breaches of competition law, relating to the exchange of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competitively sensitive information by eight housebuilders, including Barratt and Redrow. On 10 January 2025 the CMA announced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that its investigation would be extended by five months through to May 2025, to allow further investigation including additional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evidence gathering and CMA analysis and review. We continue to co-operate with the CMA in their investigation and evidence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gathering process. </w:t>
      </w:r>
    </w:p>
    <w:p>
      <w:pPr>
        <w:autoSpaceDN w:val="0"/>
        <w:autoSpaceDE w:val="0"/>
        <w:widowControl/>
        <w:spacing w:line="233" w:lineRule="auto" w:before="2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Capital structure and operati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ng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f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me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wor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k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16" w:after="21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revised operating framework and progress over the last 12-month period is shown below: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280"/>
        <w:gridCol w:w="5280"/>
      </w:tblGrid>
      <w:tr>
        <w:trPr>
          <w:trHeight w:hRule="exact" w:val="42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Operating framework </w:t>
            </w:r>
          </w:p>
        </w:tc>
      </w:tr>
      <w:tr>
        <w:trPr>
          <w:trHeight w:hRule="exact" w:val="63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Land bank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</w:t>
            </w:r>
          </w:p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c. 3.5 years owned and c.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1.0 year controlled </w:t>
            </w:r>
          </w:p>
        </w:tc>
      </w:tr>
      <w:tr>
        <w:trPr>
          <w:trHeight w:hRule="exact" w:val="50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Land creditors </w:t>
            </w:r>
          </w:p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Target 20 - 25% of the land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bank over medium term </w:t>
            </w:r>
          </w:p>
        </w:tc>
      </w:tr>
      <w:tr>
        <w:trPr>
          <w:trHeight w:hRule="exact" w:val="994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Net cash </w:t>
            </w:r>
          </w:p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Modest average net cash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over the financial year </w:t>
            </w:r>
          </w:p>
        </w:tc>
      </w:tr>
      <w:tr>
        <w:trPr>
          <w:trHeight w:hRule="exact" w:val="424"/>
        </w:trPr>
        <w:tc>
          <w:tcPr>
            <w:tcW w:type="dxa" w:w="528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04"/>
            <w:tcBorders>
              <w:start w:sz="4.0" w:val="single" w:color="#000000"/>
              <w:top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 end net cash </w:t>
            </w:r>
          </w:p>
        </w:tc>
      </w:tr>
      <w:tr>
        <w:trPr>
          <w:trHeight w:hRule="exact" w:val="68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2" w:right="58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indebtedness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(net cash and land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creditors) </w:t>
            </w:r>
          </w:p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Minimal year end total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indebtedness in the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medium term </w:t>
            </w:r>
          </w:p>
        </w:tc>
      </w:tr>
      <w:tr>
        <w:trPr>
          <w:trHeight w:hRule="exact" w:val="63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Treasury </w:t>
            </w:r>
          </w:p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Appropriate financing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facilities </w:t>
            </w:r>
          </w:p>
        </w:tc>
      </w:tr>
      <w:tr>
        <w:trPr>
          <w:trHeight w:hRule="exact" w:val="102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Shareholder returns </w:t>
            </w:r>
          </w:p>
        </w:tc>
        <w:tc>
          <w:tcPr>
            <w:tcW w:type="dxa" w:w="240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Ordinary dividend cover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1.75x moving to 2.0x from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FY26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96" w:right="638" w:bottom="354" w:left="708" w:header="720" w:footer="720" w:gutter="0"/>
          <w:cols w:num="2" w:equalWidth="0">
            <w:col w:w="4394" w:space="0"/>
            <w:col w:w="61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341" w:type="dxa"/>
      </w:tblPr>
      <w:tblGrid>
        <w:gridCol w:w="5280"/>
        <w:gridCol w:w="5280"/>
      </w:tblGrid>
      <w:tr>
        <w:trPr>
          <w:trHeight w:hRule="exact" w:val="420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Barratt Redrow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Position at 29 December 2024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Barratt reported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Position at 31 December 2023 </w:t>
            </w:r>
          </w:p>
        </w:tc>
      </w:tr>
      <w:tr>
        <w:trPr>
          <w:trHeight w:hRule="exact" w:val="634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5.0 years owned and 0.6 years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controlled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3.9 years owned and 0.6 years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controlled </w:t>
            </w:r>
          </w:p>
        </w:tc>
      </w:tr>
      <w:tr>
        <w:trPr>
          <w:trHeight w:hRule="exact" w:val="502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12.2%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12.3% </w:t>
            </w:r>
          </w:p>
        </w:tc>
      </w:tr>
      <w:tr>
        <w:trPr>
          <w:trHeight w:hRule="exact" w:val="994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£605.9m over six months ending 29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December 2024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£784.7m over six months ending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 December 2023 </w:t>
            </w:r>
          </w:p>
        </w:tc>
      </w:tr>
      <w:tr>
        <w:trPr>
          <w:trHeight w:hRule="exact" w:val="424"/>
        </w:trPr>
        <w:tc>
          <w:tcPr>
            <w:tcW w:type="dxa" w:w="311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£458.9m net cash </w:t>
            </w:r>
          </w:p>
        </w:tc>
        <w:tc>
          <w:tcPr>
            <w:tcW w:type="dxa" w:w="2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£753.4m net cash </w:t>
            </w:r>
          </w:p>
        </w:tc>
      </w:tr>
      <w:tr>
        <w:trPr>
          <w:trHeight w:hRule="exact" w:val="688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Total net indebtedness of £135.7m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Total net surplus of £386.2m </w:t>
            </w:r>
          </w:p>
        </w:tc>
      </w:tr>
      <w:tr>
        <w:trPr>
          <w:trHeight w:hRule="exact" w:val="630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£700m RCF expiring November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2029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£200m USPP maturing 2027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£700m RCF expiring November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2028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£200m USPP maturing 2027 </w:t>
            </w:r>
          </w:p>
        </w:tc>
      </w:tr>
      <w:tr>
        <w:trPr>
          <w:trHeight w:hRule="exact" w:val="1028"/>
        </w:trPr>
        <w:tc>
          <w:tcPr>
            <w:tcW w:type="dxa" w:w="31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FY25 proposed interim dividend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5.5p based on 1.75x cover </w:t>
            </w:r>
          </w:p>
          <w:p>
            <w:pPr>
              <w:autoSpaceDN w:val="0"/>
              <w:autoSpaceDE w:val="0"/>
              <w:widowControl/>
              <w:spacing w:line="202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Share buyback of £50m in H2 FY25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FY24 interim dividend of 4.4p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based on 1.75x cover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nextColumn"/>
          <w:pgSz w:w="11906" w:h="16838"/>
          <w:pgMar w:top="496" w:right="638" w:bottom="354" w:left="708" w:header="720" w:footer="720" w:gutter="0"/>
          <w:cols w:num="2" w:equalWidth="0">
            <w:col w:w="4394" w:space="0"/>
            <w:col w:w="6165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A.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Land supply is calculated as total owned (owned land and land subject to unconditional contracts) and controlled (land subject to conditional contracts) land bank plots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divided by wholly owned completions in the last 12 months. </w:t>
      </w:r>
    </w:p>
    <w:p>
      <w:pPr>
        <w:autoSpaceDN w:val="0"/>
        <w:autoSpaceDE w:val="0"/>
        <w:widowControl/>
        <w:spacing w:line="208" w:lineRule="exact" w:before="20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Net tangible assets were £6,356.1m and £4.38 per share at 29 December 2024, (31 December 2023: £4,397.0m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£4.51 per </w:t>
      </w:r>
      <w:r>
        <w:rPr>
          <w:rFonts w:ascii="ArialMT" w:hAnsi="ArialMT" w:eastAsia="ArialMT"/>
          <w:b w:val="0"/>
          <w:i w:val="0"/>
          <w:color w:val="000000"/>
          <w:sz w:val="18"/>
        </w:rPr>
        <w:t>share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of which land (net of land creditors) and work in progress totalled £7,543.2m and £5.20 per share (31 December 2023: </w:t>
      </w:r>
      <w:r>
        <w:rPr>
          <w:rFonts w:ascii="ArialMT" w:hAnsi="ArialMT" w:eastAsia="ArialMT"/>
          <w:b w:val="0"/>
          <w:i w:val="0"/>
          <w:color w:val="000000"/>
          <w:sz w:val="18"/>
        </w:rPr>
        <w:t>£4,615.2m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and £4.74 per share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33" w:lineRule="auto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Land and planning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6" w:lineRule="exact" w:before="20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Throughout the period we have maintained a proactive but selective approach to investment in land, taking into account the continuing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uncertain outlook for the housing market and the wider UK economy, as well as the ongoing constraints and delays in the planning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system. </w:t>
      </w:r>
    </w:p>
    <w:p>
      <w:pPr>
        <w:autoSpaceDN w:val="0"/>
        <w:autoSpaceDE w:val="0"/>
        <w:widowControl/>
        <w:spacing w:line="206" w:lineRule="exact" w:before="20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In the period, we approved 45 new sites (HY24: net approval of 6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sites). The approved sites added 7,727 plots, at a cost of £471.8m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equivalent to an average approved site size of 172 plots and an average plot cost of £61.1k. The plot cost of approved sites reflects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mix of both Barratt and higher value Redrow plots acquired in the period post-acquisition. </w:t>
      </w:r>
    </w:p>
    <w:p>
      <w:pPr>
        <w:autoSpaceDN w:val="0"/>
        <w:autoSpaceDE w:val="0"/>
        <w:widowControl/>
        <w:spacing w:line="178" w:lineRule="exact" w:before="24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13 </w:t>
      </w:r>
    </w:p>
    <w:p>
      <w:pPr>
        <w:sectPr>
          <w:type w:val="continuous"/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We invested £395.6m (HY24: £239m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on land acquisitions and the settlement of land creditors during the half year and we now </w:t>
      </w:r>
      <w:r>
        <w:rPr>
          <w:rFonts w:ascii="ArialMT" w:hAnsi="ArialMT" w:eastAsia="ArialMT"/>
          <w:b w:val="0"/>
          <w:i w:val="0"/>
          <w:color w:val="000000"/>
          <w:sz w:val="18"/>
        </w:rPr>
        <w:t>expect to invest between £0.9bn and £1.0bn on land and land creditors in FY25, significantly ahead of the £674.3m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invested by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Barratt in FY24. This increase in land investment includes transactions following the step up in land approvals by Barratt at the end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of FY24, as well as the land investment activities at Redrow since acquisition. </w:t>
      </w:r>
    </w:p>
    <w:p>
      <w:pPr>
        <w:autoSpaceDN w:val="0"/>
        <w:autoSpaceDE w:val="0"/>
        <w:widowControl/>
        <w:spacing w:line="208" w:lineRule="exact" w:before="178" w:after="0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continue to target a geographically balanced land portfolio with a supply of owned land of c. 3.5 years and a further c. 1.0 year of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controlled land. Reflecting selective land buying, but reduced levels of completions on a like-for-like basis, we remain above this </w:t>
      </w:r>
      <w:r>
        <w:rPr>
          <w:rFonts w:ascii="ArialMT" w:hAnsi="ArialMT" w:eastAsia="ArialMT"/>
          <w:b w:val="0"/>
          <w:i w:val="0"/>
          <w:color w:val="000000"/>
          <w:sz w:val="18"/>
        </w:rPr>
        <w:t>overall target at 5.6 years (31 December 2023: 4.5 years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8" w:lineRule="exact" w:before="204" w:after="206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Our land bank comprised of 5.0 years of owned land (31 December 2023: 3.9 years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 0.6 years of controlled land at 29 December </w:t>
      </w:r>
      <w:r>
        <w:rPr>
          <w:rFonts w:ascii="ArialMT" w:hAnsi="ArialMT" w:eastAsia="ArialMT"/>
          <w:b w:val="0"/>
          <w:i w:val="0"/>
          <w:color w:val="000000"/>
          <w:sz w:val="18"/>
        </w:rPr>
        <w:t>2024 (31 December 2023: 0.6 years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composition and planning status of our land bank at 29 December 2024 and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aggregated position at 30 June 2024 for Barratt Redrow and for Barratt reported on 31 December 2023 are detailed in the next table: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732"/>
        <w:gridCol w:w="2732"/>
        <w:gridCol w:w="2732"/>
        <w:gridCol w:w="2732"/>
      </w:tblGrid>
      <w:tr>
        <w:trPr>
          <w:trHeight w:hRule="exact" w:val="424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Our land bank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29 December 2024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245" w:lineRule="auto" w:before="6" w:after="0"/>
              <w:ind w:left="216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Barratt and Redrow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aggregated 30 June 2024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31 December 2023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R</w:t>
            </w:r>
          </w:p>
        </w:tc>
      </w:tr>
      <w:tr>
        <w:trPr>
          <w:trHeight w:hRule="exact" w:val="216"/>
        </w:trPr>
        <w:tc>
          <w:tcPr>
            <w:tcW w:type="dxa" w:w="41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Plots with detailed planning consent </w:t>
            </w:r>
          </w:p>
        </w:tc>
        <w:tc>
          <w:tcPr>
            <w:tcW w:type="dxa" w:w="22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57,653 </w:t>
            </w:r>
          </w:p>
        </w:tc>
        <w:tc>
          <w:tcPr>
            <w:tcW w:type="dxa" w:w="2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58,724 </w:t>
            </w:r>
          </w:p>
        </w:tc>
        <w:tc>
          <w:tcPr>
            <w:tcW w:type="dxa" w:w="19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43,308 </w:t>
            </w:r>
          </w:p>
        </w:tc>
      </w:tr>
      <w:tr>
        <w:trPr>
          <w:trHeight w:hRule="exact" w:val="220"/>
        </w:trPr>
        <w:tc>
          <w:tcPr>
            <w:tcW w:type="dxa" w:w="41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Plots with outline planning consent </w:t>
            </w:r>
          </w:p>
        </w:tc>
        <w:tc>
          <w:tcPr>
            <w:tcW w:type="dxa" w:w="22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18,040 </w:t>
            </w:r>
          </w:p>
        </w:tc>
        <w:tc>
          <w:tcPr>
            <w:tcW w:type="dxa" w:w="2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18,378 </w:t>
            </w:r>
          </w:p>
        </w:tc>
        <w:tc>
          <w:tcPr>
            <w:tcW w:type="dxa" w:w="19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10,086 </w:t>
            </w:r>
          </w:p>
        </w:tc>
      </w:tr>
      <w:tr>
        <w:trPr>
          <w:trHeight w:hRule="exact" w:val="214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Plots with resolution to grant and other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7,943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5,791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1,160 </w:t>
            </w:r>
          </w:p>
        </w:tc>
      </w:tr>
      <w:tr>
        <w:trPr>
          <w:trHeight w:hRule="exact" w:val="218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Owned and unconditional land bank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83,636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82,893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54,554 </w:t>
            </w:r>
          </w:p>
        </w:tc>
      </w:tr>
      <w:tr>
        <w:trPr>
          <w:trHeight w:hRule="exact" w:val="216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Conditionally contracted land bank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10,586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11,347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9,060 </w:t>
            </w:r>
          </w:p>
        </w:tc>
      </w:tr>
      <w:tr>
        <w:trPr>
          <w:trHeight w:hRule="exact" w:val="216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owned and controlled land bank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94,222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94,240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63,614 </w:t>
            </w:r>
          </w:p>
        </w:tc>
      </w:tr>
      <w:tr>
        <w:trPr>
          <w:trHeight w:hRule="exact" w:val="220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Number of years’ owned supply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(X)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5.0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4.7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14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Number of years’ controlled supply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(X)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0.6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0.6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0.6 </w:t>
            </w:r>
          </w:p>
        </w:tc>
      </w:tr>
      <w:tr>
        <w:trPr>
          <w:trHeight w:hRule="exact" w:val="220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land bank years (exc. JVs)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(X)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5.6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5.3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4.5 </w:t>
            </w:r>
          </w:p>
        </w:tc>
      </w:tr>
      <w:tr>
        <w:trPr>
          <w:trHeight w:hRule="exact" w:val="216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JVs owned and controlled land bank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4,359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4,631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4,166 </w:t>
            </w:r>
          </w:p>
        </w:tc>
      </w:tr>
      <w:tr>
        <w:trPr>
          <w:trHeight w:hRule="exact" w:val="216"/>
        </w:trPr>
        <w:tc>
          <w:tcPr>
            <w:tcW w:type="dxa" w:w="410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land bank including JVs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98,581 </w:t>
            </w:r>
          </w:p>
        </w:tc>
        <w:tc>
          <w:tcPr>
            <w:tcW w:type="dxa" w:w="2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98,871 </w:t>
            </w:r>
          </w:p>
        </w:tc>
        <w:tc>
          <w:tcPr>
            <w:tcW w:type="dxa" w:w="197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67,780 </w:t>
            </w:r>
          </w:p>
        </w:tc>
      </w:tr>
      <w:tr>
        <w:trPr>
          <w:trHeight w:hRule="exact" w:val="218"/>
        </w:trPr>
        <w:tc>
          <w:tcPr>
            <w:tcW w:type="dxa" w:w="41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Strategic land bank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148,157 </w:t>
            </w:r>
          </w:p>
        </w:tc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145,016 </w:t>
            </w:r>
          </w:p>
        </w:tc>
        <w:tc>
          <w:tcPr>
            <w:tcW w:type="dxa" w:w="19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107,753 </w:t>
            </w:r>
          </w:p>
        </w:tc>
      </w:tr>
      <w:tr>
        <w:trPr>
          <w:trHeight w:hRule="exact" w:val="216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Promotional land bank (plots)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105,344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105,359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102,360 </w:t>
            </w:r>
          </w:p>
        </w:tc>
      </w:tr>
      <w:tr>
        <w:trPr>
          <w:trHeight w:hRule="exact" w:val="220"/>
        </w:trPr>
        <w:tc>
          <w:tcPr>
            <w:tcW w:type="dxa" w:w="41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 bank carrying value </w:t>
            </w:r>
          </w:p>
        </w:tc>
        <w:tc>
          <w:tcPr>
            <w:tcW w:type="dxa" w:w="22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£4,879.4m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£4,751.6m </w:t>
            </w:r>
          </w:p>
        </w:tc>
        <w:tc>
          <w:tcPr>
            <w:tcW w:type="dxa" w:w="1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£2,979.1m </w:t>
            </w:r>
          </w:p>
        </w:tc>
      </w:tr>
    </w:tbl>
    <w:p>
      <w:pPr>
        <w:autoSpaceDN w:val="0"/>
        <w:autoSpaceDE w:val="0"/>
        <w:widowControl/>
        <w:spacing w:line="160" w:lineRule="exact" w:before="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(X).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Land supply is calculated as total owned (owned land and land subject to unconditional contracts) and controlled (land subject to conditional contracts) land bank plots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divided by wholly owned completions in the last 12 months. </w:t>
      </w:r>
    </w:p>
    <w:p>
      <w:pPr>
        <w:autoSpaceDN w:val="0"/>
        <w:autoSpaceDE w:val="0"/>
        <w:widowControl/>
        <w:spacing w:line="208" w:lineRule="exact" w:before="204" w:after="0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At 29 December 2024, the current estimated average selling price of plots in our enlarged owned land bank was £352,000 (31 </w:t>
      </w:r>
      <w:r>
        <w:rPr>
          <w:rFonts w:ascii="ArialMT" w:hAnsi="ArialMT" w:eastAsia="ArialMT"/>
          <w:b w:val="0"/>
          <w:i w:val="0"/>
          <w:color w:val="000000"/>
          <w:sz w:val="18"/>
        </w:rPr>
        <w:t>December 2023: £333,000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and the estimated gross margin in our land bank, based on the current average selling price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>estimated current build costs, was 18.3% at 29 December 2024 (31 December 2023: 18.5%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>; 30 June 2024: 18.6%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8" w:lineRule="exact" w:before="204" w:after="0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Barratt Redrow delivered 1,432 (HY24: 1,534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completions from strategically sourced land in the period, and we converted 1,904 </w:t>
      </w:r>
      <w:r>
        <w:rPr>
          <w:rFonts w:ascii="ArialMT" w:hAnsi="ArialMT" w:eastAsia="ArialMT"/>
          <w:b w:val="0"/>
          <w:i w:val="0"/>
          <w:color w:val="000000"/>
          <w:sz w:val="18"/>
        </w:rPr>
        <w:t>(HY24: 530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plots of strategic land into our owned and controlled land bank. Going forward, we will continue to target c30% of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completions from strategic land in the medium term. </w:t>
      </w:r>
    </w:p>
    <w:p>
      <w:pPr>
        <w:autoSpaceDN w:val="0"/>
        <w:autoSpaceDE w:val="0"/>
        <w:widowControl/>
        <w:spacing w:line="208" w:lineRule="exact" w:before="204" w:after="0"/>
        <w:ind w:left="0" w:right="23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Gladman secured 4,990 plots on new sites (HY24: 4,736) and planning consents on 2,274 plots across 10 sites (HY24: 1,834 plots across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8 sites). Reflecting the increase in pace of land transaction activity across the country, Gladman secured land sale transactions to third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parties equating to 3,085 (HY24: 364) plots. </w:t>
      </w:r>
    </w:p>
    <w:p>
      <w:pPr>
        <w:autoSpaceDN w:val="0"/>
        <w:autoSpaceDE w:val="0"/>
        <w:widowControl/>
        <w:spacing w:line="208" w:lineRule="exact" w:before="204" w:after="0"/>
        <w:ind w:left="0" w:right="23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There are some early signs of an increased appetite amongst housebuilders for consented land, and we anticipate an increase in activity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from Gladman over the coming months. The business is heavily focused on driving promotional land through to planning consent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ensuring opportunities created by the Government’s proposed changes to planning policy are optimised to build a portfolio of attractive sites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ready to actively market as demand for permissioned development land recovers.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Interim ordinary dividend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6" w:lineRule="exact" w:before="208" w:after="0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We have declared an interim dividend of 5.5 pence per share (HY24: 4.4 pence per share</w:t>
      </w:r>
      <w:r>
        <w:rPr>
          <w:rFonts w:ascii="ArialMT" w:hAnsi="ArialMT" w:eastAsia="ArialMT"/>
          <w:b w:val="0"/>
          <w:i w:val="0"/>
          <w:color w:val="000000"/>
          <w:sz w:val="12"/>
        </w:rPr>
        <w:t>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The interim dividend will be paid on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Friday 16 May 2025 to all shareholders on the register on Friday 4 April 2025. Shareholders who wish to elect for the Dividend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Reinvestment Plan should do so by 24 April 2025. </w:t>
      </w:r>
    </w:p>
    <w:p>
      <w:pPr>
        <w:autoSpaceDN w:val="0"/>
        <w:autoSpaceDE w:val="0"/>
        <w:widowControl/>
        <w:spacing w:line="208" w:lineRule="exact" w:before="206" w:after="0"/>
        <w:ind w:left="0" w:right="39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line with our existing dividend policy, we intend to maintain ordinary dividend cover of 1.75 times adjusted earnings per share,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excluding the impact of acquisition fair value adjustments in FY25. With effect from FY26 the Board has decided to revise the dividend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cover to 2.0 times adjusted earnings per share, excluding the impact of acquisition fair value adjustments. </w:t>
      </w:r>
    </w:p>
    <w:p>
      <w:pPr>
        <w:autoSpaceDN w:val="0"/>
        <w:autoSpaceDE w:val="0"/>
        <w:widowControl/>
        <w:spacing w:line="208" w:lineRule="exact" w:before="204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have also announced the commencement of an ongoing share buyback programme of at least £100m per annum which will begin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shortly, with £50m expected to be returned in the second half of the financial year. </w:t>
      </w:r>
    </w:p>
    <w:p>
      <w:pPr>
        <w:autoSpaceDN w:val="0"/>
        <w:autoSpaceDE w:val="0"/>
        <w:widowControl/>
        <w:spacing w:line="178" w:lineRule="exact" w:before="2276" w:after="0"/>
        <w:ind w:left="0" w:right="555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 </w:t>
      </w:r>
    </w:p>
    <w:p>
      <w:pPr>
        <w:sectPr>
          <w:pgSz w:w="11906" w:h="16838"/>
          <w:pgMar w:top="492" w:right="26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272" w:lineRule="exact" w:before="0" w:after="16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Guidance for FY25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Looking to the balance of the current financial year our guidance is summarised in the following table. Where guidance has been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amended, or updated for the first time inclusion of Redrow, this is highlighted, and previous guidance is included in italics.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280"/>
        <w:gridCol w:w="5280"/>
      </w:tblGrid>
      <w:tr>
        <w:trPr>
          <w:trHeight w:hRule="exact" w:val="66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Total home completions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4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c. 16,800 – 17,200 total home completions, including c. 600 JV completions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c. 16,600 – 17,200 total home completions, including c. 600 JV completions) </w:t>
            </w:r>
          </w:p>
        </w:tc>
      </w:tr>
      <w:tr>
        <w:trPr>
          <w:trHeight w:hRule="exact" w:val="40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Private: affordable mix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Affordable mix expected to be in the high teens</w:t>
            </w:r>
          </w:p>
        </w:tc>
      </w:tr>
      <w:tr>
        <w:trPr>
          <w:trHeight w:hRule="exact" w:val="35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Average sales outlet growth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c. 9% lower</w:t>
            </w:r>
          </w:p>
        </w:tc>
      </w:tr>
      <w:tr>
        <w:trPr>
          <w:trHeight w:hRule="exact" w:val="33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Build cost inflation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4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Broadly flat </w:t>
            </w:r>
          </w:p>
        </w:tc>
      </w:tr>
      <w:tr>
        <w:trPr>
          <w:trHeight w:hRule="exact" w:val="54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PPA impacts on adjusted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profit from operations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Estimated adverse impact of c. £80m - £90m </w:t>
            </w:r>
          </w:p>
        </w:tc>
      </w:tr>
      <w:tr>
        <w:trPr>
          <w:trHeight w:hRule="exact" w:val="75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Accounting policy alignment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impact on adjusted profit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from operations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Estimated adverse impact of c. £25m - £30m </w:t>
            </w:r>
          </w:p>
        </w:tc>
      </w:tr>
      <w:tr>
        <w:trPr>
          <w:trHeight w:hRule="exact" w:val="87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Adjusted administrative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expenses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c. £400m (including amortisation of intangible assets of c. £10m and synergies of c. £10m)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c. £310m, excluding integration costs (including amortisation of intangible asset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charges of c. £10m) standalone</w:t>
            </w:r>
          </w:p>
        </w:tc>
      </w:tr>
      <w:tr>
        <w:trPr>
          <w:trHeight w:hRule="exact" w:val="39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Synergy cost savings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c. £10m within adjusted administrative expenses </w:t>
            </w:r>
          </w:p>
        </w:tc>
      </w:tr>
      <w:tr>
        <w:trPr>
          <w:trHeight w:hRule="exact" w:val="87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Interest cost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c. £20m (c. £25m cash credit, c. £45m non-cash charge including PPA charge impact of c.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£5m) </w:t>
            </w:r>
          </w:p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c. £25m (c. £15m cash credit, c. £40m non-cash charge) standalone </w:t>
            </w:r>
          </w:p>
        </w:tc>
      </w:tr>
      <w:tr>
        <w:trPr>
          <w:trHeight w:hRule="exact" w:val="338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Land approvals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Return to normal land approval activity during the year </w:t>
            </w:r>
          </w:p>
        </w:tc>
      </w:tr>
      <w:tr>
        <w:trPr>
          <w:trHeight w:hRule="exact" w:val="666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 cash spend </w:t>
            </w:r>
          </w:p>
        </w:tc>
        <w:tc>
          <w:tcPr>
            <w:tcW w:type="dxa" w:w="79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" w:after="0"/>
              <w:ind w:left="2592" w:right="244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c. £0.9bn - £1.0bn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c. £0.8bn standalone) </w:t>
            </w:r>
          </w:p>
        </w:tc>
      </w:tr>
      <w:tr>
        <w:trPr>
          <w:trHeight w:hRule="exact" w:val="66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Year end net cash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" w:after="0"/>
              <w:ind w:left="2592" w:right="244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c. £0.5bn - £0.6bn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c. £0.5bn standalone) </w:t>
            </w:r>
          </w:p>
        </w:tc>
      </w:tr>
      <w:tr>
        <w:trPr>
          <w:trHeight w:hRule="exact" w:val="87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Taxation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Tax rate on adjusted earnings anticipated at 29% reflecting current 25% corporation tax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rate and 4% RPDT. </w:t>
            </w:r>
          </w:p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29% standalone) </w:t>
            </w:r>
          </w:p>
        </w:tc>
      </w:tr>
      <w:tr>
        <w:trPr>
          <w:trHeight w:hRule="exact" w:val="87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Ordinary dividend cover </w:t>
            </w:r>
          </w:p>
        </w:tc>
        <w:tc>
          <w:tcPr>
            <w:tcW w:type="dxa" w:w="79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1.75x ordinary dividend cover based on adjusted earnings per share adjusted to add back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PPA fair value adjustments.</w:t>
            </w:r>
          </w:p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(previously 1.75x ordinary dividend cover based on adjusted earnings per share standalone) </w:t>
            </w:r>
          </w:p>
        </w:tc>
      </w:tr>
    </w:tbl>
    <w:p>
      <w:pPr>
        <w:autoSpaceDN w:val="0"/>
        <w:autoSpaceDE w:val="0"/>
        <w:widowControl/>
        <w:spacing w:line="266" w:lineRule="exact" w:before="37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Current trading and outlook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have had a solid start to our second half. In the five-week period from 30 December 2024 to 2 February 2025 Barratt Redrow has </w:t>
      </w:r>
      <w:r>
        <w:rPr>
          <w:rFonts w:ascii="ArialMT" w:hAnsi="ArialMT" w:eastAsia="ArialMT"/>
          <w:b w:val="0"/>
          <w:i w:val="0"/>
          <w:color w:val="000000"/>
          <w:sz w:val="18"/>
        </w:rPr>
        <w:t>secured 248 net private reservations per week (2024:261</w:t>
      </w:r>
      <w:r>
        <w:rPr>
          <w:rFonts w:ascii="ArialMT" w:hAnsi="ArialMT" w:eastAsia="ArialMT"/>
          <w:b w:val="0"/>
          <w:i w:val="0"/>
          <w:color w:val="000000"/>
          <w:sz w:val="12"/>
        </w:rPr>
        <w:t>A</w:t>
      </w:r>
      <w:r>
        <w:rPr>
          <w:rFonts w:ascii="ArialMT" w:hAnsi="ArialMT" w:eastAsia="ArialMT"/>
          <w:b w:val="0"/>
          <w:i w:val="0"/>
          <w:color w:val="000000"/>
          <w:sz w:val="18"/>
        </w:rPr>
        <w:t>) and we have operated from an average of 414 outlets (2024: 436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 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This </w:t>
      </w:r>
      <w:r>
        <w:rPr>
          <w:rFonts w:ascii="ArialMT" w:hAnsi="ArialMT" w:eastAsia="ArialMT"/>
          <w:b w:val="0"/>
          <w:i w:val="0"/>
          <w:color w:val="000000"/>
          <w:sz w:val="18"/>
        </w:rPr>
        <w:t>has resulted in a net private reservation rate per active outlet per week of 0.60 (2024: 0.60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 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8" w:lineRule="exact" w:before="20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>Our total forward sales</w:t>
      </w:r>
      <w:r>
        <w:rPr>
          <w:rFonts w:ascii="ArialMT" w:hAnsi="ArialMT" w:eastAsia="ArialMT"/>
          <w:b w:val="0"/>
          <w:i w:val="0"/>
          <w:color w:val="000000"/>
          <w:sz w:val="12"/>
        </w:rPr>
        <w:t>3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at 2 February 2025 were 10,903 homes (4 February 2024: 11,460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 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at a value of £3,350.3m (4 February </w:t>
      </w:r>
      <w:r>
        <w:rPr>
          <w:rFonts w:ascii="ArialMT" w:hAnsi="ArialMT" w:eastAsia="ArialMT"/>
          <w:b w:val="0"/>
          <w:i w:val="0"/>
          <w:color w:val="000000"/>
          <w:sz w:val="18"/>
        </w:rPr>
        <w:t>2024: £3,135.2m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 A</w:t>
      </w:r>
      <w:r>
        <w:rPr>
          <w:rFonts w:ascii="ArialMT" w:hAnsi="ArialMT" w:eastAsia="ArialMT"/>
          <w:b w:val="0"/>
          <w:i w:val="0"/>
          <w:color w:val="000000"/>
          <w:sz w:val="18"/>
        </w:rPr>
        <w:t>). With our private order book ahead by 11.2% on the aggregated position in 2024, we are now 82%</w:t>
      </w:r>
      <w:r>
        <w:rPr>
          <w:rFonts w:ascii="ArialMT" w:hAnsi="ArialMT" w:eastAsia="ArialMT"/>
          <w:b w:val="0"/>
          <w:i w:val="0"/>
          <w:color w:val="000000"/>
          <w:sz w:val="12"/>
        </w:rPr>
        <w:t>8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forward sold </w:t>
      </w:r>
      <w:r>
        <w:rPr>
          <w:rFonts w:ascii="ArialMT" w:hAnsi="ArialMT" w:eastAsia="ArialMT"/>
          <w:b w:val="0"/>
          <w:i w:val="0"/>
          <w:color w:val="000000"/>
          <w:sz w:val="18"/>
        </w:rPr>
        <w:t>with respect to private wholly owned home completions for FY25 (FY24: 83%</w:t>
      </w: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 A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). </w:t>
      </w:r>
    </w:p>
    <w:p>
      <w:pPr>
        <w:autoSpaceDN w:val="0"/>
        <w:autoSpaceDE w:val="0"/>
        <w:widowControl/>
        <w:spacing w:line="206" w:lineRule="exact" w:before="162" w:after="16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composition of our forward sales on 2 February 2025 and the order book movement since 29 December 2024 are included in </w:t>
      </w:r>
      <w:r>
        <w:rPr>
          <w:rFonts w:ascii="ArialMT" w:hAnsi="ArialMT" w:eastAsia="ArialMT"/>
          <w:b w:val="0"/>
          <w:i w:val="0"/>
          <w:color w:val="000000"/>
          <w:sz w:val="18"/>
        </w:rPr>
        <w:t>the following tables, along with the aggregated performance of Barratt and Redrow in the comparable period in early 2024: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 February 2025 </w:t>
            </w:r>
          </w:p>
        </w:tc>
        <w:tc>
          <w:tcPr>
            <w:tcW w:type="dxa" w:w="296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4 February 2024 </w:t>
            </w:r>
          </w:p>
        </w:tc>
        <w:tc>
          <w:tcPr>
            <w:tcW w:type="dxa" w:w="291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Variance % </w:t>
            </w:r>
          </w:p>
        </w:tc>
      </w:tr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Homes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Homes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£m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Homes </w:t>
            </w:r>
          </w:p>
        </w:tc>
      </w:tr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Private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2,459.0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2,065.3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5,511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19.1%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11.2% </w:t>
            </w:r>
          </w:p>
        </w:tc>
      </w:tr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Affordable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733.2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4,365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896.6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5,467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(18.2%)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(20.2%) </w:t>
            </w:r>
          </w:p>
        </w:tc>
      </w:tr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Wholly owned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3,192.2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10,491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2,961.9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10,978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7.8%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(4.4%) </w:t>
            </w:r>
          </w:p>
        </w:tc>
      </w:tr>
      <w:tr>
        <w:trPr>
          <w:trHeight w:hRule="exact" w:val="280"/>
        </w:trPr>
        <w:tc>
          <w:tcPr>
            <w:tcW w:type="dxa" w:w="1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158.1 </w:t>
            </w:r>
          </w:p>
        </w:tc>
        <w:tc>
          <w:tcPr>
            <w:tcW w:type="dxa" w:w="14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412 </w:t>
            </w:r>
          </w:p>
        </w:tc>
        <w:tc>
          <w:tcPr>
            <w:tcW w:type="dxa" w:w="14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173.3 </w:t>
            </w:r>
          </w:p>
        </w:tc>
        <w:tc>
          <w:tcPr>
            <w:tcW w:type="dxa" w:w="14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14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(8.8%)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(14.5%) </w:t>
            </w:r>
          </w:p>
        </w:tc>
      </w:tr>
      <w:tr>
        <w:trPr>
          <w:trHeight w:hRule="exact" w:val="276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3,350.3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10,903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3,135.2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11,460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6.9%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(4.9%) </w:t>
            </w:r>
          </w:p>
        </w:tc>
      </w:tr>
    </w:tbl>
    <w:p>
      <w:pPr>
        <w:autoSpaceDN w:val="0"/>
        <w:autoSpaceDE w:val="0"/>
        <w:widowControl/>
        <w:spacing w:line="178" w:lineRule="exact" w:before="4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15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2"/>
            <w:gridSpan w:val="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Current Year </w:t>
            </w:r>
          </w:p>
        </w:tc>
        <w:tc>
          <w:tcPr>
            <w:tcW w:type="dxa" w:w="2960"/>
            <w:gridSpan w:val="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Prior Year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</w:t>
            </w:r>
          </w:p>
        </w:tc>
        <w:tc>
          <w:tcPr>
            <w:tcW w:type="dxa" w:w="2914"/>
            <w:gridSpan w:val="2"/>
            <w:tcBorders>
              <w:start w:sz="4.0" w:val="single" w:color="#000000"/>
              <w:top w:sz="3.199999999999988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Variance % </w:t>
            </w:r>
          </w:p>
        </w:tc>
      </w:tr>
      <w:tr>
        <w:trPr>
          <w:trHeight w:hRule="exact" w:val="280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Private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Private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Private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3</w:t>
            </w:r>
          </w:p>
        </w:tc>
      </w:tr>
      <w:tr>
        <w:trPr>
          <w:trHeight w:hRule="exact" w:val="276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 / 31 December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5,296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10,076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4,677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10,778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13.2%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(6.5%) </w:t>
            </w:r>
          </w:p>
        </w:tc>
      </w:tr>
      <w:tr>
        <w:trPr>
          <w:trHeight w:hRule="exact" w:val="280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Reservations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1,237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1,295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1,306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1,414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(5.3%)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(8.4%) </w:t>
            </w:r>
          </w:p>
        </w:tc>
      </w:tr>
      <w:tr>
        <w:trPr>
          <w:trHeight w:hRule="exact" w:val="278"/>
        </w:trPr>
        <w:tc>
          <w:tcPr>
            <w:tcW w:type="dxa" w:w="19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Completions</w:t>
            </w:r>
          </w:p>
        </w:tc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(407) </w:t>
            </w:r>
          </w:p>
        </w:tc>
        <w:tc>
          <w:tcPr>
            <w:tcW w:type="dxa" w:w="14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(468) </w:t>
            </w:r>
          </w:p>
        </w:tc>
        <w:tc>
          <w:tcPr>
            <w:tcW w:type="dxa" w:w="14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(472) </w:t>
            </w:r>
          </w:p>
        </w:tc>
        <w:tc>
          <w:tcPr>
            <w:tcW w:type="dxa" w:w="148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(732) </w:t>
            </w:r>
          </w:p>
        </w:tc>
        <w:tc>
          <w:tcPr>
            <w:tcW w:type="dxa" w:w="14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(13.8%)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(36.1%) </w:t>
            </w:r>
          </w:p>
        </w:tc>
      </w:tr>
      <w:tr>
        <w:trPr>
          <w:trHeight w:hRule="exact" w:val="280"/>
        </w:trPr>
        <w:tc>
          <w:tcPr>
            <w:tcW w:type="dxa" w:w="1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2 Feb / 4 Feb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1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10,903 </w:t>
            </w:r>
          </w:p>
        </w:tc>
        <w:tc>
          <w:tcPr>
            <w:tcW w:type="dxa" w:w="14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5,511 </w:t>
            </w:r>
          </w:p>
        </w:tc>
        <w:tc>
          <w:tcPr>
            <w:tcW w:type="dxa" w:w="14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11,460 </w:t>
            </w:r>
          </w:p>
        </w:tc>
        <w:tc>
          <w:tcPr>
            <w:tcW w:type="dxa" w:w="14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11.2%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(4.9%) </w:t>
            </w:r>
          </w:p>
        </w:tc>
      </w:tr>
    </w:tbl>
    <w:p>
      <w:pPr>
        <w:autoSpaceDN w:val="0"/>
        <w:autoSpaceDE w:val="0"/>
        <w:widowControl/>
        <w:spacing w:line="224" w:lineRule="exact" w:before="19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out-turn for FY25 remains dependent on activity through the Spring selling season but based on our forward sold position and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encouraging reservation activity, we now expect to deliver total home completions of between 16,800 to 17,200 in FY25 (including c.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600 JV completions). </w:t>
      </w:r>
    </w:p>
    <w:p>
      <w:pPr>
        <w:autoSpaceDN w:val="0"/>
        <w:autoSpaceDE w:val="0"/>
        <w:widowControl/>
        <w:spacing w:line="224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Full year adjusted profit before tax, excluding the impact of PPA adjustments</w:t>
      </w:r>
      <w:r>
        <w:rPr>
          <w:rFonts w:ascii="ArialMT" w:hAnsi="ArialMT" w:eastAsia="ArialMT"/>
          <w:b w:val="0"/>
          <w:i w:val="0"/>
          <w:color w:val="000000"/>
          <w:sz w:val="18"/>
          <w:u w:val="single"/>
        </w:rPr>
        <w:t>,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is now expected to be towards the upper end of market </w:t>
      </w:r>
      <w:r>
        <w:rPr>
          <w:rFonts w:ascii="ArialMT" w:hAnsi="ArialMT" w:eastAsia="ArialMT"/>
          <w:b w:val="0"/>
          <w:i w:val="0"/>
          <w:color w:val="000000"/>
          <w:sz w:val="18"/>
        </w:rPr>
        <w:t>expectations</w:t>
      </w:r>
      <w:r>
        <w:rPr>
          <w:rFonts w:ascii="ArialMT" w:hAnsi="ArialMT" w:eastAsia="ArialMT"/>
          <w:b w:val="0"/>
          <w:i w:val="0"/>
          <w:color w:val="000000"/>
          <w:sz w:val="12"/>
        </w:rPr>
        <w:t>5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. </w:t>
      </w:r>
    </w:p>
    <w:p>
      <w:pPr>
        <w:autoSpaceDN w:val="0"/>
        <w:autoSpaceDE w:val="0"/>
        <w:widowControl/>
        <w:spacing w:line="200" w:lineRule="exact" w:before="182" w:after="2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are focused on delivering the benefits of the creation of Barratt Redrow for the benefit of all stakeholders: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.00000000000003" w:type="dxa"/>
      </w:tblPr>
      <w:tblGrid>
        <w:gridCol w:w="5280"/>
        <w:gridCol w:w="5280"/>
      </w:tblGrid>
      <w:tr>
        <w:trPr>
          <w:trHeight w:hRule="exact" w:val="113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60" w:after="0"/>
              <w:ind w:left="188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</w:p>
        </w:tc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6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By leveraging our industry-leading credentials on quality, customer service and sustainability, we have created the leading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national sustainable homebuilder;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We are confident in our ability to unlock cost synergies, which we now target at £100m, an advance of £10m from our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previous target of £90m. </w:t>
            </w:r>
          </w:p>
          <w:p>
            <w:pPr>
              <w:autoSpaceDN w:val="0"/>
              <w:autoSpaceDE w:val="0"/>
              <w:widowControl/>
              <w:spacing w:line="200" w:lineRule="exact" w:before="18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Through optimising our three strong brands across our existing land bank, we will open 45 incremental sales outlets through </w:t>
            </w:r>
          </w:p>
        </w:tc>
      </w:tr>
    </w:tbl>
    <w:p>
      <w:pPr>
        <w:autoSpaceDN w:val="0"/>
        <w:autoSpaceDE w:val="0"/>
        <w:widowControl/>
        <w:spacing w:line="204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FY28, accelerating sales, unlocking margin improvement through operational gearing and improving our land bank efficiency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asset turn. </w:t>
      </w:r>
    </w:p>
    <w:p>
      <w:pPr>
        <w:autoSpaceDN w:val="0"/>
        <w:tabs>
          <w:tab w:pos="720" w:val="left"/>
        </w:tabs>
        <w:autoSpaceDE w:val="0"/>
        <w:widowControl/>
        <w:spacing w:line="206" w:lineRule="exact" w:before="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will continue to maintain a robust balance sheet, which alongside our growth plans will allow us to deliver a long term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ordinary dividend at 2.0x adjusted earnings per share cover and return £100m annually to shareholders through an ongoing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buy-back programme. This will commence with a £50m buy-back effective from today, 12 February 2025 through to 30 June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2025. </w:t>
      </w:r>
    </w:p>
    <w:p>
      <w:pPr>
        <w:autoSpaceDN w:val="0"/>
        <w:autoSpaceDE w:val="0"/>
        <w:widowControl/>
        <w:spacing w:line="224" w:lineRule="exact" w:before="26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We are also positioning Barratt Redrow to deliver the sustainable growth in housebuilding the country needs in line with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Government’s ambitions. This can only be delivered in a stable macroeconomic environment, when we see supply-side constraints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ease as the welcomed reforms to the planning system announced by Government come to fruition, and when the affordability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challenges inhibiting demand have been addressed either in the shorter term through positive Government actions or, over the longer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term, through income growth and lower mortgage rates and availability. </w:t>
      </w:r>
    </w:p>
    <w:p>
      <w:pPr>
        <w:autoSpaceDN w:val="0"/>
        <w:autoSpaceDE w:val="0"/>
        <w:widowControl/>
        <w:spacing w:line="230" w:lineRule="exact" w:before="796" w:after="0"/>
        <w:ind w:left="0" w:right="878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David Thomas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Chief Executive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February 2025 </w:t>
      </w:r>
    </w:p>
    <w:p>
      <w:pPr>
        <w:autoSpaceDN w:val="0"/>
        <w:autoSpaceDE w:val="0"/>
        <w:widowControl/>
        <w:spacing w:line="154" w:lineRule="exact" w:before="2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1 Refer to Glossary for definition of key financial metrics. </w:t>
      </w:r>
    </w:p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 = Reported and denotes a Barratt Developments PLC group (“Barratt Group”) reported metric based on the reported performance of the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Barratt Group in the comparable reporting period. </w:t>
      </w:r>
    </w:p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 = Aggregated and denotes an aggregated metric based on the reported performance of the Barratt Group in the comparable reporting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period 1 July 2023 to 31 December 2023 and includes the performance of the legacy Redrow plc group (“Redrow Group”) from 24 August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2023 to 31 December 2023, the equivalent period of ownership, to provide comparability on operational and financial performance. </w:t>
      </w:r>
    </w:p>
    <w:p>
      <w:pPr>
        <w:autoSpaceDN w:val="0"/>
        <w:autoSpaceDE w:val="0"/>
        <w:widowControl/>
        <w:spacing w:line="245" w:lineRule="auto" w:before="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Redrow Group data is based on Redrow plc’s standalone accounting policies and therefore excludes any impact of policy alignments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made since the acquisition. Aggregated adjusted measures are also presented, prepared on the same basis. The aggregated value </w:t>
      </w:r>
      <w:r>
        <w:rPr>
          <w:rFonts w:ascii="Arial" w:hAnsi="Arial" w:eastAsia="Arial"/>
          <w:b/>
          <w:i w:val="0"/>
          <w:color w:val="000000"/>
          <w:sz w:val="16"/>
        </w:rPr>
        <w:t xml:space="preserve">comparatives have not been audited or reviewed by Barratt Redrow plc’s auditors. </w:t>
      </w:r>
    </w:p>
    <w:p>
      <w:pPr>
        <w:autoSpaceDN w:val="0"/>
        <w:autoSpaceDE w:val="0"/>
        <w:widowControl/>
        <w:spacing w:line="156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2 Unless otherwise stated, all numbers quoted exclude JVs. </w:t>
      </w:r>
    </w:p>
    <w:p>
      <w:pPr>
        <w:autoSpaceDN w:val="0"/>
        <w:autoSpaceDE w:val="0"/>
        <w:widowControl/>
        <w:spacing w:line="156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3 Including JVs in which the Group has an interest. </w:t>
      </w:r>
    </w:p>
    <w:p>
      <w:pPr>
        <w:autoSpaceDN w:val="0"/>
        <w:autoSpaceDE w:val="0"/>
        <w:widowControl/>
        <w:spacing w:line="160" w:lineRule="exact" w:before="0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4 In addition to the Group using a variety of statutory performance measures, alternative performance measures (APMs) are also used. Definitions of APMs and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reconciliations to the equivalent statutory measures are detailed in the Glossary and Definitions. In this period, new APMs have been introduced to allow for the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assessment of the performance of the combined Group, before the impact of PPA adjustments. Net cash definition is included in Note 13. </w:t>
      </w:r>
    </w:p>
    <w:p>
      <w:pPr>
        <w:autoSpaceDN w:val="0"/>
        <w:autoSpaceDE w:val="0"/>
        <w:widowControl/>
        <w:spacing w:line="160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5 Bloomberg consensus for FY25 adjusted profit before tax on 11 February 2025 was £542m with a range of £506m to £588m, excluding the impact of purchase price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adjustments. </w:t>
      </w:r>
    </w:p>
    <w:p>
      <w:pPr>
        <w:autoSpaceDN w:val="0"/>
        <w:autoSpaceDE w:val="0"/>
        <w:widowControl/>
        <w:spacing w:line="154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6 Based on EPC registrations to 30 September 2024. </w:t>
      </w:r>
    </w:p>
    <w:p>
      <w:pPr>
        <w:autoSpaceDN w:val="0"/>
        <w:autoSpaceDE w:val="0"/>
        <w:widowControl/>
        <w:spacing w:line="156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7 Measured by the NHBC amongst the 14 major housebuilders constructing more than 1,000 homes annually. </w:t>
      </w:r>
    </w:p>
    <w:p>
      <w:pPr>
        <w:autoSpaceDN w:val="0"/>
        <w:autoSpaceDE w:val="0"/>
        <w:widowControl/>
        <w:spacing w:line="154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8 Based on mid-point of FY25 total home completion guidance after deducting 600 JV home completions and assuming high teens affordable home completions.</w:t>
      </w:r>
    </w:p>
    <w:p>
      <w:pPr>
        <w:autoSpaceDN w:val="0"/>
        <w:autoSpaceDE w:val="0"/>
        <w:widowControl/>
        <w:spacing w:line="178" w:lineRule="exact" w:before="230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16 </w:t>
      </w:r>
    </w:p>
    <w:p>
      <w:pPr>
        <w:sectPr>
          <w:pgSz w:w="11906" w:h="16838"/>
          <w:pgMar w:top="604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Principal risks and uncertainties </w:t>
      </w:r>
    </w:p>
    <w:p>
      <w:pPr>
        <w:autoSpaceDN w:val="0"/>
        <w:autoSpaceDE w:val="0"/>
        <w:widowControl/>
        <w:spacing w:line="224" w:lineRule="exact" w:before="164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risks which the Group face could have a material adverse effect on the implementation of the Group’s strategy, business, financial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performance, shareholder value and returns, and reputation. Changes in the economic or trading environment can affect the likelihood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potential impact of risks and may create new and emerging risks. </w:t>
      </w:r>
    </w:p>
    <w:p>
      <w:pPr>
        <w:autoSpaceDN w:val="0"/>
        <w:autoSpaceDE w:val="0"/>
        <w:widowControl/>
        <w:spacing w:line="226" w:lineRule="exact" w:before="1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Risk management controls are integrated into all levels of our business and across all operations, including at site, divisional, regional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Group level, and are monitored to ensure controls are in line with risks as they evolve.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Reputational risk could potentially arise from a number of sources including external and internal influences relating to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housebuilding sector that, when combined or over a period of time, could create a new principal risk. The Group actively manages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impact of reputational risk by carefully assessing the potential impact of all the principal risks and implementing mitigation actions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to minimise those risks. Reputational risk is therefore covered by the management of each of our individual risks and is not presented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as a principal risk in its own right.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Board has completed its assessment of the Group’s principal and emerging risks, including those that could threaten its business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model, future performance, solvency or liquidity. The Directors do not consider the process of risk management and the principal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risks and uncertainties to have changed since the publication of the Annual Report and Accounts for the year ended 30 June 2024. </w:t>
      </w:r>
    </w:p>
    <w:p>
      <w:pPr>
        <w:autoSpaceDN w:val="0"/>
        <w:autoSpaceDE w:val="0"/>
        <w:widowControl/>
        <w:spacing w:line="226" w:lineRule="exact" w:before="1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current risk profile is within our tolerance range as the Group is willing to accept a moderate level of operational risk to deliver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financial returns. </w:t>
      </w:r>
    </w:p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Further details of the Group’s principal risks and mitigation of the risks outlined below can be found on pages 65 to 70 of the Annual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Report and Accounts for the year ended 30 June 2024, which is available at www.barrattredrow.co.uk.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  <w:u w:val="single"/>
        </w:rPr>
        <w:t>Principal risks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Economic environment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Significant changes in the UK macroeconomic environment or continuing major geopolitical events and uncertainty may lead to falling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demand, tightened mortgage availability, lack of funding for housing associations, or reduced purchaser liquidity, especially in the first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time buyer market. This could reduce the affordability of our homes for private and rental customers, resulting in reduced sales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volumes and our ability to provide profitable growth.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Land and planning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Lack of developable land due to delays in planning approval, failure of a clear and consistent Government policy or insufficient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consented land and strategic land options at appropriate cost and quality could affect our ability to grow sales volumes and/or meet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our margin and site ROCE hurdle rates.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Government regulation and political risk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housebuilding industry is subject to increasingly complex legislation and regulations, Government intervention and policy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changes, for example climate change building regulation, legal compliance, NHQC, competition law and sustainability regulation.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Deviation from current regulations or failure to implement the changes effectively within our processes could lead to financial penalties,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damage to the Group’s reputation or increased costs due to inefficient processes.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Construction quality and innovation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Failure to achieve excellence in housebuilding construction and product quality, through insufficient quality assurance programmes,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inability to develop, evaluate and implement new and innovative construction methods or to be a market leader with changes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technology advancement, could increase costs, expose the Group to future remediation liabilities, and result in poor product quality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reputational damage.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Highrise and complex structures </w:t>
      </w:r>
    </w:p>
    <w:p>
      <w:pPr>
        <w:autoSpaceDN w:val="0"/>
        <w:autoSpaceDE w:val="0"/>
        <w:widowControl/>
        <w:spacing w:line="226" w:lineRule="exact" w:before="1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Failure to build high rise and complex structures in line with building regulations or remediate existing legacy quality issues effectively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could result in remediation delays, reputational damage, increased provisions or future remediation liabilities.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Supply chain resilience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 adequately responding to shortages or increased costs of materials and skilled labour including those events caused by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geopolitical uncertainty, or the failure of a key supplier in the current economic environment, may lead to increased costs and delays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 construction.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Safety, health and environment </w:t>
      </w:r>
    </w:p>
    <w:p>
      <w:pPr>
        <w:autoSpaceDN w:val="0"/>
        <w:autoSpaceDE w:val="0"/>
        <w:widowControl/>
        <w:spacing w:line="226" w:lineRule="exact" w:before="1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Health and safety or environmental incidents or compliance breaches can impact employees, sub-contractors, customers and site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visitors, and undermine the creation of a great place to work, visit, and live. </w:t>
      </w:r>
    </w:p>
    <w:p>
      <w:pPr>
        <w:autoSpaceDN w:val="0"/>
        <w:autoSpaceDE w:val="0"/>
        <w:widowControl/>
        <w:spacing w:line="178" w:lineRule="exact" w:before="8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17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Attracting and retaining high-calibre employees </w:t>
      </w:r>
    </w:p>
    <w:p>
      <w:pPr>
        <w:autoSpaceDN w:val="0"/>
        <w:autoSpaceDE w:val="0"/>
        <w:widowControl/>
        <w:spacing w:line="226" w:lineRule="exact" w:before="1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Increasing competition for skills may mean we are unable to recruit and/or retain the best people. Having sufficient skilled employees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is critical to delivery of the Group’s strategy of volume growth whilst maintaining excellence in all of our other strategic priorities.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Information technology </w:t>
      </w:r>
    </w:p>
    <w:p>
      <w:pPr>
        <w:autoSpaceDN w:val="0"/>
        <w:autoSpaceDE w:val="0"/>
        <w:widowControl/>
        <w:spacing w:line="224" w:lineRule="exact" w:before="15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Failure of any of the Group’s key systems, particularly those for financial and customer information, surveying and valuation, through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 successful cyberattack, or lack of investment leading to outdated systems, could restrict operations and disrupt progress in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delivering strategic priorities.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Redrow integration</w:t>
      </w:r>
    </w:p>
    <w:p>
      <w:pPr>
        <w:autoSpaceDN w:val="0"/>
        <w:autoSpaceDE w:val="0"/>
        <w:widowControl/>
        <w:spacing w:line="226" w:lineRule="exact" w:before="15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Without careful management, there is a risk that our objectives to maximise shareholder value by successfully integrating the two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businesses to generate revenue growth opportunities, and achieve operational and cost synergies, are not achieved. </w:t>
      </w:r>
    </w:p>
    <w:p>
      <w:pPr>
        <w:autoSpaceDN w:val="0"/>
        <w:autoSpaceDE w:val="0"/>
        <w:widowControl/>
        <w:spacing w:line="178" w:lineRule="exact" w:before="119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18 </w:t>
      </w:r>
    </w:p>
    <w:p>
      <w:pPr>
        <w:sectPr>
          <w:pgSz w:w="11906" w:h="16838"/>
          <w:pgMar w:top="496" w:right="63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84" w:lineRule="exact" w:before="0" w:after="32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Condensed Consolidated Income Statement and Statement of Comprehensive Income </w:t>
      </w:r>
      <w:r>
        <w:rPr>
          <w:rFonts w:ascii="ArialMT" w:hAnsi="ArialMT" w:eastAsia="ArialMT"/>
          <w:b w:val="0"/>
          <w:i w:val="0"/>
          <w:color w:val="000000"/>
          <w:sz w:val="24"/>
        </w:rPr>
        <w:t>for the 26 weeks ended 29 December 2024 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102"/>
        <w:gridCol w:w="2102"/>
        <w:gridCol w:w="2102"/>
        <w:gridCol w:w="2102"/>
        <w:gridCol w:w="2102"/>
      </w:tblGrid>
      <w:tr>
        <w:trPr>
          <w:trHeight w:hRule="exact" w:val="1264"/>
        </w:trPr>
        <w:tc>
          <w:tcPr>
            <w:tcW w:type="dxa" w:w="509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7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Continuing operations </w:t>
            </w:r>
          </w:p>
        </w:tc>
        <w:tc>
          <w:tcPr>
            <w:tcW w:type="dxa" w:w="6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Notes </w:t>
            </w:r>
          </w:p>
        </w:tc>
        <w:tc>
          <w:tcPr>
            <w:tcW w:type="dxa" w:w="15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6" w:after="0"/>
              <w:ind w:left="144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30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7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288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80" w:lineRule="exact" w:before="30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57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576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50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Revenue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48"/>
        </w:trPr>
        <w:tc>
          <w:tcPr>
            <w:tcW w:type="dxa" w:w="509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 of sales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(1,942.1)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(1,612.3)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(3,658.7) </w:t>
            </w:r>
          </w:p>
        </w:tc>
      </w:tr>
      <w:tr>
        <w:trPr>
          <w:trHeight w:hRule="exact" w:val="344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Gross profit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338.7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238.5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509.5 </w:t>
            </w:r>
          </w:p>
        </w:tc>
      </w:tr>
      <w:tr>
        <w:trPr>
          <w:trHeight w:hRule="exact" w:val="348"/>
        </w:trPr>
        <w:tc>
          <w:tcPr>
            <w:tcW w:type="dxa" w:w="509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expenses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(225.6)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(140.9)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(336.9) </w:t>
            </w:r>
          </w:p>
        </w:tc>
      </w:tr>
      <w:tr>
        <w:trPr>
          <w:trHeight w:hRule="exact" w:val="348"/>
        </w:trPr>
        <w:tc>
          <w:tcPr>
            <w:tcW w:type="dxa" w:w="509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Part-exchange income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178.2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132.1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333.7 </w:t>
            </w:r>
          </w:p>
        </w:tc>
      </w:tr>
      <w:tr>
        <w:trPr>
          <w:trHeight w:hRule="exact" w:val="348"/>
        </w:trPr>
        <w:tc>
          <w:tcPr>
            <w:tcW w:type="dxa" w:w="509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Part-exchange expenses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(177.3)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(131.9)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(331.6) </w:t>
            </w:r>
          </w:p>
        </w:tc>
      </w:tr>
      <w:tr>
        <w:trPr>
          <w:trHeight w:hRule="exact" w:val="346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Operating profit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114.0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97.8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174.7 </w:t>
            </w:r>
          </w:p>
        </w:tc>
      </w:tr>
      <w:tr>
        <w:trPr>
          <w:trHeight w:hRule="exact" w:val="346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Finance income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22.7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24.0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47.2 </w:t>
            </w:r>
          </w:p>
        </w:tc>
      </w:tr>
      <w:tr>
        <w:trPr>
          <w:trHeight w:hRule="exact" w:val="348"/>
        </w:trPr>
        <w:tc>
          <w:tcPr>
            <w:tcW w:type="dxa" w:w="5096"/>
            <w:tcBorders>
              <w:start w:sz="4.0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Finance costs </w:t>
            </w:r>
          </w:p>
        </w:tc>
        <w:tc>
          <w:tcPr>
            <w:tcW w:type="dxa" w:w="650"/>
            <w:tcBorders>
              <w:start w:sz="4.0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1578"/>
            <w:tcBorders>
              <w:start w:sz="4.0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(27.9) </w:t>
            </w:r>
          </w:p>
        </w:tc>
        <w:tc>
          <w:tcPr>
            <w:tcW w:type="dxa" w:w="1578"/>
            <w:tcBorders>
              <w:start w:sz="4.0" w:val="single" w:color="#000000"/>
              <w:top w:sz="3.199999999999818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(26.6) </w:t>
            </w:r>
          </w:p>
        </w:tc>
        <w:tc>
          <w:tcPr>
            <w:tcW w:type="dxa" w:w="1578"/>
            <w:tcBorders>
              <w:start w:sz="3.199999999999818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(53.7) </w:t>
            </w:r>
          </w:p>
        </w:tc>
      </w:tr>
      <w:tr>
        <w:trPr>
          <w:trHeight w:hRule="exact" w:val="346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finance costs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(5.2)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(2.6)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(6.5) </w:t>
            </w:r>
          </w:p>
        </w:tc>
      </w:tr>
      <w:tr>
        <w:trPr>
          <w:trHeight w:hRule="exact" w:val="348"/>
        </w:trPr>
        <w:tc>
          <w:tcPr>
            <w:tcW w:type="dxa" w:w="5096"/>
            <w:tcBorders>
              <w:start w:sz="4.0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Share of post-tax profit from joint ventures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8.4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</w:tr>
      <w:tr>
        <w:trPr>
          <w:trHeight w:hRule="exact" w:val="336"/>
        </w:trPr>
        <w:tc>
          <w:tcPr>
            <w:tcW w:type="dxa" w:w="50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Profit before tax </w:t>
            </w:r>
          </w:p>
        </w:tc>
        <w:tc>
          <w:tcPr>
            <w:tcW w:type="dxa" w:w="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117.2 </w:t>
            </w:r>
          </w:p>
        </w:tc>
        <w:tc>
          <w:tcPr>
            <w:tcW w:type="dxa" w:w="15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95.2 </w:t>
            </w:r>
          </w:p>
        </w:tc>
        <w:tc>
          <w:tcPr>
            <w:tcW w:type="dxa" w:w="157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170.5 </w:t>
            </w:r>
          </w:p>
        </w:tc>
      </w:tr>
      <w:tr>
        <w:trPr>
          <w:trHeight w:hRule="exact" w:val="346"/>
        </w:trPr>
        <w:tc>
          <w:tcPr>
            <w:tcW w:type="dxa" w:w="5096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Tax </w:t>
            </w:r>
          </w:p>
        </w:tc>
        <w:tc>
          <w:tcPr>
            <w:tcW w:type="dxa" w:w="650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578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(41.9) </w:t>
            </w:r>
          </w:p>
        </w:tc>
        <w:tc>
          <w:tcPr>
            <w:tcW w:type="dxa" w:w="1578"/>
            <w:tcBorders>
              <w:start w:sz="4.0" w:val="single" w:color="#000000"/>
              <w:top w:sz="3.200000000000273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(26.4) </w:t>
            </w:r>
          </w:p>
        </w:tc>
        <w:tc>
          <w:tcPr>
            <w:tcW w:type="dxa" w:w="1578"/>
            <w:tcBorders>
              <w:start w:sz="3.199999999999818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(56.4) </w:t>
            </w:r>
          </w:p>
        </w:tc>
      </w:tr>
      <w:tr>
        <w:trPr>
          <w:trHeight w:hRule="exact" w:val="588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2" w:after="0"/>
              <w:ind w:left="11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Profit and total comprehensive income recognised for the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period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75.3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68.8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114.1 </w:t>
            </w:r>
          </w:p>
        </w:tc>
      </w:tr>
      <w:tr>
        <w:trPr>
          <w:trHeight w:hRule="exact" w:val="586"/>
        </w:trPr>
        <w:tc>
          <w:tcPr>
            <w:tcW w:type="dxa" w:w="50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0" w:after="0"/>
              <w:ind w:left="11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Profit and total comprehensive income for the period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attributable to the owners of the Company </w:t>
            </w:r>
          </w:p>
        </w:tc>
        <w:tc>
          <w:tcPr>
            <w:tcW w:type="dxa" w:w="6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75.3 </w:t>
            </w:r>
          </w:p>
        </w:tc>
        <w:tc>
          <w:tcPr>
            <w:tcW w:type="dxa" w:w="15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68.8 </w:t>
            </w:r>
          </w:p>
        </w:tc>
        <w:tc>
          <w:tcPr>
            <w:tcW w:type="dxa" w:w="157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114.1 </w:t>
            </w:r>
          </w:p>
        </w:tc>
      </w:tr>
      <w:tr>
        <w:trPr>
          <w:trHeight w:hRule="exact" w:val="350"/>
        </w:trPr>
        <w:tc>
          <w:tcPr>
            <w:tcW w:type="dxa" w:w="50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Earnings per share from continuing operations: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5096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Basic</w:t>
            </w:r>
          </w:p>
        </w:tc>
        <w:tc>
          <w:tcPr>
            <w:tcW w:type="dxa" w:w="650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578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5.8p </w:t>
            </w:r>
          </w:p>
        </w:tc>
        <w:tc>
          <w:tcPr>
            <w:tcW w:type="dxa" w:w="1578"/>
            <w:tcBorders>
              <w:start w:sz="4.0" w:val="single" w:color="#000000"/>
              <w:top w:sz="3.200000000000273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7.1p </w:t>
            </w:r>
          </w:p>
        </w:tc>
        <w:tc>
          <w:tcPr>
            <w:tcW w:type="dxa" w:w="1578"/>
            <w:tcBorders>
              <w:start w:sz="3.199999999999818" w:val="single" w:color="#000000"/>
              <w:top w:sz="3.200000000000273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11.8p </w:t>
            </w:r>
          </w:p>
        </w:tc>
      </w:tr>
      <w:tr>
        <w:trPr>
          <w:trHeight w:hRule="exact" w:val="346"/>
        </w:trPr>
        <w:tc>
          <w:tcPr>
            <w:tcW w:type="dxa" w:w="509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Diluted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5.7p </w:t>
            </w:r>
          </w:p>
        </w:tc>
        <w:tc>
          <w:tcPr>
            <w:tcW w:type="dxa" w:w="157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7.0p </w:t>
            </w:r>
          </w:p>
        </w:tc>
        <w:tc>
          <w:tcPr>
            <w:tcW w:type="dxa" w:w="1578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11.6p </w:t>
            </w:r>
          </w:p>
        </w:tc>
      </w:tr>
    </w:tbl>
    <w:p>
      <w:pPr>
        <w:autoSpaceDN w:val="0"/>
        <w:autoSpaceDE w:val="0"/>
        <w:widowControl/>
        <w:spacing w:line="200" w:lineRule="exact" w:before="33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There was no other comprehensive income in any of the periods above. </w:t>
      </w:r>
    </w:p>
    <w:p>
      <w:pPr>
        <w:autoSpaceDN w:val="0"/>
        <w:autoSpaceDE w:val="0"/>
        <w:widowControl/>
        <w:spacing w:line="200" w:lineRule="exact" w:before="126" w:after="124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Notes 1 to 19 form an integral part of these Condensed Consolidated Interim Financial Statements.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rHeight w:hRule="exact" w:val="634"/>
        </w:trPr>
        <w:tc>
          <w:tcPr>
            <w:tcW w:type="dxa" w:w="14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2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Adjusted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items:</w:t>
            </w:r>
          </w:p>
          <w:p>
            <w:pPr>
              <w:autoSpaceDN w:val="0"/>
              <w:autoSpaceDE w:val="0"/>
              <w:widowControl/>
              <w:spacing w:line="160" w:lineRule="exact" w:before="174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See note 4 for further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details </w:t>
            </w:r>
          </w:p>
        </w:tc>
        <w:tc>
          <w:tcPr>
            <w:tcW w:type="dxa" w:w="226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Gross profit </w:t>
            </w:r>
          </w:p>
        </w:tc>
        <w:tc>
          <w:tcPr>
            <w:tcW w:type="dxa" w:w="22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Operating profit </w:t>
            </w:r>
          </w:p>
        </w:tc>
        <w:tc>
          <w:tcPr>
            <w:tcW w:type="dxa" w:w="22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Share of post-tax profit from </w:t>
            </w: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joint ventures </w:t>
            </w:r>
          </w:p>
        </w:tc>
        <w:tc>
          <w:tcPr>
            <w:tcW w:type="dxa" w:w="2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Profit before tax </w:t>
            </w:r>
          </w:p>
        </w:tc>
      </w:tr>
      <w:tr>
        <w:trPr>
          <w:trHeight w:hRule="exact" w:val="838"/>
        </w:trPr>
        <w:tc>
          <w:tcPr>
            <w:tcW w:type="dxa" w:w="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26 weeks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ended 29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142" w:after="0"/>
              <w:ind w:left="0" w:right="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HY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44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FY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26 weeks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ended 29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142" w:after="0"/>
              <w:ind w:left="0" w:right="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HY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44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FY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26 weeks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ended 29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14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HY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44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FY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2024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26 weeks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ended 29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14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HY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44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FY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134" w:lineRule="exact" w:before="142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£m </w:t>
            </w:r>
          </w:p>
        </w:tc>
      </w:tr>
      <w:tr>
        <w:trPr>
          <w:trHeight w:hRule="exact" w:val="290"/>
        </w:trPr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Reported profit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338.7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238.5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509.5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114.0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97.8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174.7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8.4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2.3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117.2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95.2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170.5 </w:t>
            </w:r>
          </w:p>
        </w:tc>
      </w:tr>
      <w:tr>
        <w:trPr>
          <w:trHeight w:hRule="exact" w:val="410"/>
        </w:trPr>
        <w:tc>
          <w:tcPr>
            <w:tcW w:type="dxa" w:w="142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Cost associated with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legacy properties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57.9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180.0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57.9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180.0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4.5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12.6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62.4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192.6 </w:t>
            </w:r>
          </w:p>
        </w:tc>
      </w:tr>
      <w:tr>
        <w:trPr>
          <w:trHeight w:hRule="exact" w:val="414"/>
        </w:trPr>
        <w:tc>
          <w:tcPr>
            <w:tcW w:type="dxa" w:w="142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2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Legacy property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recoveries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(0.5)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(0.5)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(0.5)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(0.5)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(0.5)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(0.5) </w:t>
            </w:r>
          </w:p>
        </w:tc>
      </w:tr>
      <w:tr>
        <w:trPr>
          <w:trHeight w:hRule="exact" w:val="736"/>
        </w:trPr>
        <w:tc>
          <w:tcPr>
            <w:tcW w:type="dxa" w:w="142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Costs incurred in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respect of the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acquisition of Redrow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plc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35.5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22.4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6" w:after="0"/>
              <w:ind w:left="0" w:right="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35.5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6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22.4 </w:t>
            </w:r>
          </w:p>
        </w:tc>
      </w:tr>
      <w:tr>
        <w:trPr>
          <w:trHeight w:hRule="exact" w:val="410"/>
        </w:trPr>
        <w:tc>
          <w:tcPr>
            <w:tcW w:type="dxa" w:w="142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Reorganisation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restructuring costs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14.4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-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14.4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-</w:t>
            </w:r>
          </w:p>
        </w:tc>
      </w:tr>
      <w:tr>
        <w:trPr>
          <w:trHeight w:hRule="exact" w:val="290"/>
        </w:trPr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Adjusted profit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338.7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295.9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689.0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163.9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155.2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376.6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8.4 </w:t>
            </w:r>
          </w:p>
        </w:tc>
        <w:tc>
          <w:tcPr>
            <w:tcW w:type="dxa" w:w="7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4.5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14.9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167.1 </w:t>
            </w:r>
          </w:p>
        </w:tc>
        <w:tc>
          <w:tcPr>
            <w:tcW w:type="dxa" w:w="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157.1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385.0 </w:t>
            </w:r>
          </w:p>
        </w:tc>
      </w:tr>
    </w:tbl>
    <w:p>
      <w:pPr>
        <w:autoSpaceDN w:val="0"/>
        <w:autoSpaceDE w:val="0"/>
        <w:widowControl/>
        <w:spacing w:line="178" w:lineRule="exact" w:before="10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19 </w:t>
      </w:r>
    </w:p>
    <w:p>
      <w:pPr>
        <w:sectPr>
          <w:pgSz w:w="11906" w:h="16838"/>
          <w:pgMar w:top="496" w:right="68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33" w:lineRule="auto" w:before="0" w:after="24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Condensed Consolidated Statement of Changes in Shareholders’ Equity (unaudited)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>
        <w:trPr>
          <w:trHeight w:hRule="exact" w:val="654"/>
        </w:trPr>
        <w:tc>
          <w:tcPr>
            <w:tcW w:type="dxa" w:w="2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Share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capital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(note 16)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8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Share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premium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Merger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reserve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Capital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redemption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reserve 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£m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Own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shares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(note 17)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8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8" w:val="left"/>
                <w:tab w:pos="376" w:val="left"/>
                <w:tab w:pos="550" w:val="left"/>
              </w:tabs>
              <w:autoSpaceDE w:val="0"/>
              <w:widowControl/>
              <w:spacing w:line="245" w:lineRule="auto" w:before="54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Share-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based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payments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Retained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earnings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Total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retained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earnings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8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Non-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controlling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interests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288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Total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equity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£m</w:t>
            </w:r>
          </w:p>
        </w:tc>
      </w:tr>
      <w:tr>
        <w:trPr>
          <w:trHeight w:hRule="exact" w:val="226"/>
        </w:trPr>
        <w:tc>
          <w:tcPr>
            <w:tcW w:type="dxa" w:w="2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At 30 June 2023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97.4 </w:t>
            </w:r>
          </w:p>
        </w:tc>
        <w:tc>
          <w:tcPr>
            <w:tcW w:type="dxa" w:w="8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253.5 </w:t>
            </w:r>
          </w:p>
        </w:tc>
        <w:tc>
          <w:tcPr>
            <w:tcW w:type="dxa" w:w="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1,109.0 </w:t>
            </w:r>
          </w:p>
        </w:tc>
        <w:tc>
          <w:tcPr>
            <w:tcW w:type="dxa" w:w="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4.8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(23.2) </w:t>
            </w:r>
          </w:p>
        </w:tc>
        <w:tc>
          <w:tcPr>
            <w:tcW w:type="dxa" w:w="8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20.8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4,133.6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4,131.2 </w:t>
            </w:r>
          </w:p>
        </w:tc>
        <w:tc>
          <w:tcPr>
            <w:tcW w:type="dxa" w:w="8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0.5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5,596.4 </w:t>
            </w:r>
          </w:p>
        </w:tc>
      </w:tr>
      <w:tr>
        <w:trPr>
          <w:trHeight w:hRule="exact" w:val="564"/>
        </w:trPr>
        <w:tc>
          <w:tcPr>
            <w:tcW w:type="dxa" w:w="2052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Profit for the period being total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comprehensive income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recognised for the period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 December 2023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000000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68.8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68.8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000000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68.8 </w:t>
            </w:r>
          </w:p>
        </w:tc>
      </w:tr>
      <w:tr>
        <w:trPr>
          <w:trHeight w:hRule="exact" w:val="228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Dividends paid (note 8)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(228.0)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(228.0)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(228.0) </w:t>
            </w:r>
          </w:p>
        </w:tc>
      </w:tr>
      <w:tr>
        <w:trPr>
          <w:trHeight w:hRule="exact" w:val="324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11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Distribution made to non-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controlling party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(0.4)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(0.4) </w:t>
            </w:r>
          </w:p>
        </w:tc>
      </w:tr>
      <w:tr>
        <w:trPr>
          <w:trHeight w:hRule="exact" w:val="230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Purchase of own shares by EBT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(8.6)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(8.6)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(8.6) </w:t>
            </w:r>
          </w:p>
        </w:tc>
      </w:tr>
      <w:tr>
        <w:trPr>
          <w:trHeight w:hRule="exact" w:val="228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Share-based payments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9.1 </w:t>
            </w:r>
          </w:p>
        </w:tc>
      </w:tr>
      <w:tr>
        <w:trPr>
          <w:trHeight w:hRule="exact" w:val="284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Transfers in respect of share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options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8.1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(13.0)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5.6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0.7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0.7 </w:t>
            </w:r>
          </w:p>
        </w:tc>
      </w:tr>
      <w:tr>
        <w:trPr>
          <w:trHeight w:hRule="exact" w:val="228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Tax on share-based payments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1.5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0.1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1.6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1.6 </w:t>
            </w:r>
          </w:p>
        </w:tc>
      </w:tr>
      <w:tr>
        <w:trPr>
          <w:trHeight w:hRule="exact" w:val="230"/>
        </w:trPr>
        <w:tc>
          <w:tcPr>
            <w:tcW w:type="dxa" w:w="20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At 31 December 2023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97.4 </w:t>
            </w:r>
          </w:p>
        </w:tc>
        <w:tc>
          <w:tcPr>
            <w:tcW w:type="dxa" w:w="8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253.5 </w:t>
            </w:r>
          </w:p>
        </w:tc>
        <w:tc>
          <w:tcPr>
            <w:tcW w:type="dxa" w:w="7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1,109.0 </w:t>
            </w:r>
          </w:p>
        </w:tc>
        <w:tc>
          <w:tcPr>
            <w:tcW w:type="dxa" w:w="8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4.8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(23.7) </w:t>
            </w:r>
          </w:p>
        </w:tc>
        <w:tc>
          <w:tcPr>
            <w:tcW w:type="dxa" w:w="8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18.4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3,980.1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3,974.8 </w:t>
            </w:r>
          </w:p>
        </w:tc>
        <w:tc>
          <w:tcPr>
            <w:tcW w:type="dxa" w:w="8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0.1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5,439.6 </w:t>
            </w:r>
          </w:p>
        </w:tc>
      </w:tr>
      <w:tr>
        <w:trPr>
          <w:trHeight w:hRule="exact" w:val="636"/>
        </w:trPr>
        <w:tc>
          <w:tcPr>
            <w:tcW w:type="dxa" w:w="2052"/>
            <w:tcBorders>
              <w:start w:sz="4.0" w:val="single" w:color="#000000"/>
              <w:top w:sz="3.2000000000000455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Profit for the period being total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comprehensive income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recognised for the period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30 June 2024 </w:t>
            </w:r>
          </w:p>
        </w:tc>
        <w:tc>
          <w:tcPr>
            <w:tcW w:type="dxa" w:w="842"/>
            <w:tcBorders>
              <w:start w:sz="5.599999999999909" w:val="single" w:color="#000000"/>
              <w:top w:sz="3.2000000000000455" w:val="single" w:color="#000000"/>
              <w:end w:sz="6.399999999999864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6.399999999999864" w:val="single" w:color="#000000"/>
              <w:top w:sz="3.2000000000000455" w:val="single" w:color="#000000"/>
              <w:end w:sz="5.600000000000136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88"/>
            <w:tcBorders>
              <w:start w:sz="5.600000000000136" w:val="single" w:color="#000000"/>
              <w:top w:sz="3.2000000000000455" w:val="single" w:color="#000000"/>
              <w:end w:sz="5.600000000000364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96"/>
            <w:tcBorders>
              <w:start w:sz="5.600000000000364" w:val="single" w:color="#000000"/>
              <w:top w:sz="3.2000000000000455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0455" w:val="single" w:color="#000000"/>
              <w:end w:sz="5.600000000000364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5.600000000000364" w:val="single" w:color="#000000"/>
              <w:top w:sz="3.2000000000000455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0455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45.3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0455" w:val="single" w:color="#000000"/>
              <w:end w:sz="6.400000000000091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45.3</w:t>
            </w:r>
          </w:p>
        </w:tc>
        <w:tc>
          <w:tcPr>
            <w:tcW w:type="dxa" w:w="850"/>
            <w:tcBorders>
              <w:start w:sz="6.400000000000091" w:val="single" w:color="#000000"/>
              <w:top w:sz="3.2000000000000455" w:val="single" w:color="#000000"/>
              <w:end w:sz="6.400000000000546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3.2000000000000455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45.3</w:t>
            </w:r>
          </w:p>
        </w:tc>
      </w:tr>
      <w:tr>
        <w:trPr>
          <w:trHeight w:hRule="exact" w:val="226"/>
        </w:trPr>
        <w:tc>
          <w:tcPr>
            <w:tcW w:type="dxa" w:w="2052"/>
            <w:tcBorders>
              <w:start w:sz="4.0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Dividends paid (note 8) </w:t>
            </w:r>
          </w:p>
        </w:tc>
        <w:tc>
          <w:tcPr>
            <w:tcW w:type="dxa" w:w="842"/>
            <w:tcBorders>
              <w:start w:sz="5.599999999999909" w:val="single" w:color="#000000"/>
              <w:top w:sz="3.200000000000273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6.399999999999864" w:val="single" w:color="#000000"/>
              <w:top w:sz="3.200000000000273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88"/>
            <w:tcBorders>
              <w:start w:sz="5.600000000000136" w:val="single" w:color="#000000"/>
              <w:top w:sz="3.200000000000273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96"/>
            <w:tcBorders>
              <w:start w:sz="5.600000000000364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273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5.600000000000364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(42.6) 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273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(42.6) </w:t>
            </w:r>
          </w:p>
        </w:tc>
        <w:tc>
          <w:tcPr>
            <w:tcW w:type="dxa" w:w="850"/>
            <w:tcBorders>
              <w:start w:sz="6.400000000000091" w:val="single" w:color="#000000"/>
              <w:top w:sz="3.200000000000273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36"/>
            <w:tcBorders>
              <w:start w:sz="6.400000000000546" w:val="single" w:color="#000000"/>
              <w:top w:sz="3.200000000000273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(42.6) </w:t>
            </w:r>
          </w:p>
        </w:tc>
      </w:tr>
      <w:tr>
        <w:trPr>
          <w:trHeight w:hRule="exact" w:val="230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Purchase of own shares by EBT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(14.7)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(14.7)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(14.7) </w:t>
            </w:r>
          </w:p>
        </w:tc>
      </w:tr>
      <w:tr>
        <w:trPr>
          <w:trHeight w:hRule="exact" w:val="228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Share-based payments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10.8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10.8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10.8 </w:t>
            </w:r>
          </w:p>
        </w:tc>
      </w:tr>
      <w:tr>
        <w:trPr>
          <w:trHeight w:hRule="exact" w:val="326"/>
        </w:trPr>
        <w:tc>
          <w:tcPr>
            <w:tcW w:type="dxa" w:w="2052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Transfers in respect of share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options </w:t>
            </w:r>
          </w:p>
        </w:tc>
        <w:tc>
          <w:tcPr>
            <w:tcW w:type="dxa" w:w="842"/>
            <w:tcBorders>
              <w:start w:sz="5.599999999999909" w:val="single" w:color="#000000"/>
              <w:top w:sz="3.199999999999818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3.199999999999818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1.5 </w:t>
            </w:r>
          </w:p>
        </w:tc>
        <w:tc>
          <w:tcPr>
            <w:tcW w:type="dxa" w:w="842"/>
            <w:tcBorders>
              <w:start w:sz="5.600000000000364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0.9 </w:t>
            </w:r>
          </w:p>
        </w:tc>
        <w:tc>
          <w:tcPr>
            <w:tcW w:type="dxa" w:w="844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(0.9) </w:t>
            </w:r>
          </w:p>
        </w:tc>
        <w:tc>
          <w:tcPr>
            <w:tcW w:type="dxa" w:w="844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1.5 </w:t>
            </w:r>
          </w:p>
        </w:tc>
        <w:tc>
          <w:tcPr>
            <w:tcW w:type="dxa" w:w="850"/>
            <w:tcBorders>
              <w:start w:sz="6.400000000000091" w:val="single" w:color="#000000"/>
              <w:top w:sz="3.199999999999818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1.5 </w:t>
            </w:r>
          </w:p>
        </w:tc>
      </w:tr>
      <w:tr>
        <w:trPr>
          <w:trHeight w:hRule="exact" w:val="228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Tax on share-based payments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(0.7)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(0.1)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(0.8)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(0.8) </w:t>
            </w:r>
          </w:p>
        </w:tc>
      </w:tr>
      <w:tr>
        <w:trPr>
          <w:trHeight w:hRule="exact" w:val="228"/>
        </w:trPr>
        <w:tc>
          <w:tcPr>
            <w:tcW w:type="dxa" w:w="20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At 30 June 2024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97.4 </w:t>
            </w:r>
          </w:p>
        </w:tc>
        <w:tc>
          <w:tcPr>
            <w:tcW w:type="dxa" w:w="84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253.5 </w:t>
            </w:r>
          </w:p>
        </w:tc>
        <w:tc>
          <w:tcPr>
            <w:tcW w:type="dxa" w:w="7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1,109.0 </w:t>
            </w:r>
          </w:p>
        </w:tc>
        <w:tc>
          <w:tcPr>
            <w:tcW w:type="dxa" w:w="8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4.8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(36.9) </w:t>
            </w:r>
          </w:p>
        </w:tc>
        <w:tc>
          <w:tcPr>
            <w:tcW w:type="dxa" w:w="8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29.4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3,981.8 </w:t>
            </w:r>
          </w:p>
        </w:tc>
        <w:tc>
          <w:tcPr>
            <w:tcW w:type="dxa" w:w="8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3,974.3 </w:t>
            </w:r>
          </w:p>
        </w:tc>
        <w:tc>
          <w:tcPr>
            <w:tcW w:type="dxa" w:w="85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0.1 </w:t>
            </w:r>
          </w:p>
        </w:tc>
        <w:tc>
          <w:tcPr>
            <w:tcW w:type="dxa" w:w="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5,439.1 </w:t>
            </w:r>
          </w:p>
        </w:tc>
      </w:tr>
      <w:tr>
        <w:trPr>
          <w:trHeight w:hRule="exact" w:val="604"/>
        </w:trPr>
        <w:tc>
          <w:tcPr>
            <w:tcW w:type="dxa" w:w="2052"/>
            <w:tcBorders>
              <w:start w:sz="4.0" w:val="single" w:color="#000000"/>
              <w:top w:sz="3.200000000000273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Profit for the period being total </w:t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comprehensive income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recognised for the period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ended 29 December 2024</w:t>
            </w:r>
          </w:p>
        </w:tc>
        <w:tc>
          <w:tcPr>
            <w:tcW w:type="dxa" w:w="842"/>
            <w:tcBorders>
              <w:start w:sz="5.599999999999909" w:val="single" w:color="#000000"/>
              <w:top w:sz="3.200000000000273" w:val="single" w:color="#000000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6.399999999999864" w:val="single" w:color="#000000"/>
              <w:top w:sz="3.200000000000273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88"/>
            <w:tcBorders>
              <w:start w:sz="5.600000000000136" w:val="single" w:color="#000000"/>
              <w:top w:sz="3.200000000000273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96"/>
            <w:tcBorders>
              <w:start w:sz="5.600000000000364" w:val="single" w:color="#000000"/>
              <w:top w:sz="3.200000000000273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273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5.600000000000364" w:val="single" w:color="#000000"/>
              <w:top w:sz="3.200000000000273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273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75.3 </w:t>
            </w:r>
          </w:p>
        </w:tc>
        <w:tc>
          <w:tcPr>
            <w:tcW w:type="dxa" w:w="844"/>
            <w:tcBorders>
              <w:start w:sz="5.599999999999909" w:val="single" w:color="#000000"/>
              <w:top w:sz="3.200000000000273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75.3 </w:t>
            </w:r>
          </w:p>
        </w:tc>
        <w:tc>
          <w:tcPr>
            <w:tcW w:type="dxa" w:w="850"/>
            <w:tcBorders>
              <w:start w:sz="6.400000000000091" w:val="single" w:color="#000000"/>
              <w:top w:sz="3.200000000000273" w:val="single" w:color="#000000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3.200000000000273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75.3 </w:t>
            </w:r>
          </w:p>
        </w:tc>
      </w:tr>
      <w:tr>
        <w:trPr>
          <w:trHeight w:hRule="exact" w:val="226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Dividends paid (note 8)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(170.5)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(170.5)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(170.5) </w:t>
            </w:r>
          </w:p>
        </w:tc>
      </w:tr>
      <w:tr>
        <w:trPr>
          <w:trHeight w:hRule="exact" w:val="230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Issue of share capital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1.1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(1.1)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(1.1)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</w:tr>
      <w:tr>
        <w:trPr>
          <w:trHeight w:hRule="exact" w:val="420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Share capital issued as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consideration for the acquisition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of Redrow plc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46.6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2,482.0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-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2,528.6 </w:t>
            </w:r>
          </w:p>
        </w:tc>
      </w:tr>
      <w:tr>
        <w:trPr>
          <w:trHeight w:hRule="exact" w:val="230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Share-based payments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9.4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9.4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9.4 </w:t>
            </w:r>
          </w:p>
        </w:tc>
      </w:tr>
      <w:tr>
        <w:trPr>
          <w:trHeight w:hRule="exact" w:val="344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Transfers in respect of share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options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11.5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(14.3)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2.1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(0.7)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(0.7) </w:t>
            </w:r>
          </w:p>
        </w:tc>
      </w:tr>
      <w:tr>
        <w:trPr>
          <w:trHeight w:hRule="exact" w:val="230"/>
        </w:trPr>
        <w:tc>
          <w:tcPr>
            <w:tcW w:type="dxa" w:w="2052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Tax on share-based payments </w:t>
            </w:r>
          </w:p>
        </w:tc>
        <w:tc>
          <w:tcPr>
            <w:tcW w:type="dxa" w:w="842"/>
            <w:tcBorders>
              <w:start w:sz="5.599999999999909" w:val="single" w:color="#000000"/>
              <w:top w:sz="4.0" w:val="single" w:color="#D8D9D8"/>
              <w:end w:sz="6.3999999999998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6.399999999999864" w:val="single" w:color="#000000"/>
              <w:top w:sz="4.0" w:val="single" w:color="#D8D9D8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788"/>
            <w:tcBorders>
              <w:start w:sz="5.600000000000136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96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42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0.1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0.3 </w:t>
            </w:r>
          </w:p>
        </w:tc>
        <w:tc>
          <w:tcPr>
            <w:tcW w:type="dxa" w:w="84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0.4 </w:t>
            </w:r>
          </w:p>
        </w:tc>
        <w:tc>
          <w:tcPr>
            <w:tcW w:type="dxa" w:w="850"/>
            <w:tcBorders>
              <w:start w:sz="6.400000000000091" w:val="single" w:color="#000000"/>
              <w:top w:sz="4.0" w:val="single" w:color="#D8D9D8"/>
              <w:end w:sz="6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- </w:t>
            </w:r>
          </w:p>
        </w:tc>
        <w:tc>
          <w:tcPr>
            <w:tcW w:type="dxa" w:w="836"/>
            <w:tcBorders>
              <w:start w:sz="6.400000000000546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0.4 </w:t>
            </w:r>
          </w:p>
        </w:tc>
      </w:tr>
      <w:tr>
        <w:trPr>
          <w:trHeight w:hRule="exact" w:val="226"/>
        </w:trPr>
        <w:tc>
          <w:tcPr>
            <w:tcW w:type="dxa" w:w="20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At 29 December 2024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145.1 </w:t>
            </w:r>
          </w:p>
        </w:tc>
        <w:tc>
          <w:tcPr>
            <w:tcW w:type="dxa" w:w="84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253.5 </w:t>
            </w:r>
          </w:p>
        </w:tc>
        <w:tc>
          <w:tcPr>
            <w:tcW w:type="dxa" w:w="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3,591.0 </w:t>
            </w:r>
          </w:p>
        </w:tc>
        <w:tc>
          <w:tcPr>
            <w:tcW w:type="dxa" w:w="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4.8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(26.5) </w:t>
            </w:r>
          </w:p>
        </w:tc>
        <w:tc>
          <w:tcPr>
            <w:tcW w:type="dxa" w:w="8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24.6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3,889.0 </w:t>
            </w:r>
          </w:p>
        </w:tc>
        <w:tc>
          <w:tcPr>
            <w:tcW w:type="dxa" w:w="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3,887.1 </w:t>
            </w:r>
          </w:p>
        </w:tc>
        <w:tc>
          <w:tcPr>
            <w:tcW w:type="dxa" w:w="85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0.1 </w:t>
            </w:r>
          </w:p>
        </w:tc>
        <w:tc>
          <w:tcPr>
            <w:tcW w:type="dxa" w:w="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 xml:space="preserve">7,881.6 </w:t>
            </w:r>
          </w:p>
        </w:tc>
      </w:tr>
    </w:tbl>
    <w:p>
      <w:pPr>
        <w:autoSpaceDN w:val="0"/>
        <w:autoSpaceDE w:val="0"/>
        <w:widowControl/>
        <w:spacing w:line="200" w:lineRule="exact" w:before="3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Notes 1 to 19 form an integral part of these Condensed Consolidated Interim Financial Statements. </w:t>
      </w:r>
    </w:p>
    <w:p>
      <w:pPr>
        <w:autoSpaceDN w:val="0"/>
        <w:autoSpaceDE w:val="0"/>
        <w:widowControl/>
        <w:spacing w:line="180" w:lineRule="exact" w:before="651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20 </w:t>
      </w:r>
    </w:p>
    <w:p>
      <w:pPr>
        <w:sectPr>
          <w:pgSz w:w="11906" w:h="16841"/>
          <w:pgMar w:top="430" w:right="688" w:bottom="21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72" w:lineRule="exact" w:before="0" w:after="328"/>
        <w:ind w:left="0" w:right="576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Condensed Consolidated Balance Sheet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 29 December 2024 (unaudited)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102"/>
        <w:gridCol w:w="2102"/>
        <w:gridCol w:w="2102"/>
        <w:gridCol w:w="2102"/>
        <w:gridCol w:w="2102"/>
      </w:tblGrid>
      <w:tr>
        <w:trPr>
          <w:trHeight w:hRule="exact" w:val="672"/>
        </w:trPr>
        <w:tc>
          <w:tcPr>
            <w:tcW w:type="dxa" w:w="4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Notes </w:t>
            </w:r>
          </w:p>
        </w:tc>
        <w:tc>
          <w:tcPr>
            <w:tcW w:type="dxa" w:w="17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3" w:lineRule="auto" w:before="32" w:after="0"/>
              <w:ind w:left="1452" w:right="0" w:hanging="116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9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328" w:lineRule="exact" w:before="0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 December 2023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9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576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28"/>
        </w:trPr>
        <w:tc>
          <w:tcPr>
            <w:tcW w:type="dxa" w:w="4446"/>
            <w:tcBorders>
              <w:start w:sz="4.0" w:val="single" w:color="#000000"/>
              <w:top w:sz="3.199999999999932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Assets </w:t>
            </w:r>
          </w:p>
        </w:tc>
        <w:tc>
          <w:tcPr>
            <w:tcW w:type="dxa" w:w="646"/>
            <w:tcBorders>
              <w:start w:sz="6.400000000000091" w:val="single" w:color="#000000"/>
              <w:top w:sz="3.199999999999932" w:val="single" w:color="#000000"/>
              <w:end w:sz="5.600000000000364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199999999999932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3.199999999999932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3.199999999999932" w:val="single" w:color="#000000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Non-current assets </w:t>
            </w:r>
          </w:p>
        </w:tc>
        <w:tc>
          <w:tcPr>
            <w:tcW w:type="dxa" w:w="646"/>
            <w:tcBorders>
              <w:start w:sz="6.400000000000091" w:val="single" w:color="#000000"/>
              <w:top w:sz="3.2000000000000455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2000000000000455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intangible assets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413.6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189.7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184.5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Goodwill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1,111.9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852.9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852.9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Investments in jointly controlled entities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170.4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144.3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158.5 </w:t>
            </w:r>
          </w:p>
        </w:tc>
      </w:tr>
      <w:tr>
        <w:trPr>
          <w:trHeight w:hRule="exact" w:val="232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Property, plant and equipment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83.4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58.2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57.5 </w:t>
            </w:r>
          </w:p>
        </w:tc>
      </w:tr>
      <w:tr>
        <w:trPr>
          <w:trHeight w:hRule="exact" w:val="228"/>
        </w:trPr>
        <w:tc>
          <w:tcPr>
            <w:tcW w:type="dxa" w:w="4446"/>
            <w:tcBorders>
              <w:start w:sz="4.0" w:val="single" w:color="#000000"/>
              <w:top w:sz="3.2000000000000455" w:val="single" w:color="#D8D9D8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Right-of-use assets </w:t>
            </w:r>
          </w:p>
        </w:tc>
        <w:tc>
          <w:tcPr>
            <w:tcW w:type="dxa" w:w="646"/>
            <w:tcBorders>
              <w:start w:sz="6.400000000000091" w:val="single" w:color="#000000"/>
              <w:top w:sz="3.2000000000000455" w:val="single" w:color="#D8D9D8"/>
              <w:end w:sz="5.600000000000364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2000000000000455" w:val="single" w:color="#D8D9D8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51.7 </w:t>
            </w:r>
          </w:p>
        </w:tc>
        <w:tc>
          <w:tcPr>
            <w:tcW w:type="dxa" w:w="1796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44.4 </w:t>
            </w:r>
          </w:p>
        </w:tc>
        <w:tc>
          <w:tcPr>
            <w:tcW w:type="dxa" w:w="1794"/>
            <w:tcBorders>
              <w:start w:sz="6.400000000000091" w:val="single" w:color="#000000"/>
              <w:top w:sz="3.2000000000000455" w:val="single" w:color="#D8D9D8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41.2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Retirement benefit surplus </w:t>
            </w:r>
          </w:p>
        </w:tc>
        <w:tc>
          <w:tcPr>
            <w:tcW w:type="dxa" w:w="646"/>
            <w:tcBorders>
              <w:start w:sz="6.400000000000091" w:val="single" w:color="#000000"/>
              <w:top w:sz="3.2000000000000455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2000000000000455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5.0 </w:t>
            </w:r>
          </w:p>
        </w:tc>
        <w:tc>
          <w:tcPr>
            <w:tcW w:type="dxa" w:w="1796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794"/>
            <w:tcBorders>
              <w:start w:sz="6.400000000000091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Trade and other receivables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5.0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3.0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3.4 </w:t>
            </w:r>
          </w:p>
        </w:tc>
      </w:tr>
      <w:tr>
        <w:trPr>
          <w:trHeight w:hRule="exact" w:val="232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1,841.0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1,292.5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1,298.0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3.2000000000000455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Current assets</w:t>
            </w:r>
          </w:p>
        </w:tc>
        <w:tc>
          <w:tcPr>
            <w:tcW w:type="dxa" w:w="646"/>
            <w:tcBorders>
              <w:start w:sz="6.400000000000091" w:val="single" w:color="#000000"/>
              <w:top w:sz="3.2000000000000455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2000000000000455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3.2000000000000455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3.2000000000000455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Inventories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12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8,356.2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5,188.9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5,278.2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Trade and other receivables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165.4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123.9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201.9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tax assets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56.0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27.3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31.8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and cash equivalents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949.9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9,232.9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6,290.0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6,577.2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11,073.9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7,582.5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7,875.2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3.200000000000273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Liabilities</w:t>
            </w:r>
          </w:p>
        </w:tc>
        <w:tc>
          <w:tcPr>
            <w:tcW w:type="dxa" w:w="646"/>
            <w:tcBorders>
              <w:start w:sz="6.400000000000091" w:val="single" w:color="#000000"/>
              <w:top w:sz="3.200000000000273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200000000000273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3.200000000000273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3.200000000000273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Non-current liabilities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and borrowings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Trade and other payables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(197.7)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(145.9)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(172.0)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Lease liabilities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(41.1)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(31.1)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(29.4)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tax liabilities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(126.7)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(50.4)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(45.0)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14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(589.2)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(436.6)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(543.2) </w:t>
            </w:r>
          </w:p>
        </w:tc>
      </w:tr>
      <w:tr>
        <w:trPr>
          <w:trHeight w:hRule="exact" w:val="236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(1,154.7)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(864.0)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(989.6) </w:t>
            </w:r>
          </w:p>
        </w:tc>
      </w:tr>
      <w:tr>
        <w:trPr>
          <w:trHeight w:hRule="exact" w:val="228"/>
        </w:trPr>
        <w:tc>
          <w:tcPr>
            <w:tcW w:type="dxa" w:w="4446"/>
            <w:tcBorders>
              <w:start w:sz="4.0" w:val="single" w:color="#000000"/>
              <w:top w:sz="3.199999999999818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Current liabilities</w:t>
            </w:r>
          </w:p>
        </w:tc>
        <w:tc>
          <w:tcPr>
            <w:tcW w:type="dxa" w:w="646"/>
            <w:tcBorders>
              <w:start w:sz="6.400000000000091" w:val="single" w:color="#000000"/>
              <w:top w:sz="3.199999999999818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3.199999999999818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3.199999999999818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and borrowings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(0.3)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Trade and other payables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(1,435.6)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(887.2)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(1,055.1)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Lease liabilities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(18.6)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(14.5)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(13.4)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14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(583.4)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(376.9)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(378.0) </w:t>
            </w:r>
          </w:p>
        </w:tc>
      </w:tr>
      <w:tr>
        <w:trPr>
          <w:trHeight w:hRule="exact" w:val="232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(2,037.6)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(1,278.9)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(1,446.5) </w:t>
            </w:r>
          </w:p>
        </w:tc>
      </w:tr>
      <w:tr>
        <w:trPr>
          <w:trHeight w:hRule="exact" w:val="228"/>
        </w:trPr>
        <w:tc>
          <w:tcPr>
            <w:tcW w:type="dxa" w:w="4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</w:t>
            </w:r>
          </w:p>
        </w:tc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(3,192.3) </w:t>
            </w:r>
          </w:p>
        </w:tc>
        <w:tc>
          <w:tcPr>
            <w:tcW w:type="dxa" w:w="179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(2,142.9) </w:t>
            </w:r>
          </w:p>
        </w:tc>
        <w:tc>
          <w:tcPr>
            <w:tcW w:type="dxa" w:w="179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(2,436.1)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assets</w:t>
            </w:r>
          </w:p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7,881.6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5,439.6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5,439.1 </w:t>
            </w:r>
          </w:p>
        </w:tc>
      </w:tr>
      <w:tr>
        <w:trPr>
          <w:trHeight w:hRule="exact" w:val="452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Equity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000000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4"/>
            <w:tcBorders>
              <w:start w:sz="6.400000000000091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4446"/>
            <w:tcBorders>
              <w:start w:sz="4.0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Share capital</w:t>
            </w:r>
          </w:p>
        </w:tc>
        <w:tc>
          <w:tcPr>
            <w:tcW w:type="dxa" w:w="646"/>
            <w:tcBorders>
              <w:start w:sz="6.400000000000091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16 </w:t>
            </w:r>
          </w:p>
        </w:tc>
        <w:tc>
          <w:tcPr>
            <w:tcW w:type="dxa" w:w="1798"/>
            <w:tcBorders>
              <w:start w:sz="5.600000000000364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145.1 </w:t>
            </w:r>
          </w:p>
        </w:tc>
        <w:tc>
          <w:tcPr>
            <w:tcW w:type="dxa" w:w="1796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97.4 </w:t>
            </w:r>
          </w:p>
        </w:tc>
        <w:tc>
          <w:tcPr>
            <w:tcW w:type="dxa" w:w="1794"/>
            <w:tcBorders>
              <w:start w:sz="6.400000000000091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97.4 </w:t>
            </w:r>
          </w:p>
        </w:tc>
      </w:tr>
      <w:tr>
        <w:trPr>
          <w:trHeight w:hRule="exact" w:val="226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Share premium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253.5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253.5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253.5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Merger reserve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3,591.0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1,109.0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1,109.0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Capital redemption reserve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4.8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4.8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4.8 </w:t>
            </w:r>
          </w:p>
        </w:tc>
      </w:tr>
      <w:tr>
        <w:trPr>
          <w:trHeight w:hRule="exact" w:val="232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Retained earnings </w:t>
            </w:r>
          </w:p>
        </w:tc>
        <w:tc>
          <w:tcPr>
            <w:tcW w:type="dxa" w:w="646"/>
            <w:tcBorders>
              <w:start w:sz="6.400000000000091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3,887.1 </w:t>
            </w:r>
          </w:p>
        </w:tc>
        <w:tc>
          <w:tcPr>
            <w:tcW w:type="dxa" w:w="179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3,974.8 </w:t>
            </w:r>
          </w:p>
        </w:tc>
        <w:tc>
          <w:tcPr>
            <w:tcW w:type="dxa" w:w="1794"/>
            <w:tcBorders>
              <w:start w:sz="6.400000000000091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3,974.3 </w:t>
            </w:r>
          </w:p>
        </w:tc>
      </w:tr>
      <w:tr>
        <w:trPr>
          <w:trHeight w:hRule="exact" w:val="230"/>
        </w:trPr>
        <w:tc>
          <w:tcPr>
            <w:tcW w:type="dxa" w:w="44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attributable to the owners of the Company</w:t>
            </w:r>
          </w:p>
        </w:tc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7,881.5 </w:t>
            </w:r>
          </w:p>
        </w:tc>
        <w:tc>
          <w:tcPr>
            <w:tcW w:type="dxa" w:w="179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5,439.5 </w:t>
            </w:r>
          </w:p>
        </w:tc>
        <w:tc>
          <w:tcPr>
            <w:tcW w:type="dxa" w:w="179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5,439.0 </w:t>
            </w:r>
          </w:p>
        </w:tc>
      </w:tr>
      <w:tr>
        <w:trPr>
          <w:trHeight w:hRule="exact" w:val="232"/>
        </w:trPr>
        <w:tc>
          <w:tcPr>
            <w:tcW w:type="dxa" w:w="444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Non-controlling interests</w:t>
            </w:r>
          </w:p>
        </w:tc>
        <w:tc>
          <w:tcPr>
            <w:tcW w:type="dxa" w:w="64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0.1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 </w:t>
            </w:r>
          </w:p>
        </w:tc>
      </w:tr>
      <w:tr>
        <w:trPr>
          <w:trHeight w:hRule="exact" w:val="228"/>
        </w:trPr>
        <w:tc>
          <w:tcPr>
            <w:tcW w:type="dxa" w:w="4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equity </w:t>
            </w:r>
          </w:p>
        </w:tc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7,881.6 </w:t>
            </w:r>
          </w:p>
        </w:tc>
        <w:tc>
          <w:tcPr>
            <w:tcW w:type="dxa" w:w="179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5,439.6 </w:t>
            </w:r>
          </w:p>
        </w:tc>
        <w:tc>
          <w:tcPr>
            <w:tcW w:type="dxa" w:w="17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5,439.1 </w:t>
            </w:r>
          </w:p>
        </w:tc>
      </w:tr>
    </w:tbl>
    <w:p>
      <w:pPr>
        <w:autoSpaceDN w:val="0"/>
        <w:autoSpaceDE w:val="0"/>
        <w:widowControl/>
        <w:spacing w:line="200" w:lineRule="exact" w:before="2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Notes 1 to 19 form an integral part of these Condensed Consolidated Interim Financial Statements.</w:t>
      </w:r>
    </w:p>
    <w:p>
      <w:pPr>
        <w:autoSpaceDN w:val="0"/>
        <w:autoSpaceDE w:val="0"/>
        <w:widowControl/>
        <w:spacing w:line="180" w:lineRule="exact" w:before="35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21 </w:t>
      </w:r>
    </w:p>
    <w:p>
      <w:pPr>
        <w:sectPr>
          <w:pgSz w:w="11906" w:h="16841"/>
          <w:pgMar w:top="424" w:right="688" w:bottom="21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p>
      <w:pPr>
        <w:autoSpaceDN w:val="0"/>
        <w:autoSpaceDE w:val="0"/>
        <w:widowControl/>
        <w:spacing w:line="272" w:lineRule="exact" w:before="0" w:after="278"/>
        <w:ind w:left="4" w:right="446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Condensed Consolidated Cash Flow Statement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the 26 weeks ended 29 December 2024 (unaudited)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1210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Notes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144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0" w:lineRule="auto" w:before="31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4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78" w:lineRule="exact" w:before="31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4" w:val="left"/>
                <w:tab w:pos="838" w:val="left"/>
                <w:tab w:pos="1006" w:val="left"/>
              </w:tabs>
              <w:autoSpaceDE w:val="0"/>
              <w:widowControl/>
              <w:spacing w:line="218" w:lineRule="exact" w:before="0" w:after="0"/>
              <w:ind w:left="5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2024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78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514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cash (outflow)/inflow from operating activities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(433.8)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(74.8)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96.2 </w:t>
            </w:r>
          </w:p>
        </w:tc>
      </w:tr>
      <w:tr>
        <w:trPr>
          <w:trHeight w:hRule="exact" w:val="268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Investing activities: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Purchase of property, plant and equipment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(9.3)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(3.8)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(7.2) </w:t>
            </w:r>
          </w:p>
        </w:tc>
      </w:tr>
      <w:tr>
        <w:trPr>
          <w:trHeight w:hRule="exact" w:val="328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Proceeds from disposal of property, plant and equipment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</w:tr>
      <w:tr>
        <w:trPr>
          <w:trHeight w:hRule="exact" w:val="326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Purchase of intangible assets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(2.5)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acquired on acquisition of subsidiary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194.3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26"/>
        </w:trPr>
        <w:tc>
          <w:tcPr>
            <w:tcW w:type="dxa" w:w="5190"/>
            <w:tcBorders>
              <w:start w:sz="3.1999999999999886" w:val="single" w:color="#000000"/>
              <w:top w:sz="3.2000000000000455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Increase in amounts invested in jointly controlled entities </w:t>
            </w:r>
          </w:p>
        </w:tc>
        <w:tc>
          <w:tcPr>
            <w:tcW w:type="dxa" w:w="760"/>
            <w:tcBorders>
              <w:start w:sz="3.200000000000273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(30.8) </w:t>
            </w:r>
          </w:p>
        </w:tc>
        <w:tc>
          <w:tcPr>
            <w:tcW w:type="dxa" w:w="1526"/>
            <w:tcBorders>
              <w:start w:sz="3.199999999999818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(20.7)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(38.3) </w:t>
            </w:r>
          </w:p>
        </w:tc>
      </w:tr>
      <w:tr>
        <w:trPr>
          <w:trHeight w:hRule="exact" w:val="326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Repayment of amounts invested in jointly controlled entities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25.6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4.8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Distributions received from jointly controlled entities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1.7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7.1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received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25.7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45.3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cash inflow from investing activities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204.7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12.0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Financing activities: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Dividends paid to equity holders of the Company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(170.5)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(228.0)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(270.6)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Distribution made to non-controlling partner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(0.4)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(0.4)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Purchase of own shares for the EBT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(8.6)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(23.3)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Payment of dividend equivalents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(1.1)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(0.5)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(0.5) </w:t>
            </w:r>
          </w:p>
        </w:tc>
      </w:tr>
      <w:tr>
        <w:trPr>
          <w:trHeight w:hRule="exact" w:val="274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Share issue costs on acquisition of subsidiary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(0.3)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66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Proceeds from the exercise of share options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0.4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2.7 </w:t>
            </w:r>
          </w:p>
        </w:tc>
      </w:tr>
      <w:tr>
        <w:trPr>
          <w:trHeight w:hRule="exact" w:val="274"/>
        </w:trPr>
        <w:tc>
          <w:tcPr>
            <w:tcW w:type="dxa" w:w="5190"/>
            <w:tcBorders>
              <w:start w:sz="3.1999999999999886" w:val="single" w:color="#000000"/>
              <w:top w:sz="4.0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Repayment of lease liabilities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(9.4)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(8.3)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(16.5) </w:t>
            </w:r>
          </w:p>
        </w:tc>
      </w:tr>
      <w:tr>
        <w:trPr>
          <w:trHeight w:hRule="exact" w:val="266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cash outflow from financing activities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(180.9)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(244.8)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(308.6) </w:t>
            </w:r>
          </w:p>
        </w:tc>
      </w:tr>
      <w:tr>
        <w:trPr>
          <w:trHeight w:hRule="exact" w:val="270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1.599999999999909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decrease in cash, cash equivalents and bank overdrafts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1.599999999999909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1.599999999999909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(410.0)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1.599999999999909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(316.1)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1.599999999999909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(200.4) </w:t>
            </w:r>
          </w:p>
        </w:tc>
      </w:tr>
      <w:tr>
        <w:trPr>
          <w:trHeight w:hRule="exact" w:val="488"/>
        </w:trPr>
        <w:tc>
          <w:tcPr>
            <w:tcW w:type="dxa" w:w="5190"/>
            <w:tcBorders>
              <w:start w:sz="3.1999999999999886" w:val="single" w:color="#000000"/>
              <w:top w:sz="1.599999999999909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11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Cash, cash equivalents and bank overdrafts at the beginning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the period </w:t>
            </w:r>
          </w:p>
        </w:tc>
        <w:tc>
          <w:tcPr>
            <w:tcW w:type="dxa" w:w="760"/>
            <w:tcBorders>
              <w:start w:sz="3.200000000000273" w:val="single" w:color="#000000"/>
              <w:top w:sz="1.599999999999909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1.599999999999909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1,065.3 </w:t>
            </w:r>
          </w:p>
        </w:tc>
        <w:tc>
          <w:tcPr>
            <w:tcW w:type="dxa" w:w="1526"/>
            <w:tcBorders>
              <w:start w:sz="3.199999999999818" w:val="single" w:color="#000000"/>
              <w:top w:sz="1.599999999999909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1,265.7 </w:t>
            </w:r>
          </w:p>
        </w:tc>
        <w:tc>
          <w:tcPr>
            <w:tcW w:type="dxa" w:w="1526"/>
            <w:tcBorders>
              <w:start w:sz="4.0" w:val="single" w:color="#000000"/>
              <w:top w:sz="1.599999999999909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1,265.7 </w:t>
            </w:r>
          </w:p>
        </w:tc>
      </w:tr>
      <w:tr>
        <w:trPr>
          <w:trHeight w:hRule="exact" w:val="492"/>
        </w:trPr>
        <w:tc>
          <w:tcPr>
            <w:tcW w:type="dxa" w:w="519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11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Cash, cash equivalents and bank overdrafts at the end of the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period </w:t>
            </w:r>
          </w:p>
        </w:tc>
        <w:tc>
          <w:tcPr>
            <w:tcW w:type="dxa" w:w="760"/>
            <w:tcBorders>
              <w:start w:sz="3.200000000000273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3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526"/>
            <w:tcBorders>
              <w:start w:sz="3.199999999999818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949.6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</w:tr>
    </w:tbl>
    <w:p>
      <w:pPr>
        <w:autoSpaceDN w:val="0"/>
        <w:autoSpaceDE w:val="0"/>
        <w:widowControl/>
        <w:spacing w:line="200" w:lineRule="exact" w:before="132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Notes 1 to 19 form an integral part of these Condensed Consolidated Interim Financial Statements. </w:t>
      </w:r>
    </w:p>
    <w:p>
      <w:pPr>
        <w:autoSpaceDN w:val="0"/>
        <w:autoSpaceDE w:val="0"/>
        <w:widowControl/>
        <w:spacing w:line="180" w:lineRule="exact" w:before="59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22 </w:t>
      </w:r>
    </w:p>
    <w:p>
      <w:pPr>
        <w:sectPr>
          <w:pgSz w:w="11906" w:h="16841"/>
          <w:pgMar w:top="370" w:right="644" w:bottom="214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p>
      <w:pPr>
        <w:autoSpaceDN w:val="0"/>
        <w:autoSpaceDE w:val="0"/>
        <w:widowControl/>
        <w:spacing w:line="250" w:lineRule="exact" w:before="0" w:after="324"/>
        <w:ind w:left="4" w:right="244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Reconciliation of operating profit to net cash inflow from operating activities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the 26 weeks ended 29 December 2024 (unaudited)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1138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98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Notes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248" w:right="0" w:firstLine="17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0" w:lineRule="auto" w:before="31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80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78" w:lineRule="exact" w:before="31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78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592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Operating profit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114.0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97.8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174.7 </w:t>
            </w:r>
          </w:p>
        </w:tc>
      </w:tr>
      <w:tr>
        <w:trPr>
          <w:trHeight w:hRule="exact" w:val="268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Depreciation of property plant and equipment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4.2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7.5 </w:t>
            </w:r>
          </w:p>
        </w:tc>
      </w:tr>
      <w:tr>
        <w:trPr>
          <w:trHeight w:hRule="exact" w:val="272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Depreciation of right-of-use assets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8.6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7.5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15.2 </w:t>
            </w:r>
          </w:p>
        </w:tc>
      </w:tr>
      <w:tr>
        <w:trPr>
          <w:trHeight w:hRule="exact" w:val="268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Amortisation of intangible assets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9.3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10.4 </w:t>
            </w:r>
          </w:p>
        </w:tc>
      </w:tr>
      <w:tr>
        <w:trPr>
          <w:trHeight w:hRule="exact" w:val="272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Impairment/(reversal of impairment) of inventories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12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7.1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(2.3)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(2.2) </w:t>
            </w:r>
          </w:p>
        </w:tc>
      </w:tr>
      <w:tr>
        <w:trPr>
          <w:trHeight w:hRule="exact" w:val="268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Leased asset re-measurements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1.5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2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Share-based payments charge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9.4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9.1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19.9 </w:t>
            </w:r>
          </w:p>
        </w:tc>
      </w:tr>
      <w:tr>
        <w:trPr>
          <w:trHeight w:hRule="exact" w:val="268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Defined benefit pension movements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4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Imputed interest on long-term liabilities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(20.9)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(19.8)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(40.2) </w:t>
            </w:r>
          </w:p>
        </w:tc>
      </w:tr>
      <w:tr>
        <w:trPr>
          <w:trHeight w:hRule="exact" w:val="266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Imputed interest on lease arrangements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(1.1)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(0.9)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(1.8) </w:t>
            </w:r>
          </w:p>
        </w:tc>
      </w:tr>
      <w:tr>
        <w:trPr>
          <w:trHeight w:hRule="exact" w:val="274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Amortisation of facility fees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(0.7)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(0.9)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(1.6) </w:t>
            </w:r>
          </w:p>
        </w:tc>
      </w:tr>
      <w:tr>
        <w:trPr>
          <w:trHeight w:hRule="exact" w:val="266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non-cash items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17.7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7.2 </w:t>
            </w:r>
          </w:p>
        </w:tc>
      </w:tr>
      <w:tr>
        <w:trPr>
          <w:trHeight w:hRule="exact" w:val="274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(Increase)/decrease in inventories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(285.9)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51.4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(38.0) </w:t>
            </w:r>
          </w:p>
        </w:tc>
      </w:tr>
      <w:tr>
        <w:trPr>
          <w:trHeight w:hRule="exact" w:val="266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Decrease/(increase) in receivables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70.5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60.5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(19.6) </w:t>
            </w:r>
          </w:p>
        </w:tc>
      </w:tr>
      <w:tr>
        <w:trPr>
          <w:trHeight w:hRule="exact" w:val="274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Decrease in payables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(226.0)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(282.1)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(87.2) </w:t>
            </w:r>
          </w:p>
        </w:tc>
      </w:tr>
      <w:tr>
        <w:trPr>
          <w:trHeight w:hRule="exact" w:val="266"/>
        </w:trPr>
        <w:tc>
          <w:tcPr>
            <w:tcW w:type="dxa" w:w="4536"/>
            <w:tcBorders>
              <w:start w:sz="3.1999999999999886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(Decrease)/increase in provisions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(43.0)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25.1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132.8 </w:t>
            </w:r>
          </w:p>
        </w:tc>
      </w:tr>
      <w:tr>
        <w:trPr>
          <w:trHeight w:hRule="exact" w:val="274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movements in working capital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(484.4)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(145.1)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(12.0) </w:t>
            </w:r>
          </w:p>
        </w:tc>
      </w:tr>
      <w:tr>
        <w:trPr>
          <w:trHeight w:hRule="exact" w:val="264"/>
        </w:trPr>
        <w:tc>
          <w:tcPr>
            <w:tcW w:type="dxa" w:w="45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2.400000000000091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paid </w:t>
            </w:r>
          </w:p>
        </w:tc>
        <w:tc>
          <w:tcPr>
            <w:tcW w:type="dxa" w:w="708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(5.5)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(5.0)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(10.1) </w:t>
            </w:r>
          </w:p>
        </w:tc>
      </w:tr>
      <w:tr>
        <w:trPr>
          <w:trHeight w:hRule="exact" w:val="270"/>
        </w:trPr>
        <w:tc>
          <w:tcPr>
            <w:tcW w:type="dxa" w:w="4536"/>
            <w:tcBorders>
              <w:start w:sz="3.1999999999999886" w:val="single" w:color="#000000"/>
              <w:top w:sz="2.400000000000091" w:val="single" w:color="#D8D9D8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Tax paid </w:t>
            </w:r>
          </w:p>
        </w:tc>
        <w:tc>
          <w:tcPr>
            <w:tcW w:type="dxa" w:w="708"/>
            <w:tcBorders>
              <w:start w:sz="4.0" w:val="single" w:color="#000000"/>
              <w:top w:sz="2.400000000000091" w:val="single" w:color="#D8D9D8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2.400000000000091" w:val="single" w:color="#D8D9D8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(75.6) </w:t>
            </w:r>
          </w:p>
        </w:tc>
        <w:tc>
          <w:tcPr>
            <w:tcW w:type="dxa" w:w="1762"/>
            <w:tcBorders>
              <w:start w:sz="4.0" w:val="single" w:color="#000000"/>
              <w:top w:sz="2.400000000000091" w:val="single" w:color="#D8D9D8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(24.1) </w:t>
            </w:r>
          </w:p>
        </w:tc>
        <w:tc>
          <w:tcPr>
            <w:tcW w:type="dxa" w:w="1760"/>
            <w:tcBorders>
              <w:start w:sz="4.0" w:val="single" w:color="#000000"/>
              <w:top w:sz="2.400000000000091" w:val="single" w:color="#D8D9D8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(63.6) </w:t>
            </w:r>
          </w:p>
        </w:tc>
      </w:tr>
      <w:tr>
        <w:trPr>
          <w:trHeight w:hRule="exact" w:val="270"/>
        </w:trPr>
        <w:tc>
          <w:tcPr>
            <w:tcW w:type="dxa" w:w="4536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cash (outflow)/inflow from operating activities </w:t>
            </w:r>
          </w:p>
        </w:tc>
        <w:tc>
          <w:tcPr>
            <w:tcW w:type="dxa" w:w="7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(433.8) </w:t>
            </w:r>
          </w:p>
        </w:tc>
        <w:tc>
          <w:tcPr>
            <w:tcW w:type="dxa" w:w="17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(74.8) 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96.2 </w:t>
            </w:r>
          </w:p>
        </w:tc>
      </w:tr>
    </w:tbl>
    <w:p>
      <w:pPr>
        <w:autoSpaceDN w:val="0"/>
        <w:autoSpaceDE w:val="0"/>
        <w:widowControl/>
        <w:spacing w:line="162" w:lineRule="exact" w:before="118" w:after="0"/>
        <w:ind w:left="4" w:right="0" w:firstLine="0"/>
        <w:jc w:val="left"/>
      </w:pPr>
      <w:r>
        <w:rPr>
          <w:w w:val="101.33333206176758"/>
          <w:rFonts w:ascii="ArialMT" w:hAnsi="ArialMT" w:eastAsia="ArialMT"/>
          <w:b w:val="0"/>
          <w:i w:val="0"/>
          <w:color w:val="000000"/>
          <w:sz w:val="9"/>
        </w:rPr>
        <w:t>1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The working capital movements in land payables, provisions and leases include non-cash movements due to imputed interest. Imputed interest is included within non-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cash items in the statements above. </w:t>
      </w:r>
    </w:p>
    <w:p>
      <w:pPr>
        <w:autoSpaceDN w:val="0"/>
        <w:autoSpaceDE w:val="0"/>
        <w:widowControl/>
        <w:spacing w:line="202" w:lineRule="exact" w:before="126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Notes 1 to 19 form an integral part of these Condensed Consolidated Interim Financial Statements. </w:t>
      </w:r>
    </w:p>
    <w:p>
      <w:pPr>
        <w:autoSpaceDN w:val="0"/>
        <w:autoSpaceDE w:val="0"/>
        <w:widowControl/>
        <w:spacing w:line="180" w:lineRule="exact" w:before="703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23 </w:t>
      </w:r>
    </w:p>
    <w:p>
      <w:pPr>
        <w:sectPr>
          <w:pgSz w:w="11906" w:h="16841"/>
          <w:pgMar w:top="368" w:right="644" w:bottom="214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272" w:lineRule="exact" w:before="0" w:after="276"/>
        <w:ind w:left="14" w:right="273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Notes to the Condensed Consolidated Interim Financial Statements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the 26 weeks ended 29 December 2024 (unaudited)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56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1.  Basis of preparation </w:t>
            </w:r>
          </w:p>
        </w:tc>
      </w:tr>
    </w:tbl>
    <w:p>
      <w:pPr>
        <w:autoSpaceDN w:val="0"/>
        <w:autoSpaceDE w:val="0"/>
        <w:widowControl/>
        <w:spacing w:line="233" w:lineRule="auto" w:before="19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Cautionary statement </w:t>
      </w:r>
    </w:p>
    <w:p>
      <w:pPr>
        <w:autoSpaceDN w:val="0"/>
        <w:autoSpaceDE w:val="0"/>
        <w:widowControl/>
        <w:spacing w:line="230" w:lineRule="exact" w:before="52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Chief Executive’s statement contained in this Interim Financial Report, including the principal risks and uncertainties,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been prepared by the Directors in good faith based on the information available to them up to the time of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approval of this report solely for the Company’s shareholders as a body, so as to assist them in assessing the Group's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strategies and the potential for those strategies to succeed and accordingly should not be relied on by any other party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for any other purpose, and the Company hereby disclaims any liability to any such other party or for reliance on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>information for any such other purpose.</w:t>
      </w:r>
    </w:p>
    <w:p>
      <w:pPr>
        <w:autoSpaceDN w:val="0"/>
        <w:autoSpaceDE w:val="0"/>
        <w:widowControl/>
        <w:spacing w:line="230" w:lineRule="exact" w:before="246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Interim Financial Report has been prepared in respect of the Group as a whole and accordingly matters identified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being significant or material are so identified in the context of Barratt Redrow plc (formerly Barratt Developments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PLC) and its subsidiary undertakings taken as a whole. </w:t>
      </w:r>
    </w:p>
    <w:p>
      <w:pPr>
        <w:autoSpaceDN w:val="0"/>
        <w:autoSpaceDE w:val="0"/>
        <w:widowControl/>
        <w:spacing w:line="233" w:lineRule="auto" w:before="19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Basis of preparation </w:t>
      </w:r>
    </w:p>
    <w:p>
      <w:pPr>
        <w:autoSpaceDN w:val="0"/>
        <w:autoSpaceDE w:val="0"/>
        <w:widowControl/>
        <w:spacing w:line="230" w:lineRule="exact" w:before="52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Following the acquisition of Redrow plc (now Redrow Limited) on 21 August 2024 by Barratt Developments PLC (now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Barratt Redrow plc), Barratt Developments PLC was renamed Barratt Redrow plc and the use of 26/52 week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reference dates was adopted. The interim report has been prepared in accordance with the recognition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measurement criteria of UK adopted IFRS and the disclosure requirements of the Listing Rules. The condensed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for the year ended 30 June 2024 is an extract from the published Annual Report and Accounts of Barratt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PLC (now Barratt Redrow plc) for that year and does not constitute statutory accounts as defined in s434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Companies Act 2006. A copy of the statutory accounts for the year ended 30 June 2024, prepared under UK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adopted IAS in conformity with the requirements of the Companies Act 2006 and in accordance with UK adopted IFRS,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which the auditors gave an unmodified opinion which did not draw attention to any matters by way of emphasis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did not contain a statement made under either s498 (2) or (3) of the Companies Act 2006, has been filed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Registrar of Companies. </w:t>
      </w:r>
    </w:p>
    <w:p>
      <w:pPr>
        <w:autoSpaceDN w:val="0"/>
        <w:autoSpaceDE w:val="0"/>
        <w:widowControl/>
        <w:spacing w:line="233" w:lineRule="auto" w:before="19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Segmental reporting </w:t>
      </w:r>
    </w:p>
    <w:p>
      <w:pPr>
        <w:autoSpaceDN w:val="0"/>
        <w:autoSpaceDE w:val="0"/>
        <w:widowControl/>
        <w:spacing w:line="230" w:lineRule="exact" w:before="54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Whilst the financial performance of the legacy Barratt and Redrow businesses has continued to be monitored separately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 the date of interim financial reporting, this is a result of the current stage of the integration process, which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progressing as planned. After the integration is complete, the legacy Redrow and legacy Barratt housebuilding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businesses will cease to be identifiable. Decisions by the Board of Directors regarding strategy and resource allocation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taken in consideration of the Group’s housebuilding business as a whole. Therefore, the housebuilding business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considered to be operating segment, comprising materially all of the Group’s operations. </w:t>
      </w:r>
    </w:p>
    <w:p>
      <w:pPr>
        <w:autoSpaceDN w:val="0"/>
        <w:autoSpaceDE w:val="0"/>
        <w:widowControl/>
        <w:spacing w:line="233" w:lineRule="auto" w:before="198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Going concern </w:t>
      </w:r>
    </w:p>
    <w:p>
      <w:pPr>
        <w:autoSpaceDN w:val="0"/>
        <w:autoSpaceDE w:val="0"/>
        <w:widowControl/>
        <w:spacing w:line="232" w:lineRule="exact" w:before="48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determining the appropriate basis of preparation of these Condensed Consolidated Interim Financial Statements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(‘Interim Financial Statements’), the Directors are required to consider whether the Group and Company can continue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meet their liabilities and other obligations for the foreseeable future. </w:t>
      </w:r>
    </w:p>
    <w:p>
      <w:pPr>
        <w:autoSpaceDN w:val="0"/>
        <w:autoSpaceDE w:val="0"/>
        <w:widowControl/>
        <w:spacing w:line="230" w:lineRule="exact" w:before="100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Group’s business activities, together with factors which the Directors consider are likely to affect its development,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performance and financial position are set out in the Chief Executive’s Statement. The material financial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risks and uncertainties that may have an impact on the Group’s performance and their mitigation are outlined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principal risks section of this Interim Financial Report, and financial risks including liquidity risk, market risk,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and capital risk are outlined on pages 197 to 199 of the Group’s Annual Report and Accounts for the year ended 30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June 2024 which is available at www.barrattredrow.co.uk. </w:t>
      </w:r>
    </w:p>
    <w:p>
      <w:pPr>
        <w:autoSpaceDN w:val="0"/>
        <w:autoSpaceDE w:val="0"/>
        <w:widowControl/>
        <w:spacing w:line="230" w:lineRule="exact" w:before="98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29 December 2024, the Group was financially strong with cash of £655.3m and total loans and borrowings of £200.0m,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comprising £200.0m sterling USPP notes maturing in August 2027. These balances, set against pre-paid facility fees,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comprise the Group’s net cash of £458.9m presented in note 13. </w:t>
      </w:r>
    </w:p>
    <w:p>
      <w:pPr>
        <w:autoSpaceDN w:val="0"/>
        <w:autoSpaceDE w:val="0"/>
        <w:widowControl/>
        <w:spacing w:line="230" w:lineRule="exact" w:before="100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Should further funding be required, the Group has a committed £700m revolving credit facility, subject to compliance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certain financial covenants, that matures in November 2029. </w:t>
      </w:r>
    </w:p>
    <w:p>
      <w:pPr>
        <w:autoSpaceDN w:val="0"/>
        <w:autoSpaceDE w:val="0"/>
        <w:widowControl/>
        <w:spacing w:line="230" w:lineRule="exact" w:before="10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consideration of its net current assets of £7.2bn and of the liquid funds available through loan facilities, the Directors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satisfied that the Group has sufficient liquidity to meet its current liabilities and ongoing working capital requirements. </w:t>
      </w:r>
    </w:p>
    <w:p>
      <w:pPr>
        <w:autoSpaceDN w:val="0"/>
        <w:autoSpaceDE w:val="0"/>
        <w:widowControl/>
        <w:spacing w:line="230" w:lineRule="exact" w:before="98" w:after="0"/>
        <w:ind w:left="14" w:right="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Group’s financial forecasts reflect the outcomes that the Directors consider most likely, based on the information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 at the date of signing of these Interim Financial Statements, including the current and forecast trading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 and anticipated build and wage cost inflation. They reflect the effects of actions already taken to respond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current market conditions, including pausing of recruitment of new employees and focused management of our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working capital deployment. </w:t>
      </w:r>
    </w:p>
    <w:p>
      <w:pPr>
        <w:autoSpaceDN w:val="0"/>
        <w:autoSpaceDE w:val="0"/>
        <w:widowControl/>
        <w:spacing w:line="178" w:lineRule="exact" w:before="4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24 </w:t>
      </w:r>
    </w:p>
    <w:p>
      <w:pPr>
        <w:sectPr>
          <w:pgSz w:w="11906" w:h="16838"/>
          <w:pgMar w:top="358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assess the Group’s resilience to more adverse outcomes, its forecast performance in the period to 28 June 2026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sensitised to reflect a series of scenarios based on the Group’s high-level principal risks and the downside prospects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UK economy and housing market presented in the latest available external economic forecasts. </w:t>
      </w:r>
    </w:p>
    <w:p>
      <w:pPr>
        <w:autoSpaceDN w:val="0"/>
        <w:autoSpaceDE w:val="0"/>
        <w:widowControl/>
        <w:spacing w:line="230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exercise included a reasonable worst-case scenario in which the Group’s principal risks manifest in aggregate to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severe but plausible level. This assumed volumes to be 5% lower than forecast from 30 December 2024 to 29 June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2025, followed by a further 5% fall for the 52 weeks to 28 June 2026 (i.e. a 10% cumulative reduction). In addition,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private sales prices were assumed to be 5% lower than forecast for the period to 29 June 2025, and 10% lower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forecast for the 52 weeks to 28 June 2026. Cost inflation was assumed to be 3% for the period to 29 June 2025 and 5%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52 weeks to 28 June 2026. </w:t>
      </w:r>
    </w:p>
    <w:p>
      <w:pPr>
        <w:autoSpaceDN w:val="0"/>
        <w:autoSpaceDE w:val="0"/>
        <w:widowControl/>
        <w:spacing w:line="230" w:lineRule="exact" w:before="98" w:after="0"/>
        <w:ind w:left="0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Reasonable mitigation that the Group would expect to undertake in such circumstances was also modelled, being a </w:t>
      </w:r>
      <w:r>
        <w:rPr>
          <w:rFonts w:ascii="ArialMT" w:hAnsi="ArialMT" w:eastAsia="ArialMT"/>
          <w:b w:val="0"/>
          <w:i w:val="0"/>
          <w:color w:val="000000"/>
          <w:sz w:val="20"/>
        </w:rPr>
        <w:t>reduction in working capital in line with the fall in expected sales,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reduction in uncommitted land spend and suspension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discretionary bonus payments. In all scenarios, including the reasonable worst case, the Group is able to comply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financial covenants, operate within its current facilities, and meet its liabilities as they fall due. </w:t>
      </w:r>
    </w:p>
    <w:p>
      <w:pPr>
        <w:autoSpaceDN w:val="0"/>
        <w:autoSpaceDE w:val="0"/>
        <w:widowControl/>
        <w:spacing w:line="230" w:lineRule="exact" w:before="98" w:after="0"/>
        <w:ind w:left="0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Furthermore, reverse stress testing was performed to determine the market conditions in which the Group would cease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able to operate under its current facilities. The Group’s strong net cash position and its available facilities mean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the Group’s primary sensitivity in this circumstance would be compliance with its financial covenants. Based on past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experience and current economic forecasts, the Directors consider the possibility of the conditions required to result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non-compliance with financial covenants to be remote and have identified mitigation that would be adopted in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circumstances. </w:t>
      </w:r>
    </w:p>
    <w:p>
      <w:pPr>
        <w:autoSpaceDN w:val="0"/>
        <w:autoSpaceDE w:val="0"/>
        <w:widowControl/>
        <w:spacing w:line="230" w:lineRule="exact" w:before="102" w:after="0"/>
        <w:ind w:left="0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Accordingly, the Directors consider there to be no material uncertainties that may cast significant doubt on the Group’s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ability to continue to operate as a going concern. They have formed a judgement that there is a reasonable expectation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the Group and Company have adequate resources to continue in operational existence for the foreseeable future,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being at least 12 months from the date of signing of these Interim Financial Statements. For this reason, they continue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adopt the going concern basis in the preparation of these Interim Financial Statements. </w:t>
      </w:r>
    </w:p>
    <w:p>
      <w:pPr>
        <w:autoSpaceDN w:val="0"/>
        <w:autoSpaceDE w:val="0"/>
        <w:widowControl/>
        <w:spacing w:line="230" w:lineRule="auto" w:before="19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Accounting policies </w:t>
      </w:r>
    </w:p>
    <w:p>
      <w:pPr>
        <w:autoSpaceDN w:val="0"/>
        <w:autoSpaceDE w:val="0"/>
        <w:widowControl/>
        <w:spacing w:line="230" w:lineRule="exact" w:before="5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unaudited Interim Financial Statements have been prepared using accounting policies consistent with UK adopted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IFRS and in accordance with IAS 34 ‘Interim Financial Reporting’ as adopted by the UK, and using accounting policies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methods of computation consistent with those applied in the preparation of the Group’s Annual Report and Accounts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 year ended 30 June 2024. The interim period tax expense is calculated by applying the forecast full year effective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tax rate to the period’s pre-tax profits. In addition, the following accounting policies have been applied in respect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defined benefit pension scheme acquired through the acquisition of Redrow plc (note 9) and land options: </w:t>
      </w:r>
    </w:p>
    <w:p>
      <w:pPr>
        <w:autoSpaceDN w:val="0"/>
        <w:autoSpaceDE w:val="0"/>
        <w:widowControl/>
        <w:spacing w:line="240" w:lineRule="auto" w:before="104" w:after="0"/>
        <w:ind w:left="4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Defined benefit scheme </w:t>
      </w:r>
    </w:p>
    <w:p>
      <w:pPr>
        <w:autoSpaceDN w:val="0"/>
        <w:autoSpaceDE w:val="0"/>
        <w:widowControl/>
        <w:spacing w:line="230" w:lineRule="exact" w:before="82" w:after="0"/>
        <w:ind w:left="672" w:right="13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cost of providing benefits is determined using the Projected Unit Credit Method, with actuarial valuations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being carried out at each balance sheet date. Actuarial gains and losses are recognised in full in the period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they occur. They are recognised outside profit or loss and presented in the Statement of Comprehensive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Income. Net interest is calculated by applying a discount rate to the net defined benefit liability or asset. </w:t>
      </w:r>
    </w:p>
    <w:p>
      <w:pPr>
        <w:autoSpaceDN w:val="0"/>
        <w:autoSpaceDE w:val="0"/>
        <w:widowControl/>
        <w:spacing w:line="232" w:lineRule="exact" w:before="96" w:after="0"/>
        <w:ind w:left="67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retirement benefit asset recognised in the Balance Sheet represents the excess of the fair value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scheme assets over the present value of the defined benefit obligation. </w:t>
      </w:r>
    </w:p>
    <w:p>
      <w:pPr>
        <w:autoSpaceDN w:val="0"/>
        <w:autoSpaceDE w:val="0"/>
        <w:widowControl/>
        <w:spacing w:line="230" w:lineRule="exact" w:before="100" w:after="0"/>
        <w:ind w:left="672" w:right="14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Directors engage a qualified independent actuary to calculate the Group’s liability in respect of its 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 pension scheme. In calculating this liability, it is necessary for actuarial assumptions to be made,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estimations of discount rates, salary and pension increases, price inflation and mortality. As actual 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increase and mortality may differ from those assumed, the gross pension liability may differ from that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these Interim Financial Statements; however, these liabilities are matched by an insurance asset. </w:t>
      </w:r>
    </w:p>
    <w:p>
      <w:pPr>
        <w:autoSpaceDN w:val="0"/>
        <w:autoSpaceDE w:val="0"/>
        <w:widowControl/>
        <w:spacing w:line="238" w:lineRule="auto" w:before="102" w:after="0"/>
        <w:ind w:left="4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Land options </w:t>
      </w:r>
    </w:p>
    <w:p>
      <w:pPr>
        <w:autoSpaceDN w:val="0"/>
        <w:autoSpaceDE w:val="0"/>
        <w:widowControl/>
        <w:spacing w:line="230" w:lineRule="exact" w:before="86" w:after="0"/>
        <w:ind w:left="67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Costs incurred in respect of options to purchase land are held within inventories at the lower of cost and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realisable value and are reviewed for impairment at each reporting date. </w:t>
      </w:r>
    </w:p>
    <w:p>
      <w:pPr>
        <w:autoSpaceDN w:val="0"/>
        <w:autoSpaceDE w:val="0"/>
        <w:widowControl/>
        <w:spacing w:line="222" w:lineRule="exact" w:before="1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period no new or revised standards and interpretations have become applicable to the Group. </w:t>
      </w:r>
    </w:p>
    <w:p>
      <w:pPr>
        <w:autoSpaceDN w:val="0"/>
        <w:autoSpaceDE w:val="0"/>
        <w:widowControl/>
        <w:spacing w:line="178" w:lineRule="exact" w:before="33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25 </w:t>
      </w:r>
    </w:p>
    <w:p>
      <w:pPr>
        <w:sectPr>
          <w:pgSz w:w="11906" w:h="16838"/>
          <w:pgMar w:top="358" w:right="632" w:bottom="216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8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2.  Revenue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Group’s revenue derives principally from the sale of the homes it builds. </w:t>
      </w:r>
    </w:p>
    <w:p>
      <w:pPr>
        <w:autoSpaceDN w:val="0"/>
        <w:autoSpaceDE w:val="0"/>
        <w:widowControl/>
        <w:spacing w:line="224" w:lineRule="exact" w:before="128" w:after="12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analysis of the Group’s continuing revenue is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948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166" w:right="0" w:firstLine="17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0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204" w:right="0" w:firstLine="23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78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private residential sales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1,967.6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1,514.9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3,369.7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sales to the private rental sector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76.8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131.4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298.8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affordable residential sales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190.0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193.1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463.1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commercial sales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16.0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4.7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21.9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planning promotion agreements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23.5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6.3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12.9 </w:t>
            </w:r>
          </w:p>
        </w:tc>
      </w:tr>
      <w:tr>
        <w:trPr>
          <w:trHeight w:hRule="exact" w:val="272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Sundry revenue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6.9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0.4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1.8 </w:t>
            </w:r>
          </w:p>
        </w:tc>
      </w:tr>
      <w:tr>
        <w:trPr>
          <w:trHeight w:hRule="exact" w:val="268"/>
        </w:trPr>
        <w:tc>
          <w:tcPr>
            <w:tcW w:type="dxa" w:w="54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8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</w:tbl>
    <w:p>
      <w:pPr>
        <w:autoSpaceDN w:val="0"/>
        <w:autoSpaceDE w:val="0"/>
        <w:widowControl/>
        <w:spacing w:line="230" w:lineRule="exact" w:before="118" w:after="124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within Group revenue is £68.5m (31 December 2023: £69.0m; 30 June 2024: £218.2m) of revenue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construction contracts on which revenue is recognised over time by reference to the stage of completion of the contracts.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this revenue, £4.6m (31 December 2023: £8.8m; 30 June 2024: £8.9m) was included in the contract liability balance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the beginning of the period. Revenue from sales to the private sector is presented separately from revenue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private residential sales and the comparative amounts updated accordingly.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6"/>
        </w:trPr>
        <w:tc>
          <w:tcPr>
            <w:tcW w:type="dxa" w:w="10532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3.  Operating profit </w:t>
            </w:r>
          </w:p>
        </w:tc>
      </w:tr>
    </w:tbl>
    <w:p>
      <w:pPr>
        <w:autoSpaceDN w:val="0"/>
        <w:autoSpaceDE w:val="0"/>
        <w:widowControl/>
        <w:spacing w:line="233" w:lineRule="auto" w:before="18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Cost of sales </w:t>
      </w:r>
    </w:p>
    <w:p>
      <w:pPr>
        <w:autoSpaceDN w:val="0"/>
        <w:autoSpaceDE w:val="0"/>
        <w:widowControl/>
        <w:spacing w:line="230" w:lineRule="exact" w:before="56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value of inventories expensed in the 26 weeks ended 29 December 2024 and included in cost of sales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£1,824.0m (31 December 2023: £1,452.8m; 30 June 2024: £3,241.6m). </w:t>
      </w:r>
    </w:p>
    <w:p>
      <w:pPr>
        <w:autoSpaceDN w:val="0"/>
        <w:autoSpaceDE w:val="0"/>
        <w:widowControl/>
        <w:spacing w:line="233" w:lineRule="auto" w:before="188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Administrative expenses </w:t>
      </w:r>
    </w:p>
    <w:p>
      <w:pPr>
        <w:autoSpaceDN w:val="0"/>
        <w:autoSpaceDE w:val="0"/>
        <w:widowControl/>
        <w:spacing w:line="230" w:lineRule="exact" w:before="56" w:after="118"/>
        <w:ind w:left="14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Administrative expenses of £225.6m (31 December 2023: £140.9m; 30 June 2024: £336.9m) include sundry income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£7.4m (31 December 2023: £9.3m; 30 June 2024: £14.8m) which principally comprises management fees receivable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joint ventures, the sale of freehold reversions, forfeit deposits and ground rent receivable.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8"/>
        </w:trPr>
        <w:tc>
          <w:tcPr>
            <w:tcW w:type="dxa" w:w="10532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4.   Adjusted items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940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8" w:after="0"/>
              <w:ind w:left="166" w:right="0" w:firstLine="17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28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04" w:right="0" w:firstLine="23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8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68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items in cost of sales: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000000"/>
              <w:end w:sz="3.199999999999818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5430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Costs incurred in respect of legacy properties </w:t>
            </w:r>
          </w:p>
        </w:tc>
        <w:tc>
          <w:tcPr>
            <w:tcW w:type="dxa" w:w="1684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4"/>
            <w:tcBorders>
              <w:start w:sz="6.400000000000091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57.9 </w:t>
            </w:r>
          </w:p>
        </w:tc>
        <w:tc>
          <w:tcPr>
            <w:tcW w:type="dxa" w:w="1682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180.0 </w:t>
            </w:r>
          </w:p>
        </w:tc>
      </w:tr>
      <w:tr>
        <w:trPr>
          <w:trHeight w:hRule="exact" w:val="268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in respect of legacy properties recovered from third parties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4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(0.5) </w:t>
            </w:r>
          </w:p>
        </w:tc>
        <w:tc>
          <w:tcPr>
            <w:tcW w:type="dxa" w:w="1682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(0.5) </w:t>
            </w:r>
          </w:p>
        </w:tc>
      </w:tr>
      <w:tr>
        <w:trPr>
          <w:trHeight w:hRule="exact" w:val="272"/>
        </w:trPr>
        <w:tc>
          <w:tcPr>
            <w:tcW w:type="dxa" w:w="5430"/>
            <w:tcBorders>
              <w:start w:sz="4.0" w:val="single" w:color="#000000"/>
              <w:top w:sz="3.199999999999818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adjusted items in cost of sales </w:t>
            </w:r>
          </w:p>
        </w:tc>
        <w:tc>
          <w:tcPr>
            <w:tcW w:type="dxa" w:w="1684"/>
            <w:tcBorders>
              <w:start w:sz="5.599999999999909" w:val="single" w:color="#000000"/>
              <w:top w:sz="3.199999999999818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4"/>
            <w:tcBorders>
              <w:start w:sz="6.400000000000091" w:val="single" w:color="#000000"/>
              <w:top w:sz="3.199999999999818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57.4 </w:t>
            </w:r>
          </w:p>
        </w:tc>
        <w:tc>
          <w:tcPr>
            <w:tcW w:type="dxa" w:w="1682"/>
            <w:tcBorders>
              <w:start w:sz="5.599999999999909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179.5 </w:t>
            </w:r>
          </w:p>
        </w:tc>
      </w:tr>
      <w:tr>
        <w:trPr>
          <w:trHeight w:hRule="exact" w:val="446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Adjusted items in administrative expenses: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2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Costs incurred in respect of the acquisition of Redrow plc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35.5 </w:t>
            </w:r>
          </w:p>
        </w:tc>
        <w:tc>
          <w:tcPr>
            <w:tcW w:type="dxa" w:w="1684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2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 </w:t>
            </w:r>
          </w:p>
        </w:tc>
      </w:tr>
      <w:tr>
        <w:trPr>
          <w:trHeight w:hRule="exact" w:val="272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Reorganisation and restructuring costs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14.4 </w:t>
            </w:r>
          </w:p>
        </w:tc>
        <w:tc>
          <w:tcPr>
            <w:tcW w:type="dxa" w:w="1684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2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68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adjusted items in administrative expenses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49.9 </w:t>
            </w:r>
          </w:p>
        </w:tc>
        <w:tc>
          <w:tcPr>
            <w:tcW w:type="dxa" w:w="1684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2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 </w:t>
            </w:r>
          </w:p>
        </w:tc>
      </w:tr>
      <w:tr>
        <w:trPr>
          <w:trHeight w:hRule="exact" w:val="512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items in share of post-tax profit from joint ventures: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2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Costs incurred in respect of legacy properties by JVs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4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4.5 </w:t>
            </w:r>
          </w:p>
        </w:tc>
        <w:tc>
          <w:tcPr>
            <w:tcW w:type="dxa" w:w="1682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12.6 </w:t>
            </w:r>
          </w:p>
        </w:tc>
      </w:tr>
      <w:tr>
        <w:trPr>
          <w:trHeight w:hRule="exact" w:val="272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adjusted items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49.9 </w:t>
            </w:r>
          </w:p>
        </w:tc>
        <w:tc>
          <w:tcPr>
            <w:tcW w:type="dxa" w:w="16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214.5 </w:t>
            </w:r>
          </w:p>
        </w:tc>
      </w:tr>
    </w:tbl>
    <w:p>
      <w:pPr>
        <w:autoSpaceDN w:val="0"/>
        <w:autoSpaceDE w:val="0"/>
        <w:widowControl/>
        <w:spacing w:line="233" w:lineRule="auto" w:before="12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Costs incurred in respect of legacy properties </w:t>
      </w:r>
    </w:p>
    <w:p>
      <w:pPr>
        <w:autoSpaceDN w:val="0"/>
        <w:autoSpaceDE w:val="0"/>
        <w:widowControl/>
        <w:spacing w:line="230" w:lineRule="exact" w:before="11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adjusted costs or credits associated with legacy properties were recognised during the period. In comparative periods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additions to provisions were: 31 December 2023: £57.9m; 30 June 2024: £180.0m, and reimbursements recognised </w:t>
      </w:r>
    </w:p>
    <w:p>
      <w:pPr>
        <w:autoSpaceDN w:val="0"/>
        <w:autoSpaceDE w:val="0"/>
        <w:widowControl/>
        <w:spacing w:line="178" w:lineRule="exact" w:before="56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26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directly in the Income Statement were: 31 December 2023: £0.5m; 30 June 2024: £0.5m. No costs in respect of JV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legacy properties were recognised in the period. Further details of provisions movements are provided in note 14. </w:t>
      </w:r>
    </w:p>
    <w:p>
      <w:pPr>
        <w:autoSpaceDN w:val="0"/>
        <w:autoSpaceDE w:val="0"/>
        <w:widowControl/>
        <w:spacing w:line="233" w:lineRule="auto" w:before="128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Adjusted items in administrative expenses </w:t>
      </w:r>
    </w:p>
    <w:p>
      <w:pPr>
        <w:autoSpaceDN w:val="0"/>
        <w:autoSpaceDE w:val="0"/>
        <w:widowControl/>
        <w:spacing w:line="232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21 August 2024, the Group acquired 100% of the share capital of Redrow plc (‘Redrow’) in an all share transaction.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Direct costs incurred in respect of the acquisition are presented as adjusted items. </w:t>
      </w:r>
    </w:p>
    <w:p>
      <w:pPr>
        <w:autoSpaceDN w:val="0"/>
        <w:autoSpaceDE w:val="0"/>
        <w:widowControl/>
        <w:spacing w:line="230" w:lineRule="exact" w:before="118" w:after="12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Following the acquisition of Redrow, the Directors are reviewing Group operations to most effectively integrate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business and to best position the combined Group to realise the synergies of the combination and achieve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objectives. As a result, the Group has undertaken certain reorganisation and restructuring activities, for which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aggregate direct costs are expected to be material. The incremental costs incurred are presented as adjusted items.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10"/>
        </w:trPr>
        <w:tc>
          <w:tcPr>
            <w:tcW w:type="dxa" w:w="10490"/>
            <w:tcBorders>
              <w:top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5.  Net finance costs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990"/>
        </w:trPr>
        <w:tc>
          <w:tcPr>
            <w:tcW w:type="dxa" w:w="5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Recognised in the Income Statement: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52" w:after="0"/>
              <w:ind w:left="154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0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92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3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5470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Finance income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5470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Finance income on short term bank deposits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(20.9)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(23.1)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(44.9) </w:t>
            </w:r>
          </w:p>
        </w:tc>
      </w:tr>
      <w:tr>
        <w:trPr>
          <w:trHeight w:hRule="exact" w:val="272"/>
        </w:trPr>
        <w:tc>
          <w:tcPr>
            <w:tcW w:type="dxa" w:w="5470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Finance income related to employee benefits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(0.1)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68"/>
        </w:trPr>
        <w:tc>
          <w:tcPr>
            <w:tcW w:type="dxa" w:w="5470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interest receivable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(1.7)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(0.9)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(2.3) </w:t>
            </w:r>
          </w:p>
        </w:tc>
      </w:tr>
      <w:tr>
        <w:trPr>
          <w:trHeight w:hRule="exact" w:val="272"/>
        </w:trPr>
        <w:tc>
          <w:tcPr>
            <w:tcW w:type="dxa" w:w="5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(22.7)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(24.0)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(47.2) </w:t>
            </w:r>
          </w:p>
        </w:tc>
      </w:tr>
      <w:tr>
        <w:trPr>
          <w:trHeight w:hRule="exact" w:val="268"/>
        </w:trPr>
        <w:tc>
          <w:tcPr>
            <w:tcW w:type="dxa" w:w="5470"/>
            <w:tcBorders>
              <w:start w:sz="4.0" w:val="single" w:color="#000000"/>
              <w:top w:sz="3.199999999999818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Finance costs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5.599999999999909" w:val="single" w:color="#000000"/>
              <w:top w:sz="3.199999999999818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5.599999999999909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5470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on loans and borrowings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4.7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9.4 </w:t>
            </w:r>
          </w:p>
        </w:tc>
      </w:tr>
      <w:tr>
        <w:trPr>
          <w:trHeight w:hRule="exact" w:val="268"/>
        </w:trPr>
        <w:tc>
          <w:tcPr>
            <w:tcW w:type="dxa" w:w="5470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Imputed interest on long term payables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20.9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19.8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40.2 </w:t>
            </w:r>
          </w:p>
        </w:tc>
      </w:tr>
      <w:tr>
        <w:trPr>
          <w:trHeight w:hRule="exact" w:val="272"/>
        </w:trPr>
        <w:tc>
          <w:tcPr>
            <w:tcW w:type="dxa" w:w="5470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Finance charge on leased assets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1.1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1.8</w:t>
            </w:r>
          </w:p>
        </w:tc>
      </w:tr>
      <w:tr>
        <w:trPr>
          <w:trHeight w:hRule="exact" w:val="268"/>
        </w:trPr>
        <w:tc>
          <w:tcPr>
            <w:tcW w:type="dxa" w:w="5470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Amortisation of facility fees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0.7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 </w:t>
            </w:r>
          </w:p>
        </w:tc>
      </w:tr>
      <w:tr>
        <w:trPr>
          <w:trHeight w:hRule="exact" w:val="272"/>
        </w:trPr>
        <w:tc>
          <w:tcPr>
            <w:tcW w:type="dxa" w:w="547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interest payable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0.4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0.7 </w:t>
            </w:r>
          </w:p>
        </w:tc>
      </w:tr>
      <w:tr>
        <w:trPr>
          <w:trHeight w:hRule="exact" w:val="268"/>
        </w:trPr>
        <w:tc>
          <w:tcPr>
            <w:tcW w:type="dxa" w:w="5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27.9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26.6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53.7 </w:t>
            </w:r>
          </w:p>
        </w:tc>
      </w:tr>
      <w:tr>
        <w:trPr>
          <w:trHeight w:hRule="exact" w:val="272"/>
        </w:trPr>
        <w:tc>
          <w:tcPr>
            <w:tcW w:type="dxa" w:w="5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finance costs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5.2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2.6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6.5 </w:t>
            </w:r>
          </w:p>
        </w:tc>
      </w:tr>
    </w:tbl>
    <w:p>
      <w:pPr>
        <w:autoSpaceDN w:val="0"/>
        <w:autoSpaceDE w:val="0"/>
        <w:widowControl/>
        <w:spacing w:line="222" w:lineRule="exact" w:before="128" w:after="122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weighted average interest rates (excluding amortised fees and non-utilisation fees) were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712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28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%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8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%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% </w:t>
            </w:r>
          </w:p>
        </w:tc>
      </w:tr>
      <w:tr>
        <w:trPr>
          <w:trHeight w:hRule="exact" w:val="266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USPP notes </w:t>
            </w:r>
          </w:p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2.8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2.8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2.8 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6"/>
        </w:trPr>
        <w:tc>
          <w:tcPr>
            <w:tcW w:type="dxa" w:w="10522"/>
            <w:tcBorders>
              <w:top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6.   Tax </w:t>
            </w:r>
          </w:p>
        </w:tc>
      </w:tr>
    </w:tbl>
    <w:p>
      <w:pPr>
        <w:autoSpaceDN w:val="0"/>
        <w:autoSpaceDE w:val="0"/>
        <w:widowControl/>
        <w:spacing w:line="230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tax charge presented is the best estimate of the expected annual effective tax rate applied to the half year profit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before tax, plus the impact of rate changes and prior year adjustments. </w:t>
      </w:r>
    </w:p>
    <w:p>
      <w:pPr>
        <w:autoSpaceDN w:val="0"/>
        <w:autoSpaceDE w:val="0"/>
        <w:widowControl/>
        <w:spacing w:line="230" w:lineRule="exact" w:before="122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effective rate of tax for the period, comprising corporation tax, RPDT and deferred tax was 35.8% (31 December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2023: 27.7%; 30 June 2024: 33.1%). The effective rate of tax for the period on adjusted profit, comprising corporation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tax, RPDT and deferred tax was 27.6% (31 December 2023: 26.9%; 30 June 2024: 28.8%). </w:t>
      </w:r>
    </w:p>
    <w:p>
      <w:pPr>
        <w:autoSpaceDN w:val="0"/>
        <w:autoSpaceDE w:val="0"/>
        <w:widowControl/>
        <w:spacing w:line="230" w:lineRule="exact" w:before="120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at 29 December 2024 the Group recognised a net deferred tax liability of £126.7m (31 December 2023: £50.4m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liability; 30 June 2024: £45.0m liability). </w:t>
      </w:r>
    </w:p>
    <w:p>
      <w:pPr>
        <w:autoSpaceDN w:val="0"/>
        <w:autoSpaceDE w:val="0"/>
        <w:widowControl/>
        <w:spacing w:line="232" w:lineRule="exact" w:before="116" w:after="0"/>
        <w:ind w:left="14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an assessment using forecast figures for the year, the Group does not expect to see an increase in its effective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tax rate, or cash taxes payable following the introduction of the pillar 2 regulations, which came into effect for the Group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the start of the current accounting period. </w:t>
      </w:r>
    </w:p>
    <w:p>
      <w:pPr>
        <w:autoSpaceDN w:val="0"/>
        <w:autoSpaceDE w:val="0"/>
        <w:widowControl/>
        <w:spacing w:line="178" w:lineRule="exact" w:before="24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27 </w:t>
      </w:r>
    </w:p>
    <w:p>
      <w:pPr>
        <w:sectPr>
          <w:pgSz w:w="11906" w:h="16838"/>
          <w:pgMar w:top="358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8"/>
        </w:trPr>
        <w:tc>
          <w:tcPr>
            <w:tcW w:type="dxa" w:w="10532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7.  Earnings per share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124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Earnings per share from continuing operations were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1008"/>
        </w:trPr>
        <w:tc>
          <w:tcPr>
            <w:tcW w:type="dxa" w:w="54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164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0" w:lineRule="auto" w:before="26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pence </w:t>
            </w:r>
          </w:p>
        </w:tc>
        <w:tc>
          <w:tcPr>
            <w:tcW w:type="dxa" w:w="16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00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78" w:lineRule="exact" w:before="2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pence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576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pence </w:t>
            </w:r>
          </w:p>
        </w:tc>
      </w:tr>
      <w:tr>
        <w:trPr>
          <w:trHeight w:hRule="exact" w:val="276"/>
        </w:trPr>
        <w:tc>
          <w:tcPr>
            <w:tcW w:type="dxa" w:w="54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Basic earnings per share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5.8 </w:t>
            </w:r>
          </w:p>
        </w:tc>
        <w:tc>
          <w:tcPr>
            <w:tcW w:type="dxa" w:w="16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7.1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11.8 </w:t>
            </w:r>
          </w:p>
        </w:tc>
      </w:tr>
      <w:tr>
        <w:trPr>
          <w:trHeight w:hRule="exact" w:val="268"/>
        </w:trPr>
        <w:tc>
          <w:tcPr>
            <w:tcW w:type="dxa" w:w="5484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Diluted earnings per share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5.7 </w:t>
            </w:r>
          </w:p>
        </w:tc>
        <w:tc>
          <w:tcPr>
            <w:tcW w:type="dxa" w:w="1680"/>
            <w:tcBorders>
              <w:start w:sz="3.199999999999818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7.0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11.6 </w:t>
            </w:r>
          </w:p>
        </w:tc>
      </w:tr>
      <w:tr>
        <w:trPr>
          <w:trHeight w:hRule="exact" w:val="272"/>
        </w:trPr>
        <w:tc>
          <w:tcPr>
            <w:tcW w:type="dxa" w:w="5484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basic earnings per share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9.3 </w:t>
            </w:r>
          </w:p>
        </w:tc>
        <w:tc>
          <w:tcPr>
            <w:tcW w:type="dxa" w:w="1680"/>
            <w:tcBorders>
              <w:start w:sz="3.199999999999818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11.8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28.3 </w:t>
            </w:r>
          </w:p>
        </w:tc>
      </w:tr>
      <w:tr>
        <w:trPr>
          <w:trHeight w:hRule="exact" w:val="268"/>
        </w:trPr>
        <w:tc>
          <w:tcPr>
            <w:tcW w:type="dxa" w:w="5484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diluted earnings per share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9.1 </w:t>
            </w:r>
          </w:p>
        </w:tc>
        <w:tc>
          <w:tcPr>
            <w:tcW w:type="dxa" w:w="1680"/>
            <w:tcBorders>
              <w:start w:sz="3.199999999999818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11.6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27.8 </w:t>
            </w:r>
          </w:p>
        </w:tc>
      </w:tr>
    </w:tbl>
    <w:p>
      <w:pPr>
        <w:autoSpaceDN w:val="0"/>
        <w:autoSpaceDE w:val="0"/>
        <w:widowControl/>
        <w:spacing w:line="230" w:lineRule="exact" w:before="118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Basic earnings per share is calculated by dividing the profit for the half year attributable to ordinary shareholders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Parent Company by the weighted average number of ordinary shares in issue during the half year, excluding those held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EBT that do not attract dividend equivalents and which are treated as cancelled. Shares held in the EBT on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dividends are not waived are not excluded. </w:t>
      </w:r>
    </w:p>
    <w:p>
      <w:pPr>
        <w:autoSpaceDN w:val="0"/>
        <w:autoSpaceDE w:val="0"/>
        <w:widowControl/>
        <w:spacing w:line="230" w:lineRule="exact" w:before="120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Diluted earnings per share is calculated by dividing the profit for the half year attributable to ordinary shareholders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Parent Company by the weighted average number of ordinary shares in issue adjusted to assume conversion of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potentially dilutive share options from the start of the year. </w:t>
      </w:r>
    </w:p>
    <w:p>
      <w:pPr>
        <w:autoSpaceDN w:val="0"/>
        <w:autoSpaceDE w:val="0"/>
        <w:widowControl/>
        <w:spacing w:line="230" w:lineRule="exact" w:before="120" w:after="122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Adjusted basic and adjusted diluted earnings per share exclude the impact of adjusted items and any associated net tax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900"/>
        </w:trPr>
        <w:tc>
          <w:tcPr>
            <w:tcW w:type="dxa" w:w="5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160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98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576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266"/>
        </w:trPr>
        <w:tc>
          <w:tcPr>
            <w:tcW w:type="dxa" w:w="5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Profit attributable to ordinary shareholders of the Parent Company (£m)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75.3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68.8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114.1 </w:t>
            </w:r>
          </w:p>
        </w:tc>
      </w:tr>
      <w:tr>
        <w:trPr>
          <w:trHeight w:hRule="exact" w:val="274"/>
        </w:trPr>
        <w:tc>
          <w:tcPr>
            <w:tcW w:type="dxa" w:w="5490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items (£m)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49.9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61.9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214.5 </w:t>
            </w:r>
          </w:p>
        </w:tc>
      </w:tr>
      <w:tr>
        <w:trPr>
          <w:trHeight w:hRule="exact" w:val="268"/>
        </w:trPr>
        <w:tc>
          <w:tcPr>
            <w:tcW w:type="dxa" w:w="5490"/>
            <w:tcBorders>
              <w:start w:sz="4.0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Tax on adjusted items (£m)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(4.2)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D8D9D8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(15.9)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(54.4) </w:t>
            </w:r>
          </w:p>
        </w:tc>
      </w:tr>
      <w:tr>
        <w:trPr>
          <w:trHeight w:hRule="exact" w:val="492"/>
        </w:trPr>
        <w:tc>
          <w:tcPr>
            <w:tcW w:type="dxa" w:w="54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1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profit attributable to ordinary shareholders of the Parent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Company (£m)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121.0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114.8 </w:t>
            </w:r>
          </w:p>
        </w:tc>
        <w:tc>
          <w:tcPr>
            <w:tcW w:type="dxa" w:w="16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274.2 </w:t>
            </w:r>
          </w:p>
        </w:tc>
      </w:tr>
      <w:tr>
        <w:trPr>
          <w:trHeight w:hRule="exact" w:val="270"/>
        </w:trPr>
        <w:tc>
          <w:tcPr>
            <w:tcW w:type="dxa" w:w="54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 average number of shares in issue (million)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1,311.5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974.5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974.6 </w:t>
            </w:r>
          </w:p>
        </w:tc>
      </w:tr>
      <w:tr>
        <w:trPr>
          <w:trHeight w:hRule="exact" w:val="270"/>
        </w:trPr>
        <w:tc>
          <w:tcPr>
            <w:tcW w:type="dxa" w:w="5490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Weighted average number of shares in EBT (million) </w:t>
            </w:r>
          </w:p>
        </w:tc>
        <w:tc>
          <w:tcPr>
            <w:tcW w:type="dxa" w:w="1676"/>
            <w:tcBorders>
              <w:start w:sz="4.0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(6.2) </w:t>
            </w:r>
          </w:p>
        </w:tc>
        <w:tc>
          <w:tcPr>
            <w:tcW w:type="dxa" w:w="1676"/>
            <w:tcBorders>
              <w:start w:sz="4.0" w:val="single" w:color="#000000"/>
              <w:top w:sz="3.200000000000273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(4.5) </w:t>
            </w:r>
          </w:p>
        </w:tc>
        <w:tc>
          <w:tcPr>
            <w:tcW w:type="dxa" w:w="1676"/>
            <w:tcBorders>
              <w:start w:sz="3.199999999999818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(5.8) </w:t>
            </w:r>
          </w:p>
        </w:tc>
      </w:tr>
      <w:tr>
        <w:trPr>
          <w:trHeight w:hRule="exact" w:val="270"/>
        </w:trPr>
        <w:tc>
          <w:tcPr>
            <w:tcW w:type="dxa" w:w="5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Weighted average number of shares for basic earnings per share (million)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1,305.3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970.0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968.8 </w:t>
            </w:r>
          </w:p>
        </w:tc>
      </w:tr>
      <w:tr>
        <w:trPr>
          <w:trHeight w:hRule="exact" w:val="270"/>
        </w:trPr>
        <w:tc>
          <w:tcPr>
            <w:tcW w:type="dxa" w:w="54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4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 average number of shares in issue (million)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1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1,311.5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974.5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974.6 </w:t>
            </w:r>
          </w:p>
        </w:tc>
      </w:tr>
      <w:tr>
        <w:trPr>
          <w:trHeight w:hRule="exact" w:val="268"/>
        </w:trPr>
        <w:tc>
          <w:tcPr>
            <w:tcW w:type="dxa" w:w="5490"/>
            <w:tcBorders>
              <w:start w:sz="4.0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Adjustment to assume conversion of all potentially dilutive shares (million)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17.1 </w:t>
            </w:r>
          </w:p>
        </w:tc>
        <w:tc>
          <w:tcPr>
            <w:tcW w:type="dxa" w:w="1676"/>
            <w:tcBorders>
              <w:start w:sz="4.0" w:val="single" w:color="#000000"/>
              <w:top w:sz="3.199999999999818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13.6 </w:t>
            </w:r>
          </w:p>
        </w:tc>
        <w:tc>
          <w:tcPr>
            <w:tcW w:type="dxa" w:w="1676"/>
            <w:tcBorders>
              <w:start w:sz="3.199999999999818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12.5 </w:t>
            </w:r>
          </w:p>
        </w:tc>
      </w:tr>
      <w:tr>
        <w:trPr>
          <w:trHeight w:hRule="exact" w:val="490"/>
        </w:trPr>
        <w:tc>
          <w:tcPr>
            <w:tcW w:type="dxa" w:w="5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1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Weighted average number of shares for diluted earnings per share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(million)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1,328.6 </w:t>
            </w:r>
          </w:p>
        </w:tc>
        <w:tc>
          <w:tcPr>
            <w:tcW w:type="dxa" w:w="16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988.1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987.1 </w:t>
            </w:r>
          </w:p>
        </w:tc>
      </w:tr>
    </w:tbl>
    <w:p>
      <w:pPr>
        <w:autoSpaceDN w:val="0"/>
        <w:autoSpaceDE w:val="0"/>
        <w:widowControl/>
        <w:spacing w:line="172" w:lineRule="exact" w:before="0" w:after="482"/>
        <w:ind w:left="14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 xml:space="preserve">1    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During the period the Company issued 465,599,686 shares as consideration for the acquisition of Redrow plc and 10,840,048 shares to the EBT to satisfy Redrow 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share option schemes.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4"/>
        </w:trPr>
        <w:tc>
          <w:tcPr>
            <w:tcW w:type="dxa" w:w="10522"/>
            <w:tcBorders>
              <w:top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8. Dividends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970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4" w:after="0"/>
              <w:ind w:left="158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0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92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8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8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Amounts recognised as distributions to equity shareholders:</w:t>
            </w:r>
          </w:p>
        </w:tc>
        <w:tc>
          <w:tcPr>
            <w:tcW w:type="dxa" w:w="1672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5468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Final dividend for the year ended 30 June 2023 of 23.5p per share </w:t>
            </w:r>
          </w:p>
        </w:tc>
        <w:tc>
          <w:tcPr>
            <w:tcW w:type="dxa" w:w="1672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228.0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228.0 </w:t>
            </w:r>
          </w:p>
        </w:tc>
      </w:tr>
      <w:tr>
        <w:trPr>
          <w:trHeight w:hRule="exact" w:val="272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Final dividend for the year ended 30 June 2024 of 11.8p per share </w:t>
            </w:r>
          </w:p>
        </w:tc>
        <w:tc>
          <w:tcPr>
            <w:tcW w:type="dxa" w:w="1672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170.5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</w:t>
            </w:r>
          </w:p>
        </w:tc>
      </w:tr>
      <w:tr>
        <w:trPr>
          <w:trHeight w:hRule="exact" w:val="268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Interim dividend for the year ended 30 June 2024 of 4.4p per share </w:t>
            </w:r>
          </w:p>
        </w:tc>
        <w:tc>
          <w:tcPr>
            <w:tcW w:type="dxa" w:w="1672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42.6 </w:t>
            </w:r>
          </w:p>
        </w:tc>
      </w:tr>
      <w:tr>
        <w:trPr>
          <w:trHeight w:hRule="exact" w:val="27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dividends distributed to equity shareholders in the period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170.5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228.0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270.6 </w:t>
            </w:r>
          </w:p>
        </w:tc>
      </w:tr>
    </w:tbl>
    <w:p>
      <w:pPr>
        <w:autoSpaceDN w:val="0"/>
        <w:autoSpaceDE w:val="0"/>
        <w:widowControl/>
        <w:spacing w:line="230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interim dividend of 5.5 pence per share was approved by the Board on 11 February 2025 and has not been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liability as at 29 December 2024. </w:t>
      </w:r>
    </w:p>
    <w:p>
      <w:pPr>
        <w:autoSpaceDN w:val="0"/>
        <w:autoSpaceDE w:val="0"/>
        <w:widowControl/>
        <w:spacing w:line="178" w:lineRule="exact" w:before="5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28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8"/>
        </w:trPr>
        <w:tc>
          <w:tcPr>
            <w:tcW w:type="dxa" w:w="10532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9.  Business combinations </w:t>
            </w:r>
          </w:p>
        </w:tc>
      </w:tr>
    </w:tbl>
    <w:p>
      <w:pPr>
        <w:autoSpaceDN w:val="0"/>
        <w:autoSpaceDE w:val="0"/>
        <w:widowControl/>
        <w:spacing w:line="233" w:lineRule="auto" w:before="12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Acquisition of Redrow plc </w:t>
      </w:r>
    </w:p>
    <w:p>
      <w:pPr>
        <w:autoSpaceDN w:val="0"/>
        <w:autoSpaceDE w:val="0"/>
        <w:widowControl/>
        <w:spacing w:line="230" w:lineRule="exact" w:before="122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21 August 2024, the Group acquired 100% of the share capital of Redrow plc in an all share transaction.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standard practice, the Competition and Markets Authority (‘CMA’) issued an Initial Enforcement Order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(‘IEO’) requiring the Barratt and Redrow businesses to continue to operate independently until the CMA had formally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accepted the undertakings proposed by the parties in response to its limited concerns. The CMA accepted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undertakings and lifted the IEO on 4 October 2024. Management reviewed the terms of the IEO and concluded that 21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August 2024 was the date on which the Group obtained control of Redrow plc. </w:t>
      </w:r>
    </w:p>
    <w:p>
      <w:pPr>
        <w:autoSpaceDN w:val="0"/>
        <w:autoSpaceDE w:val="0"/>
        <w:widowControl/>
        <w:spacing w:line="230" w:lineRule="exact" w:before="122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plc is the parent company of a group of companies involved in UK housebuilding. This transaction has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using the acquisition method of accounting. The combination brings together two housebuilding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businesses with complementary cultures to create a strong brand portfolio that will offer customers a wider range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housetypes and accelerate delivery. It also allows the realisation of significant cost synergies from procurement savings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 rationalisation of divisional and central costs. </w:t>
      </w:r>
    </w:p>
    <w:p>
      <w:pPr>
        <w:autoSpaceDN w:val="0"/>
        <w:autoSpaceDE w:val="0"/>
        <w:widowControl/>
        <w:spacing w:line="222" w:lineRule="exact" w:before="130" w:after="12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Details of the purchase consideration, net assets acquired and the resulting goodwill are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290"/>
        <w:gridCol w:w="5290"/>
      </w:tblGrid>
      <w:tr>
        <w:trPr>
          <w:trHeight w:hRule="exact" w:val="29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Fair value of shares issued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2,528.9 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purchase consideration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2,528.9 </w:t>
            </w:r>
          </w:p>
        </w:tc>
      </w:tr>
    </w:tbl>
    <w:p>
      <w:pPr>
        <w:autoSpaceDN w:val="0"/>
        <w:autoSpaceDE w:val="0"/>
        <w:widowControl/>
        <w:spacing w:line="230" w:lineRule="exact" w:before="122" w:after="118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23 August 2024, the Company issued 476,309,120 new ordinary shares of 10p nominal value to shareholders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plc. Of these, 10,840,048 were issued in replacement of shares in Redrow plc held by the Redrow Employee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 Trust, which are excluded from the purchase consideration. Costs of £0.3m directly attributable to the share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 have been recognised in equity. The issue of a further 256,258 new ordinary shares of 10p nominal value (of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130,614 had been issued at 29 December 2024) were accrued as purchase consideration in respect of share-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payment awards that vested on the change of control of Redrow plc. The total fair value of the shares issued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accrued in respect of the purchase consideration was £2,528.9m which was determined using the closing Barratt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PLC share price of 543 pence at 21 August 2024. The non-statutory premium of £2,482.0m arising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shares issued and accrued as consideration for the acquisition has been credited to the merger reserve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section 612 of the Companies Act 2006. The closing Barratt Developments PLC share price on 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February 2024, the last business day prior to the announcement of the offer, was 530 pence.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290"/>
        <w:gridCol w:w="5290"/>
      </w:tblGrid>
      <w:tr>
        <w:trPr>
          <w:trHeight w:hRule="exact" w:val="454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assets and liabilities recognised as a result of the acquisition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2620" w:right="0" w:hanging="115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At 21 August 2024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66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Intangible assets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235.9</w:t>
            </w:r>
          </w:p>
        </w:tc>
      </w:tr>
      <w:tr>
        <w:trPr>
          <w:trHeight w:hRule="exact" w:val="274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Tangible fixed assets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20.8</w:t>
            </w:r>
          </w:p>
        </w:tc>
      </w:tr>
      <w:tr>
        <w:trPr>
          <w:trHeight w:hRule="exact" w:val="266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Right-of-use assets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8.9</w:t>
            </w:r>
          </w:p>
        </w:tc>
      </w:tr>
      <w:tr>
        <w:trPr>
          <w:trHeight w:hRule="exact" w:val="274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scheme surplus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5.2</w:t>
            </w:r>
          </w:p>
        </w:tc>
      </w:tr>
      <w:tr>
        <w:trPr>
          <w:trHeight w:hRule="exact" w:val="268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Inventories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2,799.2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Trade and other receivables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38.7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194.3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Trade and other payables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(637.9)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(294.4)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3.2000000000007276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Lease liabilities </w:t>
            </w:r>
          </w:p>
        </w:tc>
        <w:tc>
          <w:tcPr>
            <w:tcW w:type="dxa" w:w="2968"/>
            <w:tcBorders>
              <w:start w:sz="5.600000000000364" w:val="single" w:color="#000000"/>
              <w:top w:sz="3.2000000000007276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(9.2)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Corporation tax liability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(1.3)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3.2000000000007276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tax liability </w:t>
            </w:r>
          </w:p>
        </w:tc>
        <w:tc>
          <w:tcPr>
            <w:tcW w:type="dxa" w:w="2968"/>
            <w:tcBorders>
              <w:start w:sz="5.600000000000364" w:val="single" w:color="#000000"/>
              <w:top w:sz="3.2000000000007276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(90.3)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5.600000000000364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identifiable assets acquired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000000"/>
              <w:end w:sz="4.0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2,269.9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3.2000000000007276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Goodwill </w:t>
            </w:r>
          </w:p>
        </w:tc>
        <w:tc>
          <w:tcPr>
            <w:tcW w:type="dxa" w:w="2968"/>
            <w:tcBorders>
              <w:start w:sz="5.600000000000364" w:val="single" w:color="#000000"/>
              <w:top w:sz="3.2000000000007276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259.0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5.600000000000364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assets acquired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2,528.9</w:t>
            </w:r>
          </w:p>
        </w:tc>
      </w:tr>
    </w:tbl>
    <w:p>
      <w:pPr>
        <w:autoSpaceDN w:val="0"/>
        <w:autoSpaceDE w:val="0"/>
        <w:widowControl/>
        <w:spacing w:line="230" w:lineRule="exact" w:before="120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intangible assets acquired comprise the Redrow brand (£231.8m), valued using a relief-from-royalty method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assuming an indefinite useful life, and customer contracts (£4.1m), valued using a multi-period excess earnings method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amortised as those contracts are completed. In concluding that a brand has an indefinite useful life,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 the Group’s current and future expected strategy. The continued use of the Barratt Homes, David Wilson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Homes and Redrow brands, including the offer of multiple brands on single sides is a key pillar in the Group’s strategy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drive future growth. </w:t>
      </w:r>
    </w:p>
    <w:p>
      <w:pPr>
        <w:autoSpaceDN w:val="0"/>
        <w:autoSpaceDE w:val="0"/>
        <w:widowControl/>
        <w:spacing w:line="230" w:lineRule="exact" w:before="120" w:after="0"/>
        <w:ind w:left="14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assets and liabilities acquired have been recognised at their acquisition date provisional fair values which may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amended during the 12 months following acquisition. In particular, whilst the fair value of the legacy property provisions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reflects the Group’s current understanding of the remediation works required on properties previously constructed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plc and its subsidiaries, a detailed review is ongoing. Estimates of the costs that will be incurred to complete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remediation may be revised as work across the Group’s wider portfolio progresses. It is therefore possible that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fair value of the legacy property provisions at the acquisition date will be retrospectively adjusted to account for new </w:t>
      </w:r>
    </w:p>
    <w:p>
      <w:pPr>
        <w:autoSpaceDN w:val="0"/>
        <w:autoSpaceDE w:val="0"/>
        <w:widowControl/>
        <w:spacing w:line="178" w:lineRule="exact" w:before="15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29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obtained about facts and circumstances that existed at the acquisition date. The valuation of land interests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within inventories may also be adjusted if new information is received regarding the potential impact of contractual terms. </w:t>
      </w:r>
    </w:p>
    <w:p>
      <w:pPr>
        <w:autoSpaceDN w:val="0"/>
        <w:autoSpaceDE w:val="0"/>
        <w:widowControl/>
        <w:spacing w:line="23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IFRS 3, any possible present obligation arising from past events that is assumed in a business combination,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the fair value can be reliably measured, must be recognised as a liability, regardless of whether an outflow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benefits is probable. As a result, the Group has recognised liabilities in respect of possible remediation works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relating to external wall systems on properties constructed by the Redrow group that have not previously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recognised in the financial statements of Redrow plc or its subsidiaries. These amounts reflect the possibility of issues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being identified on properties for which there is currently no indication of works being required and are deemed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 risk. Being of the same nature and subject to similar uncertainties over the amount and timing of future outflows,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liabilities are presented within legacy property provisions (note 14). </w:t>
      </w:r>
    </w:p>
    <w:p>
      <w:pPr>
        <w:autoSpaceDN w:val="0"/>
        <w:autoSpaceDE w:val="0"/>
        <w:widowControl/>
        <w:spacing w:line="230" w:lineRule="exact" w:before="11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within provisions at the acquisition date is £104.1m in respect of costs in relation to completed developments.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majority of such liabilities were presented in the financial statements of Redrow plc within trade and other payables,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but are presented as provisions here to align with the Group’s accounting policy. </w:t>
      </w:r>
    </w:p>
    <w:p>
      <w:pPr>
        <w:autoSpaceDN w:val="0"/>
        <w:autoSpaceDE w:val="0"/>
        <w:widowControl/>
        <w:spacing w:line="230" w:lineRule="exact" w:before="120" w:after="0"/>
        <w:ind w:left="0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fair value uplift of £104.3m has been recognised on inventories which is expected to substantially unwind within three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years. In determining the fair value of inventories, management has made judgements in determining the price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that would be received or paid by a market participant at the date of acquisition. This includes the profit that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expected to be earned from land interests and partially completed developments, which has been determined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reference to market conditions and industry margins. </w:t>
      </w:r>
    </w:p>
    <w:p>
      <w:pPr>
        <w:autoSpaceDN w:val="0"/>
        <w:autoSpaceDE w:val="0"/>
        <w:widowControl/>
        <w:spacing w:line="23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gross contractual amounts receivable for the trade and other receivables acquired were £22.7m and the best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 at the acquisition date of the contractual cash flows not expected to be collected was £5.7m. </w:t>
      </w:r>
    </w:p>
    <w:p>
      <w:pPr>
        <w:autoSpaceDN w:val="0"/>
        <w:autoSpaceDE w:val="0"/>
        <w:widowControl/>
        <w:spacing w:line="232" w:lineRule="exact" w:before="118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Goodwill represents the value of intangible assets that do not qualify for separate recognition under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standards and is attributable to the anticipated profitability of the individual sites acquired, the complementary geographic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fit and the anticipated operating synergies from the combination. </w:t>
      </w:r>
    </w:p>
    <w:p>
      <w:pPr>
        <w:autoSpaceDN w:val="0"/>
        <w:autoSpaceDE w:val="0"/>
        <w:widowControl/>
        <w:spacing w:line="230" w:lineRule="exact" w:before="118" w:after="0"/>
        <w:ind w:left="0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Subsequent to the acquisition, 2,778,450 share options held by Redrow employees under the Redrow plc Save As You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Earn Share Option scheme (Redrow SAYE) were converted to options over shares in Barratt Redrow plc.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schemes are accounted for as remuneration for post-acquisition services provided to the Group. </w:t>
      </w:r>
    </w:p>
    <w:p>
      <w:pPr>
        <w:autoSpaceDN w:val="0"/>
        <w:autoSpaceDE w:val="0"/>
        <w:widowControl/>
        <w:spacing w:line="232" w:lineRule="exact" w:before="118" w:after="118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acquisition was achieved through a share-for-share exchange with no cash consideration payable to the former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shareholders of Redrow plc and no cash received for the share issue. The Group’s cash inflow in respect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acquisition is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283"/>
        <w:gridCol w:w="5283"/>
      </w:tblGrid>
      <w:tr>
        <w:trPr>
          <w:trHeight w:hRule="exact" w:val="454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2620" w:right="0" w:hanging="243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66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Investing activities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balances acquired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194.3 </w:t>
            </w:r>
          </w:p>
        </w:tc>
      </w:tr>
      <w:tr>
        <w:trPr>
          <w:trHeight w:hRule="exact" w:val="266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Financing activities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Share issue costs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(0.3) </w:t>
            </w:r>
          </w:p>
        </w:tc>
      </w:tr>
      <w:tr>
        <w:trPr>
          <w:trHeight w:hRule="exact" w:val="272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inflow of cash </w:t>
            </w:r>
          </w:p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194.0 </w:t>
            </w:r>
          </w:p>
        </w:tc>
      </w:tr>
    </w:tbl>
    <w:p>
      <w:pPr>
        <w:autoSpaceDN w:val="0"/>
        <w:autoSpaceDE w:val="0"/>
        <w:widowControl/>
        <w:spacing w:line="230" w:lineRule="exact" w:before="1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of £567.8m, an adjusted profit before tax of £1.0m, and a loss before tax of £3.4m are recognised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Consolidated Income Statement in respect of Redrow. </w:t>
      </w:r>
    </w:p>
    <w:p>
      <w:pPr>
        <w:autoSpaceDN w:val="0"/>
        <w:autoSpaceDE w:val="0"/>
        <w:widowControl/>
        <w:spacing w:line="230" w:lineRule="exact" w:before="12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If the acquisition had occurred on 1 July 2024, consolidated pro-forma revenue, adjusted profit before tax, and profit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before tax for the period ended 29 December 2024, based on Redrow’s results for the period before tax, adjusted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intercompany transactions and after alignment with Group accounting policies, would have been £2,381.9m, £159.2m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£88.8m respectively. </w:t>
      </w:r>
    </w:p>
    <w:p>
      <w:pPr>
        <w:autoSpaceDN w:val="0"/>
        <w:autoSpaceDE w:val="0"/>
        <w:widowControl/>
        <w:spacing w:line="232" w:lineRule="exact" w:before="116" w:after="0"/>
        <w:ind w:left="0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current period, acquisition costs of £35.5m are included in administrative expenses in the Consolidated Income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 and in operating cash flows in the Cash Flow Statement. In addition, acquisition costs of £22.4m were incurred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included in administrative costs in the Consolidated Income Statement in the year ended 30 June 2024. </w:t>
      </w:r>
    </w:p>
    <w:p>
      <w:pPr>
        <w:autoSpaceDN w:val="0"/>
        <w:autoSpaceDE w:val="0"/>
        <w:widowControl/>
        <w:spacing w:line="230" w:lineRule="exact" w:before="120" w:after="0"/>
        <w:ind w:left="0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Following the acquisition, the Directors are reviewing Group operations to most effectively integrate the Redrow business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to best position the combined Group to realise the synergies of the combination and achieve its objectives.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result, the Group has undertaken certain reorganisation and restructuring activities, for which the aggregate direct costs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expected to be material. The incremental costs incurred are presented as adjusted. </w:t>
      </w:r>
    </w:p>
    <w:p>
      <w:pPr>
        <w:autoSpaceDN w:val="0"/>
        <w:autoSpaceDE w:val="0"/>
        <w:widowControl/>
        <w:spacing w:line="178" w:lineRule="exact" w:before="261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30 </w:t>
      </w:r>
    </w:p>
    <w:p>
      <w:pPr>
        <w:sectPr>
          <w:pgSz w:w="11906" w:h="16838"/>
          <w:pgMar w:top="358" w:right="632" w:bottom="216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8"/>
        </w:trPr>
        <w:tc>
          <w:tcPr>
            <w:tcW w:type="dxa" w:w="10532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10.  Goodwill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71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3" w:lineRule="auto" w:before="50" w:after="0"/>
              <w:ind w:left="1314" w:right="0" w:hanging="116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324" w:right="0" w:hanging="11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68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Cost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3.2000000000000455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At 1 July </w:t>
            </w:r>
          </w:p>
        </w:tc>
        <w:tc>
          <w:tcPr>
            <w:tcW w:type="dxa" w:w="1664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877.4 </w:t>
            </w:r>
          </w:p>
        </w:tc>
        <w:tc>
          <w:tcPr>
            <w:tcW w:type="dxa" w:w="1666"/>
            <w:tcBorders>
              <w:start w:sz="6.400000000000091" w:val="single" w:color="#000000"/>
              <w:top w:sz="3.2000000000000455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877.4 </w:t>
            </w:r>
          </w:p>
        </w:tc>
        <w:tc>
          <w:tcPr>
            <w:tcW w:type="dxa" w:w="1664"/>
            <w:tcBorders>
              <w:start w:sz="5.599999999999909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877.4 </w:t>
            </w:r>
          </w:p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Arising on acquisition during the period (note 9)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259.0 </w:t>
            </w:r>
          </w:p>
        </w:tc>
        <w:tc>
          <w:tcPr>
            <w:tcW w:type="dxa" w:w="166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D8D9D8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3.2000000000000455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At balance sheet date </w:t>
            </w:r>
          </w:p>
        </w:tc>
        <w:tc>
          <w:tcPr>
            <w:tcW w:type="dxa" w:w="1664"/>
            <w:tcBorders>
              <w:start w:sz="5.599999999999909" w:val="single" w:color="#000000"/>
              <w:top w:sz="3.2000000000000455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1,136.4 </w:t>
            </w:r>
          </w:p>
        </w:tc>
        <w:tc>
          <w:tcPr>
            <w:tcW w:type="dxa" w:w="1666"/>
            <w:tcBorders>
              <w:start w:sz="6.400000000000091" w:val="single" w:color="#000000"/>
              <w:top w:sz="3.2000000000000455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877.4 </w:t>
            </w:r>
          </w:p>
        </w:tc>
        <w:tc>
          <w:tcPr>
            <w:tcW w:type="dxa" w:w="1664"/>
            <w:tcBorders>
              <w:start w:sz="5.599999999999909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877.4 </w:t>
            </w:r>
          </w:p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impairment losses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3.2000000000000455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At 1 July and at balance sheet date </w:t>
            </w:r>
          </w:p>
        </w:tc>
        <w:tc>
          <w:tcPr>
            <w:tcW w:type="dxa" w:w="1664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24.5 </w:t>
            </w:r>
          </w:p>
        </w:tc>
        <w:tc>
          <w:tcPr>
            <w:tcW w:type="dxa" w:w="1666"/>
            <w:tcBorders>
              <w:start w:sz="6.400000000000091" w:val="single" w:color="#000000"/>
              <w:top w:sz="3.2000000000000455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24.5 </w:t>
            </w:r>
          </w:p>
        </w:tc>
        <w:tc>
          <w:tcPr>
            <w:tcW w:type="dxa" w:w="1664"/>
            <w:tcBorders>
              <w:start w:sz="5.599999999999909" w:val="single" w:color="#000000"/>
              <w:top w:sz="3.2000000000000455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24.5 </w:t>
            </w:r>
          </w:p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Carrying amount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3.2000000000000455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At balance sheet date </w:t>
            </w:r>
          </w:p>
        </w:tc>
        <w:tc>
          <w:tcPr>
            <w:tcW w:type="dxa" w:w="1664"/>
            <w:tcBorders>
              <w:start w:sz="3.200000000000273" w:val="single" w:color="#000000"/>
              <w:top w:sz="3.2000000000000455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1,111.9 </w:t>
            </w:r>
          </w:p>
        </w:tc>
        <w:tc>
          <w:tcPr>
            <w:tcW w:type="dxa" w:w="1666"/>
            <w:tcBorders>
              <w:start w:sz="3.200000000000273" w:val="single" w:color="#000000"/>
              <w:top w:sz="3.2000000000000455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852.9 </w:t>
            </w:r>
          </w:p>
        </w:tc>
        <w:tc>
          <w:tcPr>
            <w:tcW w:type="dxa" w:w="1664"/>
            <w:tcBorders>
              <w:start w:sz="4.0" w:val="single" w:color="#000000"/>
              <w:top w:sz="3.2000000000000455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852.9 </w:t>
            </w:r>
          </w:p>
        </w:tc>
      </w:tr>
    </w:tbl>
    <w:p>
      <w:pPr>
        <w:autoSpaceDN w:val="0"/>
        <w:autoSpaceDE w:val="0"/>
        <w:widowControl/>
        <w:spacing w:line="230" w:lineRule="exact" w:before="120" w:after="474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period, the Group acquired the entire share capital of Redrow plc (note 9). Goodwill of £259.0m arising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acquisition has been recognised.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46"/>
        </w:trPr>
        <w:tc>
          <w:tcPr>
            <w:tcW w:type="dxa" w:w="10532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11.  Retirement benefit schemes </w:t>
            </w:r>
          </w:p>
        </w:tc>
      </w:tr>
    </w:tbl>
    <w:p>
      <w:pPr>
        <w:autoSpaceDN w:val="0"/>
        <w:autoSpaceDE w:val="0"/>
        <w:widowControl/>
        <w:spacing w:line="233" w:lineRule="auto" w:before="12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Defined contribution schemes </w:t>
      </w:r>
    </w:p>
    <w:p>
      <w:pPr>
        <w:autoSpaceDN w:val="0"/>
        <w:autoSpaceDE w:val="0"/>
        <w:widowControl/>
        <w:spacing w:line="230" w:lineRule="exact" w:before="118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operates defined contribution retirement benefit schemes for all qualifying employees, under which it pays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contributions to independently administered funds. Contributions are based upon a fixed percentage of the employee’s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 and once these have been paid, the Group has no further obligations under these schemes. </w:t>
      </w:r>
    </w:p>
    <w:p>
      <w:pPr>
        <w:autoSpaceDN w:val="0"/>
        <w:autoSpaceDE w:val="0"/>
        <w:widowControl/>
        <w:spacing w:line="233" w:lineRule="auto" w:before="130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Defined benefit scheme </w:t>
      </w:r>
    </w:p>
    <w:p>
      <w:pPr>
        <w:autoSpaceDN w:val="0"/>
        <w:autoSpaceDE w:val="0"/>
        <w:widowControl/>
        <w:spacing w:line="228" w:lineRule="exact" w:before="122" w:after="0"/>
        <w:ind w:left="14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21 August 2024, the Group acquired the full share capital of Redrow plc. The Redrow group of companies operates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Redrow Staff Pension Scheme (‘the Scheme’) which in part comprised a defined benefit pension plan. The Scheme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closed to new entrants from July 2006 and closed to future accrual with affect from 1 March 2012. </w:t>
      </w:r>
    </w:p>
    <w:p>
      <w:pPr>
        <w:autoSpaceDN w:val="0"/>
        <w:autoSpaceDE w:val="0"/>
        <w:widowControl/>
        <w:spacing w:line="230" w:lineRule="exact" w:before="120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27 January 2023, the Trustees of the Scheme entered into a bulk annuity buy-in contract with Standard Life, through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the assets of the Scheme were exchanged for an insurance policy which matches the projected cash flows for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future defined benefit obligations, before GMP equalisation. This policy is recognised as an asset within the retirement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 surplus on the Balance Sheet. </w:t>
      </w:r>
    </w:p>
    <w:p>
      <w:pPr>
        <w:autoSpaceDN w:val="0"/>
        <w:autoSpaceDE w:val="0"/>
        <w:widowControl/>
        <w:spacing w:line="230" w:lineRule="exact" w:before="118" w:after="0"/>
        <w:ind w:left="14" w:right="3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buy-in has not changed the obligations of Redrow Limited (formerly Redrow plc) in relation to the Scheme but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reduced the future funding risk. The principal risk to the Group is the credit risk associated with the insurer, which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assessed to be low. </w:t>
      </w:r>
    </w:p>
    <w:p>
      <w:pPr>
        <w:autoSpaceDN w:val="0"/>
        <w:autoSpaceDE w:val="0"/>
        <w:widowControl/>
        <w:spacing w:line="230" w:lineRule="exact" w:before="122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June 2023, the High Court handed down a decision in the case of Virgin Media Limited v NTL Pension Trustees II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and others relating to the validity of certain amendments to pension scheme benefits for which an actuarial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confirmation required by law had not been made. In July 2024, the Court of Appeal dismissed the appeal brought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Virgin Media Ltd against aspects of the June 2023 decision. This case may have implications for other UK defined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benefit plans. The Group and Scheme trustees are considering the implications of the case for the Scheme. At this stage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instance of amendments to the Scheme have been identified to which the ruling would apply. The defined benefit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obligation has been calculated on the basis of the pension benefits currently being administered. </w:t>
      </w:r>
    </w:p>
    <w:p>
      <w:pPr>
        <w:autoSpaceDN w:val="0"/>
        <w:autoSpaceDE w:val="0"/>
        <w:widowControl/>
        <w:spacing w:line="222" w:lineRule="exact" w:before="128" w:after="122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amounts recognised in respect of the defined benefit section of the Scheme are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886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8" w:after="0"/>
              <w:ind w:left="162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26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00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94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Recognised in the Income Statement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Scheme administration expenses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(0.3) 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interest on defined liability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0.1 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recognised in the Income Statement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(0.2) 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Recognised on the Balance Sheet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Present value of defined benefit obligation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(72.1) 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5486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Fair value of Scheme assets </w:t>
            </w:r>
          </w:p>
        </w:tc>
        <w:tc>
          <w:tcPr>
            <w:tcW w:type="dxa" w:w="1676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77.1 </w:t>
            </w:r>
          </w:p>
        </w:tc>
        <w:tc>
          <w:tcPr>
            <w:tcW w:type="dxa" w:w="1678"/>
            <w:tcBorders>
              <w:start w:sz="6.400000000000091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Retirement benefit surplus recognised on the Balance Sheet</w:t>
            </w:r>
          </w:p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5.0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78" w:lineRule="exact" w:before="1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31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580"/>
      </w:tblGrid>
      <w:tr>
        <w:trPr>
          <w:trHeight w:hRule="exact" w:val="648"/>
        </w:trPr>
        <w:tc>
          <w:tcPr>
            <w:tcW w:type="dxa" w:w="10518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12.  Inventories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71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3" w:lineRule="auto" w:before="48" w:after="0"/>
              <w:ind w:left="1314" w:right="0" w:hanging="116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324" w:right="0" w:hanging="11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Land held for development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4,879.4 </w:t>
            </w:r>
          </w:p>
        </w:tc>
        <w:tc>
          <w:tcPr>
            <w:tcW w:type="dxa" w:w="166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2,979.1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3,233.6 </w:t>
            </w:r>
          </w:p>
        </w:tc>
      </w:tr>
      <w:tr>
        <w:trPr>
          <w:trHeight w:hRule="exact" w:val="268"/>
        </w:trPr>
        <w:tc>
          <w:tcPr>
            <w:tcW w:type="dxa" w:w="5486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Construction work in progress </w:t>
            </w:r>
          </w:p>
        </w:tc>
        <w:tc>
          <w:tcPr>
            <w:tcW w:type="dxa" w:w="1664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3,258.4 </w:t>
            </w:r>
          </w:p>
        </w:tc>
        <w:tc>
          <w:tcPr>
            <w:tcW w:type="dxa" w:w="1666"/>
            <w:tcBorders>
              <w:start w:sz="6.400000000000091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2,003.3 </w:t>
            </w:r>
          </w:p>
        </w:tc>
        <w:tc>
          <w:tcPr>
            <w:tcW w:type="dxa" w:w="1664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1,829.4 </w:t>
            </w:r>
          </w:p>
        </w:tc>
      </w:tr>
      <w:tr>
        <w:trPr>
          <w:trHeight w:hRule="exact" w:val="272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Promotion agreements work in progress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109.4 </w:t>
            </w:r>
          </w:p>
        </w:tc>
        <w:tc>
          <w:tcPr>
            <w:tcW w:type="dxa" w:w="166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106.2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111.5 </w:t>
            </w:r>
          </w:p>
        </w:tc>
      </w:tr>
      <w:tr>
        <w:trPr>
          <w:trHeight w:hRule="exact" w:val="268"/>
        </w:trPr>
        <w:tc>
          <w:tcPr>
            <w:tcW w:type="dxa" w:w="5486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Part-exchange properties and other inventories </w:t>
            </w:r>
          </w:p>
        </w:tc>
        <w:tc>
          <w:tcPr>
            <w:tcW w:type="dxa" w:w="1664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109.0 </w:t>
            </w:r>
          </w:p>
        </w:tc>
        <w:tc>
          <w:tcPr>
            <w:tcW w:type="dxa" w:w="1666"/>
            <w:tcBorders>
              <w:start w:sz="6.400000000000091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100.3 </w:t>
            </w:r>
          </w:p>
        </w:tc>
        <w:tc>
          <w:tcPr>
            <w:tcW w:type="dxa" w:w="1664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103.7 </w:t>
            </w:r>
          </w:p>
        </w:tc>
      </w:tr>
      <w:tr>
        <w:trPr>
          <w:trHeight w:hRule="exact" w:val="272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8,356.2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5,188.9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5,278.2 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Nature and carrying value of inventories </w:t>
      </w:r>
    </w:p>
    <w:p>
      <w:pPr>
        <w:autoSpaceDN w:val="0"/>
        <w:autoSpaceDE w:val="0"/>
        <w:widowControl/>
        <w:spacing w:line="230" w:lineRule="exact" w:before="116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Group’s principal activities are housebuilding and commercial development. The majority of development activity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contracted prior to a development commencing. Accordingly, the Group has in its Balance Sheet at 29 December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2024 current assets that are not covered by a forward sale. The Group’s internal controls are designed to identify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where the balance sheet value of land and work in progress is more than either the projected net realisable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the development or, if lower, its cost. The Group has conducted six-monthly reviews of the net realisable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specific sites identified as at high risk of impairment, based upon a number of criteria including low site profit margins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sites with no forecast completions. Where the estimated net realisable value of a site was less than its current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carrying value the Group has impaired the land and work in progress value to its net realisable value. </w:t>
      </w:r>
    </w:p>
    <w:p>
      <w:pPr>
        <w:autoSpaceDN w:val="0"/>
        <w:autoSpaceDE w:val="0"/>
        <w:widowControl/>
        <w:spacing w:line="230" w:lineRule="exact" w:before="120" w:after="0"/>
        <w:ind w:left="14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period, due to performance variations, changes in assumptions and changes to viability on individual sites,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were gross impairment charges of £12.2m and gross impairment reversals of £5.1m, resulting in a net impairment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charge of £7.1m (31 December 2023: £2.3m reversal of impairment; 30 June 2024: £2.2m reversal of impairment)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within operating profit. </w:t>
      </w:r>
    </w:p>
    <w:p>
      <w:pPr>
        <w:autoSpaceDN w:val="0"/>
        <w:autoSpaceDE w:val="0"/>
        <w:widowControl/>
        <w:spacing w:line="230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key estimates in these reviews are those used to estimate the realisable value of a site, which is determined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forecast sales rates, expected sales prices and estimated costs to complete. </w:t>
      </w:r>
    </w:p>
    <w:p>
      <w:pPr>
        <w:autoSpaceDN w:val="0"/>
        <w:autoSpaceDE w:val="0"/>
        <w:widowControl/>
        <w:spacing w:line="230" w:lineRule="exact" w:before="122" w:after="470"/>
        <w:ind w:left="14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Directors consider all inventories to be current in nature although the Group’s operational cycle is such that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proportion of inventories will not be realised within 12 months. It is not possible to determine with accuracy when specific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inventory will be realised as this will be subject to a number of variables such as consumer demand and the timing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achievement of planning permissions.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590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13.  Net cash </w:t>
            </w:r>
          </w:p>
        </w:tc>
      </w:tr>
    </w:tbl>
    <w:p>
      <w:pPr>
        <w:autoSpaceDN w:val="0"/>
        <w:autoSpaceDE w:val="0"/>
        <w:widowControl/>
        <w:spacing w:line="230" w:lineRule="exact" w:before="116" w:after="122"/>
        <w:ind w:left="1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cash is defined as cash and cash equivalents, bank overdrafts, interest bearing borrowing and prepaid fees.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cash at the period end is shown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668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32" w:after="0"/>
              <w:ind w:left="1328" w:right="0" w:hanging="116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338" w:right="0" w:hanging="11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8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and cash equivalents </w:t>
            </w:r>
          </w:p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949.9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</w:tr>
      <w:tr>
        <w:trPr>
          <w:trHeight w:hRule="exact" w:val="294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Drawn debt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3.2000000000007276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Sterling USPP notes</w:t>
            </w:r>
          </w:p>
        </w:tc>
        <w:tc>
          <w:tcPr>
            <w:tcW w:type="dxa" w:w="1676"/>
            <w:tcBorders>
              <w:start w:sz="5.599999999999909" w:val="single" w:color="#000000"/>
              <w:top w:sz="3.2000000000007276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678"/>
            <w:tcBorders>
              <w:start w:sz="6.400000000000091" w:val="single" w:color="#000000"/>
              <w:top w:sz="3.2000000000007276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678"/>
            <w:tcBorders>
              <w:start w:sz="5.599999999999909" w:val="single" w:color="#000000"/>
              <w:top w:sz="3.2000000000007276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</w:tr>
      <w:tr>
        <w:trPr>
          <w:trHeight w:hRule="exact" w:val="356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Bank overdrafts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(0.3)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borrowings being total drawn debt </w:t>
            </w:r>
          </w:p>
        </w:tc>
        <w:tc>
          <w:tcPr>
            <w:tcW w:type="dxa" w:w="16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67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(200.3) </w:t>
            </w:r>
          </w:p>
        </w:tc>
        <w:tc>
          <w:tcPr>
            <w:tcW w:type="dxa" w:w="16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Prepaid fees </w:t>
            </w:r>
          </w:p>
        </w:tc>
        <w:tc>
          <w:tcPr>
            <w:tcW w:type="dxa" w:w="1676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3.6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3.8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3.2 </w:t>
            </w:r>
          </w:p>
        </w:tc>
      </w:tr>
      <w:tr>
        <w:trPr>
          <w:trHeight w:hRule="exact" w:val="296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Net cash </w:t>
            </w:r>
          </w:p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458.9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753.4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868.5 </w:t>
            </w:r>
          </w:p>
        </w:tc>
      </w:tr>
      <w:tr>
        <w:trPr>
          <w:trHeight w:hRule="exact" w:val="292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borrowings at the period end are analysed as: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Non-current borrowings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</w:tr>
      <w:tr>
        <w:trPr>
          <w:trHeight w:hRule="exact" w:val="310"/>
        </w:trPr>
        <w:tc>
          <w:tcPr>
            <w:tcW w:type="dxa" w:w="548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borrowings </w:t>
            </w:r>
          </w:p>
        </w:tc>
        <w:tc>
          <w:tcPr>
            <w:tcW w:type="dxa" w:w="167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1678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(0.3) </w:t>
            </w:r>
          </w:p>
        </w:tc>
        <w:tc>
          <w:tcPr>
            <w:tcW w:type="dxa" w:w="1678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borrowings being drawn debt </w:t>
            </w:r>
          </w:p>
        </w:tc>
        <w:tc>
          <w:tcPr>
            <w:tcW w:type="dxa" w:w="16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(200.0) </w:t>
            </w:r>
          </w:p>
        </w:tc>
        <w:tc>
          <w:tcPr>
            <w:tcW w:type="dxa" w:w="16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(200.3) 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(200.0) </w:t>
            </w:r>
          </w:p>
        </w:tc>
      </w:tr>
    </w:tbl>
    <w:p>
      <w:pPr>
        <w:autoSpaceDN w:val="0"/>
        <w:autoSpaceDE w:val="0"/>
        <w:widowControl/>
        <w:spacing w:line="222" w:lineRule="exact" w:before="126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6 November 2024 the Group’s £700m RCF was extended to November 2029. </w:t>
      </w:r>
    </w:p>
    <w:p>
      <w:pPr>
        <w:autoSpaceDN w:val="0"/>
        <w:autoSpaceDE w:val="0"/>
        <w:widowControl/>
        <w:spacing w:line="178" w:lineRule="exact" w:before="109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32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4" w:lineRule="exact" w:before="0" w:after="12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Movement in net cash, including a reconciliation of liabilities arising from financing activities, is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912"/>
        </w:trPr>
        <w:tc>
          <w:tcPr>
            <w:tcW w:type="dxa" w:w="54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160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26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00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76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92"/>
        </w:trPr>
        <w:tc>
          <w:tcPr>
            <w:tcW w:type="dxa" w:w="5488"/>
            <w:tcBorders>
              <w:start w:sz="4.0" w:val="single" w:color="#000000"/>
              <w:top w:sz="4.0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acquired on acquisition of Redrow </w:t>
            </w:r>
          </w:p>
        </w:tc>
        <w:tc>
          <w:tcPr>
            <w:tcW w:type="dxa" w:w="167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194.3 </w:t>
            </w:r>
          </w:p>
        </w:tc>
        <w:tc>
          <w:tcPr>
            <w:tcW w:type="dxa" w:w="1680"/>
            <w:tcBorders>
              <w:start w:sz="6.400000000000091" w:val="single" w:color="#000000"/>
              <w:top w:sz="4.0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6"/>
            <w:tcBorders>
              <w:start w:sz="6.400000000000091" w:val="single" w:color="#000000"/>
              <w:top w:sz="4.0" w:val="single" w:color="#000000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5488"/>
            <w:tcBorders>
              <w:start w:sz="4.0" w:val="single" w:color="#000000"/>
              <w:top w:sz="3.2000000000000455" w:val="single" w:color="#D8D9D8"/>
              <w:end w:sz="5.599999999999909" w:val="single" w:color="#000000"/>
              <w:bottom w:sz="4.00000000000011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movements in cash and cash equivalents in the period </w:t>
            </w:r>
          </w:p>
        </w:tc>
        <w:tc>
          <w:tcPr>
            <w:tcW w:type="dxa" w:w="1674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4.00000000000011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(604.3) </w:t>
            </w:r>
          </w:p>
        </w:tc>
        <w:tc>
          <w:tcPr>
            <w:tcW w:type="dxa" w:w="1680"/>
            <w:tcBorders>
              <w:start w:sz="6.400000000000091" w:val="single" w:color="#000000"/>
              <w:top w:sz="3.2000000000000455" w:val="single" w:color="#D8D9D8"/>
              <w:end w:sz="6.400000000000091" w:val="single" w:color="#000000"/>
              <w:bottom w:sz="4.00000000000011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(319.2) </w:t>
            </w:r>
          </w:p>
        </w:tc>
        <w:tc>
          <w:tcPr>
            <w:tcW w:type="dxa" w:w="1676"/>
            <w:tcBorders>
              <w:start w:sz="6.400000000000091" w:val="single" w:color="#000000"/>
              <w:top w:sz="3.2000000000000455" w:val="single" w:color="#D8D9D8"/>
              <w:end w:sz="4.0" w:val="single" w:color="#000000"/>
              <w:bottom w:sz="4.00000000000011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(203.8) </w:t>
            </w:r>
          </w:p>
        </w:tc>
      </w:tr>
      <w:tr>
        <w:trPr>
          <w:trHeight w:hRule="exact" w:val="292"/>
        </w:trPr>
        <w:tc>
          <w:tcPr>
            <w:tcW w:type="dxa" w:w="5488"/>
            <w:tcBorders>
              <w:start w:sz="4.0" w:val="single" w:color="#000000"/>
              <w:top w:sz="4.000000000000114" w:val="single" w:color="#000000"/>
              <w:end w:sz="5.599999999999909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decrease in cash and cash equivalents </w:t>
            </w:r>
          </w:p>
        </w:tc>
        <w:tc>
          <w:tcPr>
            <w:tcW w:type="dxa" w:w="1674"/>
            <w:tcBorders>
              <w:start w:sz="5.599999999999909" w:val="single" w:color="#000000"/>
              <w:top w:sz="4.000000000000114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(410.0) </w:t>
            </w:r>
          </w:p>
        </w:tc>
        <w:tc>
          <w:tcPr>
            <w:tcW w:type="dxa" w:w="1680"/>
            <w:tcBorders>
              <w:start w:sz="6.400000000000091" w:val="single" w:color="#000000"/>
              <w:top w:sz="4.000000000000114" w:val="single" w:color="#000000"/>
              <w:end w:sz="6.400000000000091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(319.2) </w:t>
            </w:r>
          </w:p>
        </w:tc>
        <w:tc>
          <w:tcPr>
            <w:tcW w:type="dxa" w:w="1676"/>
            <w:tcBorders>
              <w:start w:sz="6.400000000000091" w:val="single" w:color="#000000"/>
              <w:top w:sz="4.000000000000114" w:val="single" w:color="#000000"/>
              <w:end w:sz="4.0" w:val="single" w:color="#000000"/>
              <w:bottom w:sz="3.2000000000000455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(203.8) </w:t>
            </w:r>
          </w:p>
        </w:tc>
      </w:tr>
      <w:tr>
        <w:trPr>
          <w:trHeight w:hRule="exact" w:val="292"/>
        </w:trPr>
        <w:tc>
          <w:tcPr>
            <w:tcW w:type="dxa" w:w="5488"/>
            <w:tcBorders>
              <w:start w:sz="4.0" w:val="single" w:color="#000000"/>
              <w:top w:sz="3.2000000000000455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Repayment/(drawdown) of borrowings: </w:t>
            </w:r>
          </w:p>
        </w:tc>
        <w:tc>
          <w:tcPr>
            <w:tcW w:type="dxa" w:w="1674"/>
            <w:tcBorders>
              <w:start w:sz="5.599999999999909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6.400000000000091" w:val="single" w:color="#000000"/>
              <w:top w:sz="3.2000000000000455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6.400000000000091" w:val="single" w:color="#000000"/>
              <w:top w:sz="3.2000000000000455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4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and borrowings drawdowns </w:t>
            </w:r>
          </w:p>
        </w:tc>
        <w:tc>
          <w:tcPr>
            <w:tcW w:type="dxa" w:w="167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6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54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and borrowings repayments </w:t>
            </w:r>
          </w:p>
        </w:tc>
        <w:tc>
          <w:tcPr>
            <w:tcW w:type="dxa" w:w="167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8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 </w:t>
            </w:r>
          </w:p>
        </w:tc>
        <w:tc>
          <w:tcPr>
            <w:tcW w:type="dxa" w:w="1676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3.4 </w:t>
            </w:r>
          </w:p>
        </w:tc>
      </w:tr>
      <w:tr>
        <w:trPr>
          <w:trHeight w:hRule="exact" w:val="290"/>
        </w:trPr>
        <w:tc>
          <w:tcPr>
            <w:tcW w:type="dxa" w:w="54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Other movements in borrowings: </w:t>
            </w:r>
          </w:p>
        </w:tc>
        <w:tc>
          <w:tcPr>
            <w:tcW w:type="dxa" w:w="167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488"/>
            <w:tcBorders>
              <w:start w:sz="4.0" w:val="single" w:color="#000000"/>
              <w:top w:sz="4.0" w:val="single" w:color="#D8D9D8"/>
              <w:end w:sz="5.599999999999909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Movement in prepaid fees </w:t>
            </w:r>
          </w:p>
        </w:tc>
        <w:tc>
          <w:tcPr>
            <w:tcW w:type="dxa" w:w="167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0.4 </w:t>
            </w:r>
          </w:p>
        </w:tc>
        <w:tc>
          <w:tcPr>
            <w:tcW w:type="dxa" w:w="168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0.1 </w:t>
            </w:r>
          </w:p>
        </w:tc>
        <w:tc>
          <w:tcPr>
            <w:tcW w:type="dxa" w:w="1676"/>
            <w:tcBorders>
              <w:start w:sz="6.400000000000091" w:val="single" w:color="#000000"/>
              <w:top w:sz="4.0" w:val="single" w:color="#D8D9D8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(0.5) </w:t>
            </w:r>
          </w:p>
        </w:tc>
      </w:tr>
      <w:tr>
        <w:trPr>
          <w:trHeight w:hRule="exact" w:val="294"/>
        </w:trPr>
        <w:tc>
          <w:tcPr>
            <w:tcW w:type="dxa" w:w="5488"/>
            <w:tcBorders>
              <w:start w:sz="4.0" w:val="single" w:color="#000000"/>
              <w:top w:sz="3.2000000000000455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Movement in net cash in the period </w:t>
            </w:r>
          </w:p>
        </w:tc>
        <w:tc>
          <w:tcPr>
            <w:tcW w:type="dxa" w:w="1674"/>
            <w:tcBorders>
              <w:start w:sz="5.599999999999909" w:val="single" w:color="#000000"/>
              <w:top w:sz="3.2000000000000455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(409.6) </w:t>
            </w:r>
          </w:p>
        </w:tc>
        <w:tc>
          <w:tcPr>
            <w:tcW w:type="dxa" w:w="1680"/>
            <w:tcBorders>
              <w:start w:sz="6.400000000000091" w:val="single" w:color="#000000"/>
              <w:top w:sz="3.2000000000000455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(316.0) </w:t>
            </w:r>
          </w:p>
        </w:tc>
        <w:tc>
          <w:tcPr>
            <w:tcW w:type="dxa" w:w="1676"/>
            <w:tcBorders>
              <w:start w:sz="6.400000000000091" w:val="single" w:color="#000000"/>
              <w:top w:sz="3.2000000000000455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(200.9) </w:t>
            </w:r>
          </w:p>
        </w:tc>
      </w:tr>
      <w:tr>
        <w:trPr>
          <w:trHeight w:hRule="exact" w:val="292"/>
        </w:trPr>
        <w:tc>
          <w:tcPr>
            <w:tcW w:type="dxa" w:w="5488"/>
            <w:tcBorders>
              <w:start w:sz="4.0" w:val="single" w:color="#000000"/>
              <w:top w:sz="4.0" w:val="single" w:color="#D8D9D8"/>
              <w:end w:sz="5.599999999999909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Opening net cash </w:t>
            </w:r>
          </w:p>
        </w:tc>
        <w:tc>
          <w:tcPr>
            <w:tcW w:type="dxa" w:w="167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868.5 </w:t>
            </w:r>
          </w:p>
        </w:tc>
        <w:tc>
          <w:tcPr>
            <w:tcW w:type="dxa" w:w="168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1,069.4 </w:t>
            </w:r>
          </w:p>
        </w:tc>
        <w:tc>
          <w:tcPr>
            <w:tcW w:type="dxa" w:w="1676"/>
            <w:tcBorders>
              <w:start w:sz="6.400000000000091" w:val="single" w:color="#000000"/>
              <w:top w:sz="4.0" w:val="single" w:color="#D8D9D8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1,069.4 </w:t>
            </w:r>
          </w:p>
        </w:tc>
      </w:tr>
      <w:tr>
        <w:trPr>
          <w:trHeight w:hRule="exact" w:val="292"/>
        </w:trPr>
        <w:tc>
          <w:tcPr>
            <w:tcW w:type="dxa" w:w="548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Closing net cash </w:t>
            </w:r>
          </w:p>
        </w:tc>
        <w:tc>
          <w:tcPr>
            <w:tcW w:type="dxa" w:w="167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458.9 </w:t>
            </w:r>
          </w:p>
        </w:tc>
        <w:tc>
          <w:tcPr>
            <w:tcW w:type="dxa" w:w="168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753.4 </w:t>
            </w:r>
          </w:p>
        </w:tc>
        <w:tc>
          <w:tcPr>
            <w:tcW w:type="dxa" w:w="16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868.5 </w:t>
            </w:r>
          </w:p>
        </w:tc>
      </w:tr>
    </w:tbl>
    <w:p>
      <w:pPr>
        <w:autoSpaceDN w:val="0"/>
        <w:autoSpaceDE w:val="0"/>
        <w:widowControl/>
        <w:spacing w:line="230" w:lineRule="exact" w:before="116" w:after="122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Cash, cash equivalents and bank overdrafts, as presented in the Condensed Consolidated Cash Flow Statement,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analysed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712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54" w:after="0"/>
              <w:ind w:left="1314" w:right="0" w:hanging="116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324" w:right="0" w:hanging="11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90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and cash equivalents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66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949.9 </w:t>
            </w:r>
          </w:p>
        </w:tc>
        <w:tc>
          <w:tcPr>
            <w:tcW w:type="dxa" w:w="166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</w:tr>
      <w:tr>
        <w:trPr>
          <w:trHeight w:hRule="exact" w:val="286"/>
        </w:trPr>
        <w:tc>
          <w:tcPr>
            <w:tcW w:type="dxa" w:w="5486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Bank overdrafts included in loans and borrowings </w:t>
            </w:r>
          </w:p>
        </w:tc>
        <w:tc>
          <w:tcPr>
            <w:tcW w:type="dxa" w:w="1664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66"/>
            <w:tcBorders>
              <w:start w:sz="6.400000000000091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(0.3) </w:t>
            </w:r>
          </w:p>
        </w:tc>
        <w:tc>
          <w:tcPr>
            <w:tcW w:type="dxa" w:w="1664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2"/>
        </w:trPr>
        <w:tc>
          <w:tcPr>
            <w:tcW w:type="dxa" w:w="548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Cash, cash equivalents and bank overdrafts </w:t>
            </w:r>
          </w:p>
        </w:tc>
        <w:tc>
          <w:tcPr>
            <w:tcW w:type="dxa" w:w="166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66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949.6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80"/>
      </w:tblGrid>
      <w:tr>
        <w:trPr>
          <w:trHeight w:hRule="exact" w:val="648"/>
        </w:trPr>
        <w:tc>
          <w:tcPr>
            <w:tcW w:type="dxa" w:w="10504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14.  Provisions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763"/>
        <w:gridCol w:w="1763"/>
        <w:gridCol w:w="1763"/>
        <w:gridCol w:w="1763"/>
        <w:gridCol w:w="1763"/>
        <w:gridCol w:w="1763"/>
      </w:tblGrid>
      <w:tr>
        <w:trPr>
          <w:trHeight w:hRule="exact" w:val="1330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Costs in relation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 completed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developments </w:t>
            </w:r>
          </w:p>
          <w:p>
            <w:pPr>
              <w:autoSpaceDN w:val="0"/>
              <w:autoSpaceDE w:val="0"/>
              <w:widowControl/>
              <w:spacing w:line="233" w:lineRule="auto" w:before="48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0" w:after="0"/>
              <w:ind w:left="432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Legacy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properties –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EWS and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associated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review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144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Legacy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properties –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reinforced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concrete frames </w:t>
            </w:r>
          </w:p>
          <w:p>
            <w:pPr>
              <w:autoSpaceDN w:val="0"/>
              <w:autoSpaceDE w:val="0"/>
              <w:widowControl/>
              <w:spacing w:line="233" w:lineRule="auto" w:before="26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572" w:right="0" w:firstLine="38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Other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provisions </w:t>
            </w:r>
          </w:p>
          <w:p>
            <w:pPr>
              <w:autoSpaceDN w:val="0"/>
              <w:autoSpaceDE w:val="0"/>
              <w:widowControl/>
              <w:spacing w:line="233" w:lineRule="auto" w:before="70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</w:t>
            </w:r>
          </w:p>
          <w:p>
            <w:pPr>
              <w:autoSpaceDN w:val="0"/>
              <w:autoSpaceDE w:val="0"/>
              <w:widowControl/>
              <w:spacing w:line="233" w:lineRule="auto" w:before="92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68"/>
        </w:trPr>
        <w:tc>
          <w:tcPr>
            <w:tcW w:type="dxa" w:w="2980"/>
            <w:tcBorders>
              <w:start w:sz="4.0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At 1 July 2024 (audited)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190.9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628.1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102.2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921.2 </w:t>
            </w:r>
          </w:p>
        </w:tc>
      </w:tr>
      <w:tr>
        <w:trPr>
          <w:trHeight w:hRule="exact" w:val="490"/>
        </w:trPr>
        <w:tc>
          <w:tcPr>
            <w:tcW w:type="dxa" w:w="2980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Fair value of provisions assumed 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acquisition of Redrow (note 9)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104.1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184.3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6.0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294.4 </w:t>
            </w:r>
          </w:p>
        </w:tc>
      </w:tr>
      <w:tr>
        <w:trPr>
          <w:trHeight w:hRule="exact" w:val="290"/>
        </w:trPr>
        <w:tc>
          <w:tcPr>
            <w:tcW w:type="dxa" w:w="2980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additions/(releases)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5.2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5.2 </w:t>
            </w:r>
          </w:p>
        </w:tc>
      </w:tr>
      <w:tr>
        <w:trPr>
          <w:trHeight w:hRule="exact" w:val="490"/>
        </w:trPr>
        <w:tc>
          <w:tcPr>
            <w:tcW w:type="dxa" w:w="2980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1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Sites reclassified to completed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developments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18.4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18.4 </w:t>
            </w:r>
          </w:p>
        </w:tc>
      </w:tr>
      <w:tr>
        <w:trPr>
          <w:trHeight w:hRule="exact" w:val="290"/>
        </w:trPr>
        <w:tc>
          <w:tcPr>
            <w:tcW w:type="dxa" w:w="2980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Imputed interest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15.0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2.1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17.1 </w:t>
            </w:r>
          </w:p>
        </w:tc>
      </w:tr>
      <w:tr>
        <w:trPr>
          <w:trHeight w:hRule="exact" w:val="290"/>
        </w:trPr>
        <w:tc>
          <w:tcPr>
            <w:tcW w:type="dxa" w:w="2980"/>
            <w:tcBorders>
              <w:start w:sz="4.0" w:val="single" w:color="#000000"/>
              <w:top w:sz="4.0" w:val="single" w:color="#D8D9D8"/>
              <w:end w:sz="6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Utilisation in the period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6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(37.2) </w:t>
            </w:r>
          </w:p>
        </w:tc>
        <w:tc>
          <w:tcPr>
            <w:tcW w:type="dxa" w:w="1500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(29.3)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(17.2)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500"/>
            <w:tcBorders>
              <w:start w:sz="5.599999999999909" w:val="single" w:color="#000000"/>
              <w:top w:sz="4.0" w:val="single" w:color="#D8D9D8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(83.7) </w:t>
            </w:r>
          </w:p>
        </w:tc>
      </w:tr>
      <w:tr>
        <w:trPr>
          <w:trHeight w:hRule="exact" w:val="270"/>
        </w:trPr>
        <w:tc>
          <w:tcPr>
            <w:tcW w:type="dxa" w:w="298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At 29 December 2024 </w:t>
            </w:r>
          </w:p>
        </w:tc>
        <w:tc>
          <w:tcPr>
            <w:tcW w:type="dxa" w:w="150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281.4 </w:t>
            </w:r>
          </w:p>
        </w:tc>
        <w:tc>
          <w:tcPr>
            <w:tcW w:type="dxa" w:w="15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798.1 </w:t>
            </w:r>
          </w:p>
        </w:tc>
        <w:tc>
          <w:tcPr>
            <w:tcW w:type="dxa" w:w="15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87.1 </w:t>
            </w:r>
          </w:p>
        </w:tc>
        <w:tc>
          <w:tcPr>
            <w:tcW w:type="dxa" w:w="15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6.0 </w:t>
            </w:r>
          </w:p>
        </w:tc>
        <w:tc>
          <w:tcPr>
            <w:tcW w:type="dxa" w:w="15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1,172.6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2645"/>
        <w:gridCol w:w="2645"/>
        <w:gridCol w:w="2645"/>
        <w:gridCol w:w="2645"/>
      </w:tblGrid>
      <w:tr>
        <w:trPr>
          <w:trHeight w:hRule="exact" w:val="790"/>
        </w:trPr>
        <w:tc>
          <w:tcPr>
            <w:tcW w:type="dxa" w:w="520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42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75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3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576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2"/>
        </w:trPr>
        <w:tc>
          <w:tcPr>
            <w:tcW w:type="dxa" w:w="5206"/>
            <w:tcBorders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</w:t>
            </w:r>
          </w:p>
        </w:tc>
        <w:tc>
          <w:tcPr>
            <w:tcW w:type="dxa" w:w="1758"/>
            <w:tcBorders>
              <w:start w:sz="5.600000000000364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583.4 </w:t>
            </w:r>
          </w:p>
        </w:tc>
        <w:tc>
          <w:tcPr>
            <w:tcW w:type="dxa" w:w="175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376.9 </w:t>
            </w:r>
          </w:p>
        </w:tc>
        <w:tc>
          <w:tcPr>
            <w:tcW w:type="dxa" w:w="1754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378.0 </w:t>
            </w:r>
          </w:p>
        </w:tc>
      </w:tr>
      <w:tr>
        <w:trPr>
          <w:trHeight w:hRule="exact" w:val="268"/>
        </w:trPr>
        <w:tc>
          <w:tcPr>
            <w:tcW w:type="dxa" w:w="5206"/>
            <w:tcBorders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Non-current </w:t>
            </w:r>
          </w:p>
        </w:tc>
        <w:tc>
          <w:tcPr>
            <w:tcW w:type="dxa" w:w="1758"/>
            <w:tcBorders>
              <w:start w:sz="5.600000000000364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589.2 </w:t>
            </w:r>
          </w:p>
        </w:tc>
        <w:tc>
          <w:tcPr>
            <w:tcW w:type="dxa" w:w="175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436.6 </w:t>
            </w:r>
          </w:p>
        </w:tc>
        <w:tc>
          <w:tcPr>
            <w:tcW w:type="dxa" w:w="1754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543.2 </w:t>
            </w:r>
          </w:p>
        </w:tc>
      </w:tr>
      <w:tr>
        <w:trPr>
          <w:trHeight w:hRule="exact" w:val="272"/>
        </w:trPr>
        <w:tc>
          <w:tcPr>
            <w:tcW w:type="dxa" w:w="520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1,172.6 </w:t>
            </w:r>
          </w:p>
        </w:tc>
        <w:tc>
          <w:tcPr>
            <w:tcW w:type="dxa" w:w="175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813.5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921.2 </w:t>
            </w:r>
          </w:p>
        </w:tc>
      </w:tr>
    </w:tbl>
    <w:p>
      <w:pPr>
        <w:autoSpaceDN w:val="0"/>
        <w:autoSpaceDE w:val="0"/>
        <w:widowControl/>
        <w:spacing w:line="278" w:lineRule="exact" w:before="72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Costs in relation to completed developments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Following the legal completion and handover to customers of all units on a site, the Group may retain obligations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not settled for a number of years. These include costs in relation to the adoption of roads or public open space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local authorities, other contractual obligations to third parties and, in certain cases, the costs of remedial works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defects have been identified. </w:t>
      </w:r>
    </w:p>
    <w:p>
      <w:pPr>
        <w:autoSpaceDN w:val="0"/>
        <w:autoSpaceDE w:val="0"/>
        <w:widowControl/>
        <w:spacing w:line="178" w:lineRule="exact" w:before="34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33 </w:t>
      </w:r>
    </w:p>
    <w:p>
      <w:pPr>
        <w:sectPr>
          <w:pgSz w:w="11906" w:h="16838"/>
          <w:pgMar w:top="358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Whilst a proportion of this cost will not be realised within 12 months, the Group has an obligation to complete the works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immediately should it be requested to do so. The balance in total is therefore considered to be current in nature.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outstanding issues on completed developments are resolved as soon as is practicable. </w:t>
      </w:r>
    </w:p>
    <w:p>
      <w:pPr>
        <w:autoSpaceDN w:val="0"/>
        <w:autoSpaceDE w:val="0"/>
        <w:widowControl/>
        <w:spacing w:line="233" w:lineRule="auto" w:before="14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Costs associated with legacy properties </w:t>
      </w:r>
    </w:p>
    <w:p>
      <w:pPr>
        <w:autoSpaceDN w:val="0"/>
        <w:autoSpaceDE w:val="0"/>
        <w:widowControl/>
        <w:spacing w:line="235" w:lineRule="auto" w:before="1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External wall systems and associated review </w:t>
      </w:r>
    </w:p>
    <w:p>
      <w:pPr>
        <w:autoSpaceDN w:val="0"/>
        <w:autoSpaceDE w:val="0"/>
        <w:widowControl/>
        <w:spacing w:line="248" w:lineRule="exact" w:before="118" w:after="138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13 March 2023, the Group signed the Self-Remediation Terms and Contract, codifying the commitments previously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made under the Building Safety Pledge to undertake, or to fund, remediation or mitigation works on external wall systems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(EWS) on all buildings of 11 metres or above in England and Wales that it has developed or refurbished in the 30 years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preceding the date of the Building Safety Pledge, and to reimburse the Government’s Building Safety Fund wherever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they have contributed to such activities. The Group has provided for the cost of fulfilling this commitment, as well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assisting with remedial work identified at a limited number of other legacy properties where it has a legal liability to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so, where relevant build issues have been identified, or where it is considered probable that such build issues exist.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761"/>
        <w:gridCol w:w="1761"/>
        <w:gridCol w:w="1761"/>
        <w:gridCol w:w="1761"/>
        <w:gridCol w:w="1761"/>
        <w:gridCol w:w="1761"/>
      </w:tblGrid>
      <w:tr>
        <w:trPr>
          <w:trHeight w:hRule="exact" w:val="892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 June 2024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2" w:after="0"/>
              <w:ind w:left="144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Responsibility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assumed through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the acquisition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Redrow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998" w:right="0" w:hanging="47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Identified for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review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Review confirmed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no remediation,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or remediation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completed </w:t>
            </w:r>
          </w:p>
        </w:tc>
        <w:tc>
          <w:tcPr>
            <w:tcW w:type="dxa" w:w="16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</w:tr>
      <w:tr>
        <w:trPr>
          <w:trHeight w:hRule="exact" w:val="268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Under review: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6"/>
            <w:tcBorders>
              <w:start w:sz="5.6000000000001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4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4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240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Buildings above 18m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 </w:t>
            </w:r>
          </w:p>
        </w:tc>
        <w:tc>
          <w:tcPr>
            <w:tcW w:type="dxa" w:w="1616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161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61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164 </w:t>
            </w:r>
          </w:p>
        </w:tc>
      </w:tr>
      <w:tr>
        <w:trPr>
          <w:trHeight w:hRule="exact" w:val="270"/>
        </w:trPr>
        <w:tc>
          <w:tcPr>
            <w:tcW w:type="dxa" w:w="2406"/>
            <w:tcBorders>
              <w:start w:sz="4.0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Buildings between 11 and 18m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D8D9D8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116 </w:t>
            </w:r>
          </w:p>
        </w:tc>
        <w:tc>
          <w:tcPr>
            <w:tcW w:type="dxa" w:w="1616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161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61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127 </w:t>
            </w:r>
          </w:p>
        </w:tc>
      </w:tr>
      <w:tr>
        <w:trPr>
          <w:trHeight w:hRule="exact" w:val="270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buildings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 </w:t>
            </w:r>
          </w:p>
        </w:tc>
        <w:tc>
          <w:tcPr>
            <w:tcW w:type="dxa" w:w="1616"/>
            <w:tcBorders>
              <w:start w:sz="5.600000000000136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1614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61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1614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291 </w:t>
            </w:r>
          </w:p>
        </w:tc>
      </w:tr>
      <w:tr>
        <w:trPr>
          <w:trHeight w:hRule="exact" w:val="270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Developments </w:t>
            </w:r>
          </w:p>
        </w:tc>
        <w:tc>
          <w:tcPr>
            <w:tcW w:type="dxa" w:w="16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6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106 </w:t>
            </w:r>
          </w:p>
        </w:tc>
      </w:tr>
    </w:tbl>
    <w:p>
      <w:pPr>
        <w:autoSpaceDN w:val="0"/>
        <w:autoSpaceDE w:val="0"/>
        <w:widowControl/>
        <w:spacing w:line="248" w:lineRule="exact" w:before="10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result of the acquisition of Redrow plc on 21 August 2024, the Group’s obligations under the Self-Remediation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and Contract now include the relevant buildings developed or refurbished by the Redrow group of companies.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remediation of these buildings are now being managed with the benefit of the experience of the combined Group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fair value of the obligations at the acquisition date included within provisions. In accordance with IFRS 3,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described in note 9, this includes the fair value of possible remediation works on properties for which there is currently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indication of works being required and are deemed to be low risk, and consequently no liability was previously </w:t>
      </w:r>
    </w:p>
    <w:p>
      <w:pPr>
        <w:autoSpaceDN w:val="0"/>
        <w:autoSpaceDE w:val="0"/>
        <w:widowControl/>
        <w:spacing w:line="234" w:lineRule="exact" w:before="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recognised in the financial statements of Redrow plc or its subsidiaries</w:t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8" w:lineRule="exact" w:before="12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continues to review all of its current and legacy buildings where it has used EWS or cladding solutions,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assessing the action required in line with the latest updates to Government guidance, as it applies, to multi-storey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multi-occupied residential buildings. All our buildings, including those incorporating EWS or cladding solutions,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signed off by approved inspectors as compliant with the relevant Building Regulations at the time of completion. </w:t>
      </w:r>
    </w:p>
    <w:p>
      <w:pPr>
        <w:autoSpaceDN w:val="0"/>
        <w:autoSpaceDE w:val="0"/>
        <w:widowControl/>
        <w:spacing w:line="248" w:lineRule="exact" w:before="122" w:after="0"/>
        <w:ind w:left="0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is a complex area requiring significant estimates with respect to the estimates for the number of buildings affected,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individual remediation requirements of each building and the costs associated with that remediation (see also note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18). </w:t>
      </w:r>
    </w:p>
    <w:p>
      <w:pPr>
        <w:autoSpaceDN w:val="0"/>
        <w:autoSpaceDE w:val="0"/>
        <w:widowControl/>
        <w:spacing w:line="248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At the acquisition date, 27 buildings over with a height of over 11m were under active review by Redrow under the Self-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Remediation Contract. Following contact from building owners regarding potential issues, a net further 14 buildings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height of over 11 metres were added to the scope of works in the period, including one in the Redrow portfolio. At 29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December 2024, of the 291 buildings in the portfolio under review in the combined Group, 193 were at tender or site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mobilisation or were in the process of being remediated (30 June 2024: 262 buildings, of which 137 were at tender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site mobilisation or were in the process of being remediated; 31 December 2023: 292 buildings, of which 151 were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tender or site mobilisation or were in the process of being remediated). The total expected cost of remediation remains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within the Group’s estimates and no further provision is required. </w:t>
      </w:r>
    </w:p>
    <w:p>
      <w:pPr>
        <w:autoSpaceDN w:val="0"/>
        <w:autoSpaceDE w:val="0"/>
        <w:widowControl/>
        <w:spacing w:line="248" w:lineRule="exact" w:before="120" w:after="0"/>
        <w:ind w:left="0" w:right="3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investigation of the works required at many of the buildings is at an early stage and therefore it is possible that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scope of work required could change. If government legislation and regulation further evolve, or if the estimated timing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work is affected by building owner engagement or contractor availability, these estimates will change. </w:t>
      </w:r>
    </w:p>
    <w:p>
      <w:pPr>
        <w:autoSpaceDN w:val="0"/>
        <w:autoSpaceDE w:val="0"/>
        <w:widowControl/>
        <w:spacing w:line="248" w:lineRule="exact" w:before="120" w:after="0"/>
        <w:ind w:left="0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relation to the Group’s obligations under the Scottish Safer Buildings Accord, signed on 31 May 2023, and the Housing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(Cladding Remediation) (Scotland) Act, passed on 21 June 2024, the external wall provision is recorded on the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the standard of remediation required in Scotland is consistent with England and Wales. This will be determined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when the final contract with the Scottish Government is signed (see note 18). </w:t>
      </w:r>
    </w:p>
    <w:p>
      <w:pPr>
        <w:autoSpaceDN w:val="0"/>
        <w:autoSpaceDE w:val="0"/>
        <w:widowControl/>
        <w:spacing w:line="178" w:lineRule="exact" w:before="187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34 </w:t>
      </w:r>
    </w:p>
    <w:p>
      <w:pPr>
        <w:sectPr>
          <w:pgSz w:w="11906" w:h="16838"/>
          <w:pgMar w:top="358" w:right="632" w:bottom="216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6" w:lineRule="exact" w:before="0" w:after="14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estimates are based on key assumptions that will be updated as work and time progresses. The sensitivity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held at the balance sheet date to the following possible movements in key assumptions is shown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288"/>
        <w:gridCol w:w="5288"/>
      </w:tblGrid>
      <w:tr>
        <w:trPr>
          <w:trHeight w:hRule="exact" w:val="67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Increase/(decrease) in provisions at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10% increase in estimated cost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80.0 </w:t>
            </w:r>
          </w:p>
        </w:tc>
      </w:tr>
      <w:tr>
        <w:trPr>
          <w:trHeight w:hRule="exact" w:val="270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5% increase in the number of buildings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31.3 </w:t>
            </w:r>
          </w:p>
        </w:tc>
      </w:tr>
      <w:tr>
        <w:trPr>
          <w:trHeight w:hRule="exact" w:val="272"/>
        </w:trPr>
        <w:tc>
          <w:tcPr>
            <w:tcW w:type="dxa" w:w="7512"/>
            <w:tcBorders>
              <w:start w:sz="4.0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bps increase in discount rate </w:t>
            </w:r>
          </w:p>
        </w:tc>
        <w:tc>
          <w:tcPr>
            <w:tcW w:type="dxa" w:w="2968"/>
            <w:tcBorders>
              <w:start w:sz="5.600000000000364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(11.8) </w:t>
            </w:r>
          </w:p>
        </w:tc>
      </w:tr>
    </w:tbl>
    <w:p>
      <w:pPr>
        <w:autoSpaceDN w:val="0"/>
        <w:autoSpaceDE w:val="0"/>
        <w:widowControl/>
        <w:spacing w:line="233" w:lineRule="auto" w:before="12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Reinforced concrete frames </w:t>
      </w:r>
    </w:p>
    <w:p>
      <w:pPr>
        <w:autoSpaceDN w:val="0"/>
        <w:autoSpaceDE w:val="0"/>
        <w:widowControl/>
        <w:spacing w:line="250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holds a provision for the remediation of reinforced concrete frames on developments designed by two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engineering firms whose work has previously been found to be defective. </w:t>
      </w:r>
    </w:p>
    <w:p>
      <w:pPr>
        <w:autoSpaceDN w:val="0"/>
        <w:autoSpaceDE w:val="0"/>
        <w:widowControl/>
        <w:spacing w:line="250" w:lineRule="exact" w:before="116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engineering firms involved in the above developments have been determined to also have been involved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 of two developments constructed by the Redrow group. A detailed review of these buildings will be undertaken.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has previously been no indication of works being required at these developments and therefore no provision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held at the reporting date. </w:t>
      </w:r>
    </w:p>
    <w:p>
      <w:pPr>
        <w:autoSpaceDN w:val="0"/>
        <w:autoSpaceDE w:val="0"/>
        <w:widowControl/>
        <w:spacing w:line="248" w:lineRule="exact" w:before="118" w:after="506"/>
        <w:ind w:left="14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has made estimates as to the future costs, the extent of the remedial works required and the costs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providing alternative accommodation to any residents affected by the remedial works. These Interim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have been prepared based on currently available information, including known costs and quotations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possible. However, the extent, cost and timing of remedial work may change as work progresses.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76"/>
      </w:tblGrid>
      <w:tr>
        <w:trPr>
          <w:trHeight w:hRule="exact" w:val="610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15.  Financial instruments – fair value disclosures </w:t>
            </w:r>
          </w:p>
        </w:tc>
      </w:tr>
    </w:tbl>
    <w:p>
      <w:pPr>
        <w:autoSpaceDN w:val="0"/>
        <w:autoSpaceDE w:val="0"/>
        <w:widowControl/>
        <w:spacing w:line="230" w:lineRule="exact" w:before="120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fair values of financial assets and liabilities are determined based on discounted cash flow analysis using current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rates for similar instruments. Other financial liabilities are subsequently measured at amortised cost using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‘effective interest rate’ method. </w:t>
      </w:r>
    </w:p>
    <w:p>
      <w:pPr>
        <w:autoSpaceDN w:val="0"/>
        <w:autoSpaceDE w:val="0"/>
        <w:widowControl/>
        <w:spacing w:line="222" w:lineRule="exact" w:before="128" w:after="23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carrying values and fair values of financial assets and liabilities are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rHeight w:hRule="exact" w:val="932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670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0" w:lineRule="auto" w:before="282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218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708" w:right="0" w:firstLine="23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78" w:lineRule="exact" w:before="28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21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08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488"/>
        </w:trPr>
        <w:tc>
          <w:tcPr>
            <w:tcW w:type="dxa" w:w="39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Fair value </w:t>
            </w:r>
          </w:p>
        </w:tc>
        <w:tc>
          <w:tcPr>
            <w:tcW w:type="dxa" w:w="10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592" w:right="0" w:hanging="22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Carrying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value </w:t>
            </w:r>
          </w:p>
        </w:tc>
        <w:tc>
          <w:tcPr>
            <w:tcW w:type="dxa" w:w="10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Fair value </w:t>
            </w:r>
          </w:p>
        </w:tc>
        <w:tc>
          <w:tcPr>
            <w:tcW w:type="dxa" w:w="109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596" w:right="0" w:hanging="22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Carrying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value </w:t>
            </w:r>
          </w:p>
        </w:tc>
        <w:tc>
          <w:tcPr>
            <w:tcW w:type="dxa" w:w="10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Fair value </w:t>
            </w:r>
          </w:p>
        </w:tc>
        <w:tc>
          <w:tcPr>
            <w:tcW w:type="dxa" w:w="10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594" w:right="0" w:hanging="22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Carrying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value </w:t>
            </w:r>
          </w:p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5.600000000000136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Financial assets</w:t>
            </w:r>
          </w:p>
        </w:tc>
        <w:tc>
          <w:tcPr>
            <w:tcW w:type="dxa" w:w="1094"/>
            <w:tcBorders>
              <w:start w:sz="5.600000000000136" w:val="single" w:color="#000000"/>
              <w:top w:sz="4.0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6.399999999999636" w:val="single" w:color="#000000"/>
              <w:top w:sz="4.0" w:val="single" w:color="#000000"/>
              <w:end w:sz="5.600000000000364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3916"/>
            <w:tcBorders>
              <w:start w:sz="4.0" w:val="single" w:color="#000000"/>
              <w:top w:sz="3.200000000000273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and cash equivalents </w:t>
            </w:r>
          </w:p>
        </w:tc>
        <w:tc>
          <w:tcPr>
            <w:tcW w:type="dxa" w:w="1094"/>
            <w:tcBorders>
              <w:start w:sz="5.600000000000136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096"/>
            <w:tcBorders>
              <w:start w:sz="5.599999999999909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655.3 </w:t>
            </w:r>
          </w:p>
        </w:tc>
        <w:tc>
          <w:tcPr>
            <w:tcW w:type="dxa" w:w="1092"/>
            <w:tcBorders>
              <w:start w:sz="5.599999999999909" w:val="single" w:color="#000000"/>
              <w:top w:sz="3.200000000000273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949.9 </w:t>
            </w:r>
          </w:p>
        </w:tc>
        <w:tc>
          <w:tcPr>
            <w:tcW w:type="dxa" w:w="1094"/>
            <w:tcBorders>
              <w:start w:sz="6.399999999999636" w:val="single" w:color="#000000"/>
              <w:top w:sz="3.200000000000273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949.9 </w:t>
            </w:r>
          </w:p>
        </w:tc>
        <w:tc>
          <w:tcPr>
            <w:tcW w:type="dxa" w:w="1094"/>
            <w:tcBorders>
              <w:start w:sz="5.600000000000364" w:val="single" w:color="#000000"/>
              <w:top w:sz="3.200000000000273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  <w:tc>
          <w:tcPr>
            <w:tcW w:type="dxa" w:w="1094"/>
            <w:tcBorders>
              <w:start w:sz="5.599999999999909" w:val="single" w:color="#000000"/>
              <w:top w:sz="3.200000000000273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1,065.3 </w:t>
            </w:r>
          </w:p>
        </w:tc>
      </w:tr>
      <w:tr>
        <w:trPr>
          <w:trHeight w:hRule="exact" w:val="268"/>
        </w:trPr>
        <w:tc>
          <w:tcPr>
            <w:tcW w:type="dxa" w:w="39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Trade and other receivables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094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85.6 </w:t>
            </w:r>
          </w:p>
        </w:tc>
        <w:tc>
          <w:tcPr>
            <w:tcW w:type="dxa" w:w="1096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85.6 </w:t>
            </w:r>
          </w:p>
        </w:tc>
        <w:tc>
          <w:tcPr>
            <w:tcW w:type="dxa" w:w="1092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89.3 </w:t>
            </w:r>
          </w:p>
        </w:tc>
        <w:tc>
          <w:tcPr>
            <w:tcW w:type="dxa" w:w="1094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89.3 </w:t>
            </w:r>
          </w:p>
        </w:tc>
        <w:tc>
          <w:tcPr>
            <w:tcW w:type="dxa" w:w="109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133.8 </w:t>
            </w:r>
          </w:p>
        </w:tc>
        <w:tc>
          <w:tcPr>
            <w:tcW w:type="dxa" w:w="1094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133.8 </w:t>
            </w:r>
          </w:p>
        </w:tc>
      </w:tr>
      <w:tr>
        <w:trPr>
          <w:trHeight w:hRule="exact" w:val="272"/>
        </w:trPr>
        <w:tc>
          <w:tcPr>
            <w:tcW w:type="dxa" w:w="39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financial assets </w:t>
            </w:r>
          </w:p>
        </w:tc>
        <w:tc>
          <w:tcPr>
            <w:tcW w:type="dxa" w:w="10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740.9 </w:t>
            </w:r>
          </w:p>
        </w:tc>
        <w:tc>
          <w:tcPr>
            <w:tcW w:type="dxa" w:w="10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740.9 </w:t>
            </w:r>
          </w:p>
        </w:tc>
        <w:tc>
          <w:tcPr>
            <w:tcW w:type="dxa" w:w="10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1,039.2 </w:t>
            </w:r>
          </w:p>
        </w:tc>
        <w:tc>
          <w:tcPr>
            <w:tcW w:type="dxa" w:w="109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1,039.2 </w:t>
            </w:r>
          </w:p>
        </w:tc>
        <w:tc>
          <w:tcPr>
            <w:tcW w:type="dxa" w:w="10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1,199.1 </w:t>
            </w:r>
          </w:p>
        </w:tc>
        <w:tc>
          <w:tcPr>
            <w:tcW w:type="dxa" w:w="10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1,199.1 </w:t>
            </w:r>
          </w:p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Financial liabilities</w:t>
            </w:r>
          </w:p>
        </w:tc>
        <w:tc>
          <w:tcPr>
            <w:tcW w:type="dxa" w:w="1094"/>
            <w:tcBorders>
              <w:start w:sz="5.6000000000001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6.399999999999636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4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Trade and other payables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094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1,289.9 </w:t>
            </w:r>
          </w:p>
        </w:tc>
        <w:tc>
          <w:tcPr>
            <w:tcW w:type="dxa" w:w="1096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1,333.8 </w:t>
            </w:r>
          </w:p>
        </w:tc>
        <w:tc>
          <w:tcPr>
            <w:tcW w:type="dxa" w:w="1092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826.5 </w:t>
            </w:r>
          </w:p>
        </w:tc>
        <w:tc>
          <w:tcPr>
            <w:tcW w:type="dxa" w:w="1094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859.9 </w:t>
            </w:r>
          </w:p>
        </w:tc>
        <w:tc>
          <w:tcPr>
            <w:tcW w:type="dxa" w:w="109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991.5 </w:t>
            </w:r>
          </w:p>
        </w:tc>
        <w:tc>
          <w:tcPr>
            <w:tcW w:type="dxa" w:w="1094"/>
            <w:tcBorders>
              <w:start w:sz="5.599999999999909" w:val="single" w:color="#000000"/>
              <w:top w:sz="4.0" w:val="single" w:color="#D8D9D8"/>
              <w:end w:sz="4.0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1,025.9 </w:t>
            </w:r>
          </w:p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3.2000000000007276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Lease liabilities </w:t>
            </w:r>
          </w:p>
        </w:tc>
        <w:tc>
          <w:tcPr>
            <w:tcW w:type="dxa" w:w="1094"/>
            <w:tcBorders>
              <w:start w:sz="5.600000000000136" w:val="single" w:color="#000000"/>
              <w:top w:sz="3.2000000000007276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59.7 </w:t>
            </w:r>
          </w:p>
        </w:tc>
        <w:tc>
          <w:tcPr>
            <w:tcW w:type="dxa" w:w="1096"/>
            <w:tcBorders>
              <w:start w:sz="5.599999999999909" w:val="single" w:color="#000000"/>
              <w:top w:sz="3.2000000000007276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59.7 </w:t>
            </w:r>
          </w:p>
        </w:tc>
        <w:tc>
          <w:tcPr>
            <w:tcW w:type="dxa" w:w="1092"/>
            <w:tcBorders>
              <w:start w:sz="5.599999999999909" w:val="single" w:color="#000000"/>
              <w:top w:sz="3.2000000000007276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45.6 </w:t>
            </w:r>
          </w:p>
        </w:tc>
        <w:tc>
          <w:tcPr>
            <w:tcW w:type="dxa" w:w="1094"/>
            <w:tcBorders>
              <w:start w:sz="6.399999999999636" w:val="single" w:color="#000000"/>
              <w:top w:sz="3.2000000000007276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45.6 </w:t>
            </w:r>
          </w:p>
        </w:tc>
        <w:tc>
          <w:tcPr>
            <w:tcW w:type="dxa" w:w="1094"/>
            <w:tcBorders>
              <w:start w:sz="5.600000000000364" w:val="single" w:color="#000000"/>
              <w:top w:sz="3.2000000000007276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42.8 </w:t>
            </w:r>
          </w:p>
        </w:tc>
        <w:tc>
          <w:tcPr>
            <w:tcW w:type="dxa" w:w="1094"/>
            <w:tcBorders>
              <w:start w:sz="5.599999999999909" w:val="single" w:color="#000000"/>
              <w:top w:sz="3.2000000000007276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42.8 </w:t>
            </w:r>
          </w:p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Bank overdrafts </w:t>
            </w:r>
          </w:p>
        </w:tc>
        <w:tc>
          <w:tcPr>
            <w:tcW w:type="dxa" w:w="1094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96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92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094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09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94"/>
            <w:tcBorders>
              <w:start w:sz="5.599999999999909" w:val="single" w:color="#000000"/>
              <w:top w:sz="4.0" w:val="single" w:color="#D8D9D8"/>
              <w:end w:sz="4.0" w:val="single" w:color="#000000"/>
              <w:bottom w:sz="3.2000000000007276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3.2000000000007276" w:val="single" w:color="#D8D9D8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and borrowings </w:t>
            </w:r>
          </w:p>
        </w:tc>
        <w:tc>
          <w:tcPr>
            <w:tcW w:type="dxa" w:w="1094"/>
            <w:tcBorders>
              <w:start w:sz="5.600000000000136" w:val="single" w:color="#000000"/>
              <w:top w:sz="3.2000000000007276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186.0 </w:t>
            </w:r>
          </w:p>
        </w:tc>
        <w:tc>
          <w:tcPr>
            <w:tcW w:type="dxa" w:w="1096"/>
            <w:tcBorders>
              <w:start w:sz="5.599999999999909" w:val="single" w:color="#000000"/>
              <w:top w:sz="3.2000000000007276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200.0 </w:t>
            </w:r>
          </w:p>
        </w:tc>
        <w:tc>
          <w:tcPr>
            <w:tcW w:type="dxa" w:w="1092"/>
            <w:tcBorders>
              <w:start w:sz="5.599999999999909" w:val="single" w:color="#000000"/>
              <w:top w:sz="3.2000000000007276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182.5 </w:t>
            </w:r>
          </w:p>
        </w:tc>
        <w:tc>
          <w:tcPr>
            <w:tcW w:type="dxa" w:w="1094"/>
            <w:tcBorders>
              <w:start w:sz="6.399999999999636" w:val="single" w:color="#000000"/>
              <w:top w:sz="3.2000000000007276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200.0 </w:t>
            </w:r>
          </w:p>
        </w:tc>
        <w:tc>
          <w:tcPr>
            <w:tcW w:type="dxa" w:w="1094"/>
            <w:tcBorders>
              <w:start w:sz="5.600000000000364" w:val="single" w:color="#000000"/>
              <w:top w:sz="3.2000000000007276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184.2 </w:t>
            </w:r>
          </w:p>
        </w:tc>
        <w:tc>
          <w:tcPr>
            <w:tcW w:type="dxa" w:w="1094"/>
            <w:tcBorders>
              <w:start w:sz="5.599999999999909" w:val="single" w:color="#000000"/>
              <w:top w:sz="3.2000000000007276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200.0 </w:t>
            </w:r>
          </w:p>
        </w:tc>
      </w:tr>
      <w:tr>
        <w:trPr>
          <w:trHeight w:hRule="exact" w:val="270"/>
        </w:trPr>
        <w:tc>
          <w:tcPr>
            <w:tcW w:type="dxa" w:w="39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financial liabilities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1,535.6 </w:t>
            </w:r>
          </w:p>
        </w:tc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1,593.5 </w:t>
            </w:r>
          </w:p>
        </w:tc>
        <w:tc>
          <w:tcPr>
            <w:tcW w:type="dxa" w:w="1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1,054.9 </w:t>
            </w:r>
          </w:p>
        </w:tc>
        <w:tc>
          <w:tcPr>
            <w:tcW w:type="dxa" w:w="109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1,105.8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1,218.5 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1,268.7 </w:t>
            </w:r>
          </w:p>
        </w:tc>
      </w:tr>
    </w:tbl>
    <w:p>
      <w:pPr>
        <w:autoSpaceDN w:val="0"/>
        <w:autoSpaceDE w:val="0"/>
        <w:widowControl/>
        <w:spacing w:line="162" w:lineRule="exact" w:before="120" w:after="0"/>
        <w:ind w:left="14" w:right="0" w:firstLine="0"/>
        <w:jc w:val="left"/>
      </w:pPr>
      <w:r>
        <w:rPr>
          <w:w w:val="101.33333206176758"/>
          <w:rFonts w:ascii="ArialMT" w:hAnsi="ArialMT" w:eastAsia="ArialMT"/>
          <w:b w:val="0"/>
          <w:i w:val="0"/>
          <w:color w:val="000000"/>
          <w:sz w:val="9"/>
        </w:rPr>
        <w:t>1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Excludes amounts recoverable on contracts, prepayments and accrued income, and tax and social security. </w:t>
      </w:r>
    </w:p>
    <w:p>
      <w:pPr>
        <w:autoSpaceDN w:val="0"/>
        <w:autoSpaceDE w:val="0"/>
        <w:widowControl/>
        <w:spacing w:line="162" w:lineRule="exact" w:before="0" w:after="0"/>
        <w:ind w:left="14" w:right="0" w:firstLine="0"/>
        <w:jc w:val="left"/>
      </w:pPr>
      <w:r>
        <w:rPr>
          <w:w w:val="101.33333206176758"/>
          <w:rFonts w:ascii="ArialMT" w:hAnsi="ArialMT" w:eastAsia="ArialMT"/>
          <w:b w:val="0"/>
          <w:i w:val="0"/>
          <w:color w:val="000000"/>
          <w:sz w:val="9"/>
        </w:rPr>
        <w:t>2</w:t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 Excludes deferred income, payments received in excess of amounts recoverable on contracts, tax and social security and other non-financial liabilities. </w:t>
      </w:r>
    </w:p>
    <w:p>
      <w:pPr>
        <w:autoSpaceDN w:val="0"/>
        <w:autoSpaceDE w:val="0"/>
        <w:widowControl/>
        <w:spacing w:line="178" w:lineRule="exact" w:before="313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35 </w:t>
      </w:r>
    </w:p>
    <w:p>
      <w:pPr>
        <w:sectPr>
          <w:pgSz w:w="11906" w:h="16838"/>
          <w:pgMar w:top="358" w:right="636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12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16.  Share capital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510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884" w:right="0" w:hanging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(audited)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Allotted, issued and fully paid 10p ordinary shares: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6"/>
            <w:tcBorders>
              <w:start w:sz="6.400000000000091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145.1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97.4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97.4 </w:t>
            </w:r>
          </w:p>
        </w:tc>
      </w:tr>
      <w:tr>
        <w:trPr>
          <w:trHeight w:hRule="exact" w:val="270"/>
        </w:trPr>
        <w:tc>
          <w:tcPr>
            <w:tcW w:type="dxa" w:w="5430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Number </w:t>
            </w:r>
          </w:p>
        </w:tc>
        <w:tc>
          <w:tcPr>
            <w:tcW w:type="dxa" w:w="1684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1,451,031,995 </w:t>
            </w:r>
          </w:p>
        </w:tc>
        <w:tc>
          <w:tcPr>
            <w:tcW w:type="dxa" w:w="1686"/>
            <w:tcBorders>
              <w:start w:sz="6.400000000000091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974,585,856 </w:t>
            </w:r>
          </w:p>
        </w:tc>
        <w:tc>
          <w:tcPr>
            <w:tcW w:type="dxa" w:w="168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974,592,261 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0580"/>
      </w:tblGrid>
      <w:tr>
        <w:trPr>
          <w:trHeight w:hRule="exact" w:val="5432"/>
        </w:trPr>
        <w:tc>
          <w:tcPr>
            <w:tcW w:type="dxa" w:w="10516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29"/>
              <w:gridCol w:w="2629"/>
              <w:gridCol w:w="2629"/>
              <w:gridCol w:w="2629"/>
            </w:tblGrid>
            <w:tr>
              <w:trPr>
                <w:trHeight w:hRule="exact" w:val="910"/>
              </w:trPr>
              <w:tc>
                <w:tcPr>
                  <w:tcW w:type="dxa" w:w="54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86" w:after="0"/>
                    <w:ind w:left="1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Options over the Company’s shares granted during the period:</w:t>
                  </w:r>
                </w:p>
              </w:tc>
              <w:tc>
                <w:tcPr>
                  <w:tcW w:type="dxa" w:w="16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2" w:after="0"/>
                    <w:ind w:left="174" w:right="0" w:firstLine="178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26 weeks ended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29 December 2024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62" w:after="0"/>
                    <w:ind w:left="0" w:right="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number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210" w:right="0" w:firstLine="23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Half year ended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31 December 2023 </w:t>
                  </w:r>
                </w:p>
                <w:p>
                  <w:pPr>
                    <w:autoSpaceDN w:val="0"/>
                    <w:autoSpaceDE w:val="0"/>
                    <w:widowControl/>
                    <w:spacing w:line="178" w:lineRule="exact" w:before="262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number </w:t>
                  </w:r>
                </w:p>
              </w:tc>
              <w:tc>
                <w:tcPr>
                  <w:tcW w:type="dxa" w:w="16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0"/>
                    <w:ind w:left="576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Year ended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30 June 2024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(audited)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number 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5410"/>
                  <w:tcBorders>
                    <w:top w:sz="4.0" w:val="single" w:color="#000000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0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LTPP </w:t>
                  </w:r>
                </w:p>
              </w:tc>
              <w:tc>
                <w:tcPr>
                  <w:tcW w:type="dxa" w:w="1690"/>
                  <w:tcBorders>
                    <w:start w:sz="5.599999999999909" w:val="single" w:color="#000000"/>
                    <w:top w:sz="4.0" w:val="single" w:color="#000000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0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5,227,111 </w:t>
                  </w:r>
                </w:p>
              </w:tc>
              <w:tc>
                <w:tcPr>
                  <w:tcW w:type="dxa" w:w="1688"/>
                  <w:tcBorders>
                    <w:start w:sz="5.599999999999909" w:val="single" w:color="#000000"/>
                    <w:top w:sz="4.0" w:val="single" w:color="#000000"/>
                    <w:end w:sz="6.400000000000091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0" w:after="0"/>
                    <w:ind w:left="0" w:right="6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4,497,287 </w:t>
                  </w:r>
                </w:p>
              </w:tc>
              <w:tc>
                <w:tcPr>
                  <w:tcW w:type="dxa" w:w="1686"/>
                  <w:tcBorders>
                    <w:start w:sz="6.400000000000091" w:val="single" w:color="#000000"/>
                    <w:top w:sz="4.0" w:val="single" w:color="#000000"/>
                    <w:end w:sz="4.0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0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4,497,287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5410"/>
                  <w:tcBorders>
                    <w:top w:sz="4.0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4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Sharesave </w:t>
                  </w:r>
                </w:p>
              </w:tc>
              <w:tc>
                <w:tcPr>
                  <w:tcW w:type="dxa" w:w="1690"/>
                  <w:tcBorders>
                    <w:start w:sz="5.599999999999909" w:val="single" w:color="#000000"/>
                    <w:top w:sz="4.0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4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  <w:tc>
                <w:tcPr>
                  <w:tcW w:type="dxa" w:w="1688"/>
                  <w:tcBorders>
                    <w:start w:sz="5.599999999999909" w:val="single" w:color="#000000"/>
                    <w:top w:sz="4.0" w:val="single" w:color="#D8D9D8"/>
                    <w:end w:sz="6.400000000000091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4" w:after="0"/>
                    <w:ind w:left="0" w:right="8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  <w:tc>
                <w:tcPr>
                  <w:tcW w:type="dxa" w:w="1686"/>
                  <w:tcBorders>
                    <w:start w:sz="6.400000000000091" w:val="single" w:color="#000000"/>
                    <w:top w:sz="4.0" w:val="single" w:color="#D8D9D8"/>
                    <w:end w:sz="4.0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4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2,549,465 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5410"/>
                  <w:tcBorders>
                    <w:top w:sz="4.0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DBP </w:t>
                  </w:r>
                </w:p>
              </w:tc>
              <w:tc>
                <w:tcPr>
                  <w:tcW w:type="dxa" w:w="1690"/>
                  <w:tcBorders>
                    <w:start w:sz="5.599999999999909" w:val="single" w:color="#000000"/>
                    <w:top w:sz="4.0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2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838,130 </w:t>
                  </w:r>
                </w:p>
              </w:tc>
              <w:tc>
                <w:tcPr>
                  <w:tcW w:type="dxa" w:w="1688"/>
                  <w:tcBorders>
                    <w:start w:sz="5.599999999999909" w:val="single" w:color="#000000"/>
                    <w:top w:sz="4.0" w:val="single" w:color="#D8D9D8"/>
                    <w:end w:sz="6.400000000000091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6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107,057 </w:t>
                  </w:r>
                </w:p>
              </w:tc>
              <w:tc>
                <w:tcPr>
                  <w:tcW w:type="dxa" w:w="1686"/>
                  <w:tcBorders>
                    <w:start w:sz="6.400000000000091" w:val="single" w:color="#000000"/>
                    <w:top w:sz="4.0" w:val="single" w:color="#D8D9D8"/>
                    <w:end w:sz="4.0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107,057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5410"/>
                  <w:tcBorders>
                    <w:top w:sz="4.0" w:val="single" w:color="#D8D9D8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4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ELTIP </w:t>
                  </w:r>
                </w:p>
              </w:tc>
              <w:tc>
                <w:tcPr>
                  <w:tcW w:type="dxa" w:w="1690"/>
                  <w:tcBorders>
                    <w:start w:sz="5.599999999999909" w:val="single" w:color="#000000"/>
                    <w:top w:sz="4.0" w:val="single" w:color="#D8D9D8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868,110 </w:t>
                  </w:r>
                </w:p>
              </w:tc>
              <w:tc>
                <w:tcPr>
                  <w:tcW w:type="dxa" w:w="1688"/>
                  <w:tcBorders>
                    <w:start w:sz="5.599999999999909" w:val="single" w:color="#000000"/>
                    <w:top w:sz="4.0" w:val="single" w:color="#D8D9D8"/>
                    <w:end w:sz="6.400000000000091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4" w:after="0"/>
                    <w:ind w:left="0" w:right="6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1,972,410 </w:t>
                  </w:r>
                </w:p>
              </w:tc>
              <w:tc>
                <w:tcPr>
                  <w:tcW w:type="dxa" w:w="1686"/>
                  <w:tcBorders>
                    <w:start w:sz="6.400000000000091" w:val="single" w:color="#000000"/>
                    <w:top w:sz="4.0" w:val="single" w:color="#D8D9D8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4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1,972,714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4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2" w:after="0"/>
                    <w:ind w:left="0" w:right="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6,933,351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6,576,754 </w:t>
                  </w:r>
                </w:p>
              </w:tc>
              <w:tc>
                <w:tcPr>
                  <w:tcW w:type="dxa" w:w="16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6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9,126,523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2629"/>
              <w:gridCol w:w="2629"/>
              <w:gridCol w:w="2629"/>
              <w:gridCol w:w="2629"/>
            </w:tblGrid>
            <w:tr>
              <w:trPr>
                <w:trHeight w:hRule="exact" w:val="930"/>
              </w:trPr>
              <w:tc>
                <w:tcPr>
                  <w:tcW w:type="dxa" w:w="53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10" w:after="0"/>
                    <w:ind w:left="1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Allotment of shares during the period:</w:t>
                  </w:r>
                </w:p>
              </w:tc>
              <w:tc>
                <w:tcPr>
                  <w:tcW w:type="dxa" w:w="16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34" w:after="0"/>
                    <w:ind w:left="180" w:right="0" w:firstLine="178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26 weeks ended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29 December 2024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64" w:after="0"/>
                    <w:ind w:left="0" w:right="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number </w:t>
                  </w:r>
                </w:p>
              </w:tc>
              <w:tc>
                <w:tcPr>
                  <w:tcW w:type="dxa" w:w="16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220" w:right="0" w:firstLine="23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Half year ended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31 December 2023 </w:t>
                  </w:r>
                </w:p>
                <w:p>
                  <w:pPr>
                    <w:autoSpaceDN w:val="0"/>
                    <w:autoSpaceDE w:val="0"/>
                    <w:widowControl/>
                    <w:spacing w:line="178" w:lineRule="exact" w:before="264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number </w:t>
                  </w:r>
                </w:p>
              </w:tc>
              <w:tc>
                <w:tcPr>
                  <w:tcW w:type="dxa" w:w="169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576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Year ended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30 June 2024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(audited)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number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396"/>
                  <w:tcBorders>
                    <w:start w:sz="4.0" w:val="single" w:color="#000000"/>
                    <w:top w:sz="4.0" w:val="single" w:color="#000000"/>
                    <w:end w:sz="5.599999999999909" w:val="single" w:color="#000000"/>
                    <w:bottom w:sz="3.200000000000273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At the beginning of the period 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000000"/>
                    <w:top w:sz="4.0" w:val="single" w:color="#000000"/>
                    <w:end w:sz="5.600000000000364" w:val="single" w:color="#000000"/>
                    <w:bottom w:sz="3.200000000000273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2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974,592,261 </w:t>
                  </w:r>
                </w:p>
              </w:tc>
              <w:tc>
                <w:tcPr>
                  <w:tcW w:type="dxa" w:w="1696"/>
                  <w:tcBorders>
                    <w:start w:sz="5.600000000000364" w:val="single" w:color="#000000"/>
                    <w:top w:sz="4.0" w:val="single" w:color="#000000"/>
                    <w:end w:sz="5.599999999999909" w:val="single" w:color="#000000"/>
                    <w:bottom w:sz="3.200000000000273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974,584,613 </w:t>
                  </w:r>
                </w:p>
              </w:tc>
              <w:tc>
                <w:tcPr>
                  <w:tcW w:type="dxa" w:w="1692"/>
                  <w:tcBorders>
                    <w:start w:sz="5.599999999999909" w:val="single" w:color="#000000"/>
                    <w:top w:sz="4.0" w:val="single" w:color="#000000"/>
                    <w:end w:sz="4.0" w:val="single" w:color="#000000"/>
                    <w:bottom w:sz="3.200000000000273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974,584,613 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5396"/>
                  <w:tcBorders>
                    <w:start w:sz="4.0" w:val="single" w:color="#000000"/>
                    <w:top w:sz="3.200000000000273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2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Issued to Redrow plc shareholders as consideration for the acquisition of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Redrow plc 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000000"/>
                    <w:top w:sz="3.200000000000273" w:val="single" w:color="#D8D9D8"/>
                    <w:end w:sz="5.600000000000364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2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465,599,686 </w:t>
                  </w:r>
                </w:p>
              </w:tc>
              <w:tc>
                <w:tcPr>
                  <w:tcW w:type="dxa" w:w="1696"/>
                  <w:tcBorders>
                    <w:start w:sz="5.600000000000364" w:val="single" w:color="#000000"/>
                    <w:top w:sz="3.200000000000273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2" w:after="0"/>
                    <w:ind w:left="0" w:right="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  <w:tc>
                <w:tcPr>
                  <w:tcW w:type="dxa" w:w="1692"/>
                  <w:tcBorders>
                    <w:start w:sz="5.599999999999909" w:val="single" w:color="#000000"/>
                    <w:top w:sz="3.200000000000273" w:val="single" w:color="#D8D9D8"/>
                    <w:end w:sz="4.0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2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396"/>
                  <w:tcBorders>
                    <w:start w:sz="4.0" w:val="single" w:color="#000000"/>
                    <w:top w:sz="4.0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Issued to the EBT to satisfy legacy Redrow share option schemes 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000000"/>
                    <w:top w:sz="4.0" w:val="single" w:color="#D8D9D8"/>
                    <w:end w:sz="5.600000000000364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10,840,048 </w:t>
                  </w:r>
                </w:p>
              </w:tc>
              <w:tc>
                <w:tcPr>
                  <w:tcW w:type="dxa" w:w="1696"/>
                  <w:tcBorders>
                    <w:start w:sz="5.600000000000364" w:val="single" w:color="#000000"/>
                    <w:top w:sz="4.0" w:val="single" w:color="#D8D9D8"/>
                    <w:end w:sz="5.599999999999909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2" w:after="0"/>
                    <w:ind w:left="0" w:right="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  <w:tc>
                <w:tcPr>
                  <w:tcW w:type="dxa" w:w="1692"/>
                  <w:tcBorders>
                    <w:start w:sz="5.599999999999909" w:val="single" w:color="#000000"/>
                    <w:top w:sz="4.0" w:val="single" w:color="#D8D9D8"/>
                    <w:end w:sz="4.0" w:val="single" w:color="#000000"/>
                    <w:bottom w:sz="4.0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2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396"/>
                  <w:tcBorders>
                    <w:start w:sz="4.0" w:val="single" w:color="#000000"/>
                    <w:top w:sz="4.0" w:val="single" w:color="#D8D9D8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4" w:after="0"/>
                    <w:ind w:left="11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Issued to satisfy exercises under share option schemes 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000000"/>
                    <w:top w:sz="4.0" w:val="single" w:color="#D8D9D8"/>
                    <w:end w:sz="5.600000000000364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4" w:after="0"/>
                    <w:ind w:left="0" w:right="6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- </w:t>
                  </w:r>
                </w:p>
              </w:tc>
              <w:tc>
                <w:tcPr>
                  <w:tcW w:type="dxa" w:w="1696"/>
                  <w:tcBorders>
                    <w:start w:sz="5.600000000000364" w:val="single" w:color="#000000"/>
                    <w:top w:sz="4.0" w:val="single" w:color="#D8D9D8"/>
                    <w:end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4" w:after="0"/>
                    <w:ind w:left="0" w:right="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1,243 </w:t>
                  </w:r>
                </w:p>
              </w:tc>
              <w:tc>
                <w:tcPr>
                  <w:tcW w:type="dxa" w:w="1692"/>
                  <w:tcBorders>
                    <w:start w:sz="5.599999999999909" w:val="single" w:color="#000000"/>
                    <w:top w:sz="4.0" w:val="single" w:color="#D8D9D8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4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7,648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5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1,451,031,995 </w:t>
                  </w:r>
                </w:p>
              </w:tc>
              <w:tc>
                <w:tcPr>
                  <w:tcW w:type="dxa" w:w="16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2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974,585,856 </w:t>
                  </w:r>
                </w:p>
              </w:tc>
              <w:tc>
                <w:tcPr>
                  <w:tcW w:type="dxa" w:w="16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2" w:after="0"/>
                    <w:ind w:left="0" w:right="6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974,592,261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0"/>
        </w:trPr>
        <w:tc>
          <w:tcPr>
            <w:tcW w:type="dxa" w:w="10516"/>
            <w:tcBorders>
              <w:start w:sz="4.0" w:val="single" w:color="#000000"/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17.  Own shares reserve </w:t>
            </w:r>
          </w:p>
        </w:tc>
      </w:tr>
    </w:tbl>
    <w:p>
      <w:pPr>
        <w:autoSpaceDN w:val="0"/>
        <w:autoSpaceDE w:val="0"/>
        <w:widowControl/>
        <w:spacing w:line="230" w:lineRule="exact" w:before="124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own shares reserve represents the cost of shares in Barratt Redrow plc (formerly Barratt Developments PLC)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purchased in the market or issued by the Company and held by the Barratt EBT and Redrow EBT on behalf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in order to satisfy options and awards that have been granted by the Company or were granted by Redrow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plc prior to its acquisition by the Company on 21 August 2024. </w:t>
      </w:r>
    </w:p>
    <w:p>
      <w:pPr>
        <w:autoSpaceDN w:val="0"/>
        <w:autoSpaceDE w:val="0"/>
        <w:widowControl/>
        <w:spacing w:line="232" w:lineRule="exact" w:before="118" w:after="122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Barratt EBT has agreed to waive all or any future right to dividend payments on shares held within the Barratt EBT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these shares do not count in the calculation of the weighted average number of shares used to calculate EPS until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time as they are vested to the relevant employee.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472"/>
        </w:trPr>
        <w:tc>
          <w:tcPr>
            <w:tcW w:type="dxa" w:w="53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52" w:right="0" w:hanging="3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268"/>
        </w:trPr>
        <w:tc>
          <w:tcPr>
            <w:tcW w:type="dxa" w:w="5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Ordinary shares in the Company held in the EBTs (number)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14,109,082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5,275,875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8,063,747 </w:t>
            </w:r>
          </w:p>
        </w:tc>
      </w:tr>
      <w:tr>
        <w:trPr>
          <w:trHeight w:hRule="exact" w:val="272"/>
        </w:trPr>
        <w:tc>
          <w:tcPr>
            <w:tcW w:type="dxa" w:w="53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 of shares held in the EBTs (£m)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26.5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23.7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36.9 </w:t>
            </w:r>
          </w:p>
        </w:tc>
      </w:tr>
      <w:tr>
        <w:trPr>
          <w:trHeight w:hRule="exact" w:val="488"/>
        </w:trPr>
        <w:tc>
          <w:tcPr>
            <w:tcW w:type="dxa" w:w="53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Market value of shares held in the EBTs at 432.3p (31 December 2023: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562.6p; 30 June 2024: 472.2p) per share (£m)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61.0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29.7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38.1 </w:t>
            </w:r>
          </w:p>
        </w:tc>
      </w:tr>
    </w:tbl>
    <w:p>
      <w:pPr>
        <w:autoSpaceDN w:val="0"/>
        <w:autoSpaceDE w:val="0"/>
        <w:widowControl/>
        <w:spacing w:line="230" w:lineRule="exact" w:before="120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Barratt EBT purchased no shares in the market (31 December 2023: 1,916,309 shares; 30 June 2024: 5,000,000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shares). The Barratt EBT disposed of 2,335,538 shares which were used to satisfy the vesting of the ELTIP, the DBP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LTPP schemes (31 December 2023: 1,351,635; 30 June 2024: 1,351,813 shares used to satisfy the vesting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ELTIP and the LTPP schemes). A further 16,502 shares were used in the period in settlement of exercises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Sharesave schemes (31 December 2023: 287,401 June 2024: 583,042). </w:t>
      </w:r>
    </w:p>
    <w:p>
      <w:pPr>
        <w:autoSpaceDN w:val="0"/>
        <w:autoSpaceDE w:val="0"/>
        <w:widowControl/>
        <w:spacing w:line="230" w:lineRule="exact" w:before="120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period the Company issued 10,840,048 shares to the Redrow EBT in exchange for the shares held in Redrow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plc. The Redrow EBT disposed of 2,430,661 shares which were used to satisfy the early vesting of the Redrow LTIP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DBP schemes on acquisition. A further 12,012 shares were used in the period in settlement of exercises under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Redrow SAYE schemes. </w:t>
      </w:r>
    </w:p>
    <w:p>
      <w:pPr>
        <w:autoSpaceDN w:val="0"/>
        <w:autoSpaceDE w:val="0"/>
        <w:widowControl/>
        <w:spacing w:line="178" w:lineRule="exact" w:before="128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36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12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18.  Contingent liabilities </w:t>
            </w:r>
          </w:p>
        </w:tc>
      </w:tr>
    </w:tbl>
    <w:p>
      <w:pPr>
        <w:autoSpaceDN w:val="0"/>
        <w:autoSpaceDE w:val="0"/>
        <w:widowControl/>
        <w:spacing w:line="233" w:lineRule="auto" w:before="18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External wall systems and associated review </w:t>
      </w:r>
    </w:p>
    <w:p>
      <w:pPr>
        <w:autoSpaceDN w:val="0"/>
        <w:autoSpaceDE w:val="0"/>
        <w:widowControl/>
        <w:spacing w:line="248" w:lineRule="exact" w:before="122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disclosed in note 14, on 13 March 2023, the Group signed the Self-Remediation Terms and Contract and is continuing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undertake a review of all of its current and legacy buildings where it has used EWS or cladding solutions. Approved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inspectors signed off all of our buildings, including the EWS or cladding used, as compliant with the relevant building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regulations at the time of completion. </w:t>
      </w:r>
    </w:p>
    <w:p>
      <w:pPr>
        <w:autoSpaceDN w:val="0"/>
        <w:autoSpaceDE w:val="0"/>
        <w:widowControl/>
        <w:spacing w:line="248" w:lineRule="exact" w:before="120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29 December 2024, the Group held provisions of £798.1m (30 June 2024: £628.1m; 31 December 2023: £582.6m)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relation to EWS and associated reviews, based on management’s best estimate of the cost and timing of remediation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in-scope buildings. It is possible that as remediation work proceeds, additional remedial works are required which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relate to EWS or cladding solutions. Such works may not have been identified from the reviews and physical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inspections undertaken to date and may only be identified when detailed remediation work is in progress. Therefore,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nature, timing and extent of any such costs was unknown at the balance sheet date. </w:t>
      </w:r>
    </w:p>
    <w:p>
      <w:pPr>
        <w:autoSpaceDN w:val="0"/>
        <w:autoSpaceDE w:val="0"/>
        <w:widowControl/>
        <w:spacing w:line="250" w:lineRule="exact" w:before="120" w:after="0"/>
        <w:ind w:left="14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also possible that the number of buildings requiring remediation may increase. This could occur because buildings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hold valid EWS1 certificates are found to require remediation or because investigatory works identify remediation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previously identified. </w:t>
      </w:r>
    </w:p>
    <w:p>
      <w:pPr>
        <w:autoSpaceDN w:val="0"/>
        <w:autoSpaceDE w:val="0"/>
        <w:widowControl/>
        <w:spacing w:line="248" w:lineRule="exact" w:before="118" w:after="0"/>
        <w:ind w:left="14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we recognise that the retrospective review of building materials and fire-safety matters continues to evolve.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Interim Financial Statements have been prepared based on currently available information and regulatory guidance.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However, these estimates may be updated if government legislation and regulation further evolve. </w:t>
      </w:r>
    </w:p>
    <w:p>
      <w:pPr>
        <w:autoSpaceDN w:val="0"/>
        <w:autoSpaceDE w:val="0"/>
        <w:widowControl/>
        <w:spacing w:line="248" w:lineRule="exact" w:before="118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31 May 2023 the Group signed the Scottish Safer Buildings Accord, committing to resolve life-critical fire safety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defects in multi-occupancy residential domestic or part-domestic buildings, over 11 metres, built by us as a developer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period of 30 years to 1 June 2022. This Accord is not legally binding, but we are committed to working in good faith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Scottish Government to agree a legal form contract. The Group has undertaken preliminary cost assessments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multi-occupancy buildings over 11 metres in Scotland at which fire safety defects have been identified. The Group’s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EWS provision at 29 December 2024 reflects the outcome of these assessments, based on the assumption that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standard of remediation required in Scotland is consistent with that in England and Wales. The Housing (Cladding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Remediation) (Scotland) Act 2024, which became law on 21 June 2024, has provided a framework on which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remediation programme in Scotland can be based, but requires secondary legislation and further contractual agreement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developers to determine the details. The estimated cost may vary depending on the final form of the developer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remediation contract agreed with the Scottish Government. </w:t>
      </w:r>
    </w:p>
    <w:p>
      <w:pPr>
        <w:autoSpaceDN w:val="0"/>
        <w:autoSpaceDE w:val="0"/>
        <w:widowControl/>
        <w:spacing w:line="248" w:lineRule="exact" w:before="122" w:after="0"/>
        <w:ind w:left="14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November 2024, an investigation by the Institution of Fire Engineers concluded that one of its members had failed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maintain professional standards and terminated his membership. The firm at which the individual worked has provided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fire risk assessments on a number of buildings which the Group has developed. We are currently evaluating whether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matter has any impact on the assessment of those buildings. </w:t>
      </w:r>
    </w:p>
    <w:p>
      <w:pPr>
        <w:autoSpaceDN w:val="0"/>
        <w:autoSpaceDE w:val="0"/>
        <w:widowControl/>
        <w:spacing w:line="248" w:lineRule="exact" w:before="122" w:after="0"/>
        <w:ind w:left="14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prior year, warranty providers received claims under warranties for building safety matters on three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historically delivered by the Group. Further investigation is required to determine whether the nature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extent of any remediation work is incremental to that already expected and we expect this process to be completed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within the second half of this financial year. </w:t>
      </w:r>
    </w:p>
    <w:p>
      <w:pPr>
        <w:autoSpaceDN w:val="0"/>
        <w:autoSpaceDE w:val="0"/>
        <w:widowControl/>
        <w:spacing w:line="233" w:lineRule="auto" w:before="14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Reinforced concrete frames </w:t>
      </w:r>
    </w:p>
    <w:p>
      <w:pPr>
        <w:autoSpaceDN w:val="0"/>
        <w:autoSpaceDE w:val="0"/>
        <w:widowControl/>
        <w:spacing w:line="248" w:lineRule="exact" w:before="122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disclosed in note 14, the Group is undertaking remediation at developments designed by certain engineering firms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associated companies. The Financial Statements have been prepared based on currently available information;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however, the detailed review is ongoing and the extent and cost of any remedial work may change as this work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progresses. </w:t>
      </w:r>
    </w:p>
    <w:p>
      <w:pPr>
        <w:autoSpaceDN w:val="0"/>
        <w:autoSpaceDE w:val="0"/>
        <w:widowControl/>
        <w:spacing w:line="250" w:lineRule="exact" w:before="116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 are actively seeking to recover costs from third parties in respect of EWS and reinforced concrete frames;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is no certainty regarding the extent of any financial recovery. </w:t>
      </w:r>
    </w:p>
    <w:p>
      <w:pPr>
        <w:autoSpaceDN w:val="0"/>
        <w:autoSpaceDE w:val="0"/>
        <w:widowControl/>
        <w:spacing w:line="235" w:lineRule="auto" w:before="20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Contingent liabilities related to subsidiaries </w:t>
      </w:r>
    </w:p>
    <w:p>
      <w:pPr>
        <w:autoSpaceDN w:val="0"/>
        <w:autoSpaceDE w:val="0"/>
        <w:widowControl/>
        <w:spacing w:line="250" w:lineRule="exact" w:before="54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has commitments for the purchase of trading stock entered into in the normal course of business, for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liability is recognised until the goods are received. </w:t>
      </w:r>
    </w:p>
    <w:p>
      <w:pPr>
        <w:autoSpaceDN w:val="0"/>
        <w:autoSpaceDE w:val="0"/>
        <w:widowControl/>
        <w:spacing w:line="248" w:lineRule="exact" w:before="120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Also in the normal course of business, the Group has given counter-indemnities in respect of performance bonds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guarantees. Management estimate that the bonds and guarantees amount to £596.9m (31 December 2023: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£435.6m; 30 June 2024: £419.9m), and confirm that at the date of these Interim Financial Statements the possibility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cash outflow is considered minimal. </w:t>
      </w:r>
    </w:p>
    <w:p>
      <w:pPr>
        <w:autoSpaceDN w:val="0"/>
        <w:autoSpaceDE w:val="0"/>
        <w:widowControl/>
        <w:spacing w:line="178" w:lineRule="exact" w:before="7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37 </w:t>
      </w:r>
    </w:p>
    <w:p>
      <w:pPr>
        <w:sectPr>
          <w:pgSz w:w="11906" w:h="16838"/>
          <w:pgMar w:top="354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Contingent liabilities related to joint ventures </w:t>
      </w:r>
    </w:p>
    <w:p>
      <w:pPr>
        <w:autoSpaceDN w:val="0"/>
        <w:autoSpaceDE w:val="0"/>
        <w:widowControl/>
        <w:spacing w:line="248" w:lineRule="exact" w:before="5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has given counter-indemnities in respect of performance bonds and financial guarantees to its joint ventures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totalling £10.4m (31 December 2023: £1.7m; 30 June 2024: £5.0m). </w:t>
      </w:r>
    </w:p>
    <w:p>
      <w:pPr>
        <w:autoSpaceDN w:val="0"/>
        <w:autoSpaceDE w:val="0"/>
        <w:widowControl/>
        <w:spacing w:line="248" w:lineRule="exact" w:before="120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has also given a number of performance guarantees in respect of the obligations of its joint ventures, requiring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to complete development agreement contractual obligations in the event that the joint ventures do not perform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>as required under the terms of the related contracts.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29 December 2024 the probability of any loss to the Group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resulting from these guarantees is considered to be remote. </w:t>
      </w:r>
    </w:p>
    <w:p>
      <w:pPr>
        <w:autoSpaceDN w:val="0"/>
        <w:autoSpaceDE w:val="0"/>
        <w:widowControl/>
        <w:spacing w:line="233" w:lineRule="auto" w:before="204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Contingent liabilities related to legal claims </w:t>
      </w:r>
    </w:p>
    <w:p>
      <w:pPr>
        <w:autoSpaceDN w:val="0"/>
        <w:autoSpaceDE w:val="0"/>
        <w:widowControl/>
        <w:spacing w:line="248" w:lineRule="exact" w:before="58" w:after="0"/>
        <w:ind w:left="14" w:right="3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 is made for the Directors’ best estimate of all known material legal claims and all legal actions in progress.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takes legal advice as to the likelihood of success of claims and actions and no provision is made (other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legal costs) where the Directors consider, based on such advice, that claims or actions are unlikely to succeed, or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sufficiently reliable estimate of the potential obligations cannot be made. </w:t>
      </w:r>
    </w:p>
    <w:p>
      <w:pPr>
        <w:autoSpaceDN w:val="0"/>
        <w:autoSpaceDE w:val="0"/>
        <w:widowControl/>
        <w:spacing w:line="222" w:lineRule="exact" w:before="8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were no contingent liabilities in respect of such claims at 29 December 2024, 31 December 2023 or 30 June 2024. </w:t>
      </w:r>
    </w:p>
    <w:p>
      <w:pPr>
        <w:autoSpaceDN w:val="0"/>
        <w:autoSpaceDE w:val="0"/>
        <w:widowControl/>
        <w:spacing w:line="233" w:lineRule="auto" w:before="20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Contingent liability in respect of the investigation by the Competition and Markets Authority </w:t>
      </w:r>
    </w:p>
    <w:p>
      <w:pPr>
        <w:autoSpaceDN w:val="0"/>
        <w:autoSpaceDE w:val="0"/>
        <w:widowControl/>
        <w:spacing w:line="248" w:lineRule="exact" w:before="58" w:after="388"/>
        <w:ind w:left="14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26 February 2024, the Competition and Markets Authority (CMA) launched an investigation under Chapter I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Competition Act 1998 into suspected breaches of competition law by eight housebuilders, relating to the exchange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competitively sensitive information. This includes both the Company and Redrow Limited (formerly Redrow plc) and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subsidiaries. We continue to co-operate with the CMA in its investigation. The timing of the conclusions of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investigation and any potential impact on the Group is unknown.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580"/>
      </w:tblGrid>
      <w:tr>
        <w:trPr>
          <w:trHeight w:hRule="exact" w:val="610"/>
        </w:trPr>
        <w:tc>
          <w:tcPr>
            <w:tcW w:type="dxa" w:w="10490"/>
            <w:tcBorders>
              <w:top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19.  Related party transactions </w:t>
            </w:r>
          </w:p>
        </w:tc>
      </w:tr>
    </w:tbl>
    <w:p>
      <w:pPr>
        <w:autoSpaceDN w:val="0"/>
        <w:autoSpaceDE w:val="0"/>
        <w:widowControl/>
        <w:spacing w:line="222" w:lineRule="exact" w:before="124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Related party transactions for the period to 29 December 2024 are detailed below: </w:t>
      </w:r>
    </w:p>
    <w:p>
      <w:pPr>
        <w:autoSpaceDN w:val="0"/>
        <w:autoSpaceDE w:val="0"/>
        <w:widowControl/>
        <w:spacing w:line="233" w:lineRule="auto" w:before="18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Transactions between the Group and its joint ventures </w:t>
      </w:r>
    </w:p>
    <w:p>
      <w:pPr>
        <w:autoSpaceDN w:val="0"/>
        <w:autoSpaceDE w:val="0"/>
        <w:widowControl/>
        <w:spacing w:line="222" w:lineRule="exact" w:before="68" w:after="12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has entered into transactions with its joint ventures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645"/>
        <w:gridCol w:w="2645"/>
        <w:gridCol w:w="2645"/>
        <w:gridCol w:w="2645"/>
      </w:tblGrid>
      <w:tr>
        <w:trPr>
          <w:trHeight w:hRule="exact" w:val="710"/>
        </w:trPr>
        <w:tc>
          <w:tcPr>
            <w:tcW w:type="dxa" w:w="5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1" w:lineRule="auto" w:before="32" w:after="0"/>
              <w:ind w:left="1332" w:right="0" w:hanging="116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326" w:right="0" w:hanging="11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76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5388"/>
            <w:tcBorders>
              <w:start w:sz="4.0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Transactions between the Group and its JVs during the period: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4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5388"/>
            <w:tcBorders>
              <w:start w:sz="4.0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Charges in respect of development management and other services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provided to JVs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7.7 </w:t>
            </w:r>
          </w:p>
        </w:tc>
        <w:tc>
          <w:tcPr>
            <w:tcW w:type="dxa" w:w="166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4.4 </w:t>
            </w:r>
          </w:p>
        </w:tc>
        <w:tc>
          <w:tcPr>
            <w:tcW w:type="dxa" w:w="16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</w:tr>
      <w:tr>
        <w:trPr>
          <w:trHeight w:hRule="exact" w:val="270"/>
        </w:trPr>
        <w:tc>
          <w:tcPr>
            <w:tcW w:type="dxa" w:w="5388"/>
            <w:tcBorders>
              <w:start w:sz="4.0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interest charges in respect of funding provided to JVs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1.3 </w:t>
            </w:r>
          </w:p>
        </w:tc>
        <w:tc>
          <w:tcPr>
            <w:tcW w:type="dxa" w:w="166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16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2.1 </w:t>
            </w:r>
          </w:p>
        </w:tc>
      </w:tr>
      <w:tr>
        <w:trPr>
          <w:trHeight w:hRule="exact" w:val="270"/>
        </w:trPr>
        <w:tc>
          <w:tcPr>
            <w:tcW w:type="dxa" w:w="5388"/>
            <w:tcBorders>
              <w:start w:sz="4.0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Profit distributions received from JVs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1.7 </w:t>
            </w:r>
          </w:p>
        </w:tc>
        <w:tc>
          <w:tcPr>
            <w:tcW w:type="dxa" w:w="166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16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7.1 </w:t>
            </w:r>
          </w:p>
        </w:tc>
      </w:tr>
      <w:tr>
        <w:trPr>
          <w:trHeight w:hRule="exact" w:val="270"/>
        </w:trPr>
        <w:tc>
          <w:tcPr>
            <w:tcW w:type="dxa" w:w="5388"/>
            <w:tcBorders>
              <w:start w:sz="4.0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Balances at the period end: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4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5388"/>
            <w:tcBorders>
              <w:start w:sz="4.0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Capital due from JVs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121.6 </w:t>
            </w:r>
          </w:p>
        </w:tc>
        <w:tc>
          <w:tcPr>
            <w:tcW w:type="dxa" w:w="166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85.1 </w:t>
            </w:r>
          </w:p>
        </w:tc>
        <w:tc>
          <w:tcPr>
            <w:tcW w:type="dxa" w:w="1694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105.3 </w:t>
            </w:r>
          </w:p>
        </w:tc>
      </w:tr>
      <w:tr>
        <w:trPr>
          <w:trHeight w:hRule="exact" w:val="272"/>
        </w:trPr>
        <w:tc>
          <w:tcPr>
            <w:tcW w:type="dxa" w:w="5388"/>
            <w:tcBorders>
              <w:start w:sz="4.0" w:val="single" w:color="#000000"/>
              <w:top w:sz="4.0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funding loans and interest due from JVs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75.2 </w:t>
            </w:r>
          </w:p>
        </w:tc>
        <w:tc>
          <w:tcPr>
            <w:tcW w:type="dxa" w:w="166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89.5 </w:t>
            </w:r>
          </w:p>
        </w:tc>
        <w:tc>
          <w:tcPr>
            <w:tcW w:type="dxa" w:w="1694"/>
            <w:tcBorders>
              <w:start w:sz="6.400000000000091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86.3 </w:t>
            </w:r>
          </w:p>
        </w:tc>
      </w:tr>
      <w:tr>
        <w:trPr>
          <w:trHeight w:hRule="exact" w:val="268"/>
        </w:trPr>
        <w:tc>
          <w:tcPr>
            <w:tcW w:type="dxa" w:w="5388"/>
            <w:tcBorders>
              <w:start w:sz="4.0" w:val="single" w:color="#000000"/>
              <w:top w:sz="3.199999999999818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amounts due from JVs </w:t>
            </w:r>
          </w:p>
        </w:tc>
        <w:tc>
          <w:tcPr>
            <w:tcW w:type="dxa" w:w="1680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25.2 </w:t>
            </w:r>
          </w:p>
        </w:tc>
        <w:tc>
          <w:tcPr>
            <w:tcW w:type="dxa" w:w="1666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26.2 </w:t>
            </w:r>
          </w:p>
        </w:tc>
        <w:tc>
          <w:tcPr>
            <w:tcW w:type="dxa" w:w="1694"/>
            <w:tcBorders>
              <w:start w:sz="6.400000000000091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27.8 </w:t>
            </w:r>
          </w:p>
        </w:tc>
      </w:tr>
      <w:tr>
        <w:trPr>
          <w:trHeight w:hRule="exact" w:val="272"/>
        </w:trPr>
        <w:tc>
          <w:tcPr>
            <w:tcW w:type="dxa" w:w="5388"/>
            <w:tcBorders>
              <w:start w:sz="4.0" w:val="single" w:color="#000000"/>
              <w:top w:sz="4.0" w:val="single" w:color="#D8D9D8"/>
              <w:end w:sz="6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and other amounts due to JVs </w:t>
            </w:r>
          </w:p>
        </w:tc>
        <w:tc>
          <w:tcPr>
            <w:tcW w:type="dxa" w:w="1680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(0.5) </w:t>
            </w:r>
          </w:p>
        </w:tc>
        <w:tc>
          <w:tcPr>
            <w:tcW w:type="dxa" w:w="1666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(0.9) </w:t>
            </w:r>
          </w:p>
        </w:tc>
        <w:tc>
          <w:tcPr>
            <w:tcW w:type="dxa" w:w="1694"/>
            <w:tcBorders>
              <w:start w:sz="6.400000000000091" w:val="single" w:color="#000000"/>
              <w:top w:sz="4.0" w:val="single" w:color="#D8D9D8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(0.6) </w:t>
            </w:r>
          </w:p>
        </w:tc>
      </w:tr>
    </w:tbl>
    <w:p>
      <w:pPr>
        <w:autoSpaceDN w:val="0"/>
        <w:autoSpaceDE w:val="0"/>
        <w:widowControl/>
        <w:spacing w:line="230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addition, one of the Group’s subsidiaries, BDW Trading Limited, contracts with a number of the Group’s joint ventures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provide construction services. </w:t>
      </w:r>
    </w:p>
    <w:p>
      <w:pPr>
        <w:autoSpaceDN w:val="0"/>
        <w:autoSpaceDE w:val="0"/>
        <w:widowControl/>
        <w:spacing w:line="222" w:lineRule="exact" w:before="12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Group’s contingent liabilities relating to its joint ventures are disclosed in note 18. </w:t>
      </w:r>
    </w:p>
    <w:p>
      <w:pPr>
        <w:autoSpaceDN w:val="0"/>
        <w:autoSpaceDE w:val="0"/>
        <w:widowControl/>
        <w:spacing w:line="233" w:lineRule="auto" w:before="18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Transactions between the Group and its Directors </w:t>
      </w:r>
    </w:p>
    <w:p>
      <w:pPr>
        <w:autoSpaceDN w:val="0"/>
        <w:autoSpaceDE w:val="0"/>
        <w:widowControl/>
        <w:spacing w:line="232" w:lineRule="exact" w:before="56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Board and certain members of senior management are related parties within the definition of IAS 24 (Revised)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‘Related Party Disclosures’ and Chapter 11 of the UK Listing Rules. </w:t>
      </w:r>
    </w:p>
    <w:p>
      <w:pPr>
        <w:autoSpaceDN w:val="0"/>
        <w:autoSpaceDE w:val="0"/>
        <w:widowControl/>
        <w:spacing w:line="230" w:lineRule="exact" w:before="118" w:after="0"/>
        <w:ind w:left="14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 between the Group and key management personnel in the first half of the year ending 30 June 2025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to those relating to remuneration. During the period, following the acquisition of Redrow plc, Matthew Pratt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appointed as an Executive Director and Nicky Dulieu and Geeta Nanda appointed as Non-Executive Directors.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remuneration recognised in respect of these individuals in the period was £0.8m. Remuneration arrangements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key management personal were previously disclosed as part of the Remuneration report within the Group’s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 and Accounts for the year ended 30 June 2024. Options granted to executives and senior management under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LTPP and DBP schemes are disclosed in aggregate in note 16. There have been no other material changes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arrangements between the Group and key management personnel. </w:t>
      </w:r>
    </w:p>
    <w:p>
      <w:pPr>
        <w:autoSpaceDN w:val="0"/>
        <w:autoSpaceDE w:val="0"/>
        <w:widowControl/>
        <w:spacing w:line="230" w:lineRule="exact" w:before="1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have been no related party transactions during the period that require disclosure under Section 4.2.8 (R)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and Transparency Rules. </w:t>
      </w:r>
    </w:p>
    <w:p>
      <w:pPr>
        <w:autoSpaceDN w:val="0"/>
        <w:autoSpaceDE w:val="0"/>
        <w:widowControl/>
        <w:spacing w:line="178" w:lineRule="exact" w:before="17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38 </w:t>
      </w:r>
    </w:p>
    <w:p>
      <w:pPr>
        <w:sectPr>
          <w:pgSz w:w="11906" w:h="16838"/>
          <w:pgMar w:top="358" w:right="632" w:bottom="216" w:left="6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Statement of Directors’ Responsibilities</w:t>
      </w:r>
    </w:p>
    <w:p>
      <w:pPr>
        <w:autoSpaceDN w:val="0"/>
        <w:autoSpaceDE w:val="0"/>
        <w:widowControl/>
        <w:spacing w:line="230" w:lineRule="exact" w:before="256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Directors confirm that to the best of their knowledge these Interim Financial Statements have been prepared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IAS 34 as adopted by the UK. They also confirm that to the best of their knowledge that the Interim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 Report herein includes a fair review of the information required by DTR 4.2.7R (indication of important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events during the first 26 weeks and description of principal risks and uncertainties for the remaining 26 weeks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year) and DTR 4.2.8R (disclosure of related party transactions and changes thereto). </w:t>
      </w:r>
    </w:p>
    <w:p>
      <w:pPr>
        <w:autoSpaceDN w:val="0"/>
        <w:autoSpaceDE w:val="0"/>
        <w:widowControl/>
        <w:spacing w:line="222" w:lineRule="exact" w:before="2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Directors of Barratt Redrow plc (formerly Barratt Developments PLC) are: </w:t>
      </w:r>
    </w:p>
    <w:p>
      <w:pPr>
        <w:autoSpaceDN w:val="0"/>
        <w:autoSpaceDE w:val="0"/>
        <w:widowControl/>
        <w:spacing w:line="230" w:lineRule="exact" w:before="120" w:after="0"/>
        <w:ind w:left="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F Thomas, Chief Executive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 J Boyes, Deputy Chief Executive and Chief Operating Officer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 I Scott, Chief Financial Officer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 J Pratt, Redrow Chief Executive and Group Executive Director (appointed 4 October 2024)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 F Lennox, Senior Independent Director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 Bickerstaffe, Non-Executive Director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 J Dulieu, Non-Executive Director (appointed 4 October 2024)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 H Halai, Non-Executive Director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 Nanda, Non-Executive Director (appointed 4 October 2024)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 L Silver, Non-Executive Chair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 M Webb, Non-Executive Director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 P A Weston, Non-Executive Director </w:t>
      </w:r>
    </w:p>
    <w:p>
      <w:pPr>
        <w:autoSpaceDN w:val="0"/>
        <w:autoSpaceDE w:val="0"/>
        <w:widowControl/>
        <w:spacing w:line="222" w:lineRule="exact" w:before="6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Interim Financial Report was approved by the Board on 11 February 2025 and signed on its behalf by </w:t>
      </w:r>
    </w:p>
    <w:p>
      <w:pPr>
        <w:autoSpaceDN w:val="0"/>
        <w:autoSpaceDE w:val="0"/>
        <w:widowControl/>
        <w:spacing w:line="222" w:lineRule="exact" w:before="6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D F Thomas</w:t>
      </w:r>
    </w:p>
    <w:p>
      <w:pPr>
        <w:autoSpaceDN w:val="0"/>
        <w:autoSpaceDE w:val="0"/>
        <w:widowControl/>
        <w:spacing w:line="233" w:lineRule="auto" w:before="24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Chief Executive </w:t>
      </w:r>
    </w:p>
    <w:p>
      <w:pPr>
        <w:autoSpaceDN w:val="0"/>
        <w:autoSpaceDE w:val="0"/>
        <w:widowControl/>
        <w:spacing w:line="178" w:lineRule="exact" w:before="82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39 </w:t>
      </w:r>
    </w:p>
    <w:p>
      <w:pPr>
        <w:sectPr>
          <w:pgSz w:w="11906" w:h="16838"/>
          <w:pgMar w:top="326" w:right="632" w:bottom="216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Independent review report to Barratt Redrow plc (formerly Barratt Developments PLC)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Conclusion </w:t>
      </w:r>
    </w:p>
    <w:p>
      <w:pPr>
        <w:autoSpaceDN w:val="0"/>
        <w:autoSpaceDE w:val="0"/>
        <w:widowControl/>
        <w:spacing w:line="230" w:lineRule="exact" w:before="118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 have been engaged by the company to review the condensed set of financial statements in the Interim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 for the 26 weeks ended 29 December 2024 which comprises the Condensed Consolidated Income Statement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Statement of Comprehensive Income, the Condensed Consolidated Statement of Changes in Shareholders’ Equity,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Condensed Consolidated Balance Sheet, the Condensed Consolidated Cash Flow Statement and related notes 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19. </w:t>
      </w:r>
    </w:p>
    <w:p>
      <w:pPr>
        <w:autoSpaceDN w:val="0"/>
        <w:autoSpaceDE w:val="0"/>
        <w:widowControl/>
        <w:spacing w:line="230" w:lineRule="exact" w:before="120" w:after="0"/>
        <w:ind w:left="0" w:right="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our review, nothing has come to our attention that causes us to believe that the condensed set of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statements in the Interim Financial Report for the 26 weeks ended 29 December 2024 is not prepared, in all material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respects, in accordance with United Kingdom adopted International Accounting Standard 34 and the Disclosure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Guidance and Transparency Rules of the United Kingdom’s Financial Conduct Authority. </w:t>
      </w:r>
    </w:p>
    <w:p>
      <w:pPr>
        <w:autoSpaceDN w:val="0"/>
        <w:autoSpaceDE w:val="0"/>
        <w:widowControl/>
        <w:spacing w:line="233" w:lineRule="auto" w:before="13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Basis for conclusion </w:t>
      </w:r>
    </w:p>
    <w:p>
      <w:pPr>
        <w:autoSpaceDN w:val="0"/>
        <w:autoSpaceDE w:val="0"/>
        <w:widowControl/>
        <w:spacing w:line="230" w:lineRule="exact" w:before="120" w:after="0"/>
        <w:ind w:left="0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 conducted our review in accordance with International Standard on Review Engagements (UK) 2410 “Review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Interim Financial Information Performed by the Independent Auditor of the Entity” issued by the Financial Reporting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Council for use in the United Kingdom (ISRE (UK) 2410). A review of interim financial information consists of making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inquiries, primarily of persons responsible for financial and accounting matters, and applying analytical and other review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procedures. A review is substantially less in scope than an audit conducted in accordance with International Standards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Auditing (UK) and consequently does not enable us to obtain assurance that we would become aware of all significant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matters that might be identified in an audit. Accordingly, we do not express an audit opinion. </w:t>
      </w:r>
    </w:p>
    <w:p>
      <w:pPr>
        <w:autoSpaceDN w:val="0"/>
        <w:autoSpaceDE w:val="0"/>
        <w:widowControl/>
        <w:spacing w:line="230" w:lineRule="exact" w:before="120" w:after="0"/>
        <w:ind w:left="0" w:right="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disclosed in note 1, the annual financial statements of the Group are prepared in accordance with United Kingdom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adopted international accounting standards. The condensed set of financial statements included in this Interim Financial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 has been prepared in accordance with United Kingdom adopted International Accounting Standard 34, “Interim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Reporting”.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Conclusion relating to going concern </w:t>
      </w:r>
    </w:p>
    <w:p>
      <w:pPr>
        <w:autoSpaceDN w:val="0"/>
        <w:autoSpaceDE w:val="0"/>
        <w:widowControl/>
        <w:spacing w:line="230" w:lineRule="exact" w:before="120" w:after="0"/>
        <w:ind w:left="0" w:right="3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our review procedures, which are less extensive than those performed in an audit as described in the Basis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Conclusion section of this report, nothing has come to our attention to suggest that the directors have inappropriately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adopted the going concern basis of accounting or that the directors have identified material uncertainties relating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going concern that are not appropriately disclosed. </w:t>
      </w:r>
    </w:p>
    <w:p>
      <w:pPr>
        <w:autoSpaceDN w:val="0"/>
        <w:autoSpaceDE w:val="0"/>
        <w:widowControl/>
        <w:spacing w:line="23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Conclusion is based on the review procedures performed in accordance with ISRE (UK) 2410; however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events or conditions may cause the entity to cease to continue as a going concern.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Responsibilities of the Directors </w:t>
      </w:r>
    </w:p>
    <w:p>
      <w:pPr>
        <w:autoSpaceDN w:val="0"/>
        <w:autoSpaceDE w:val="0"/>
        <w:widowControl/>
        <w:spacing w:line="230" w:lineRule="exact" w:before="1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directors are responsible for preparing the Interim Financial Report in accordance with the Disclosure Guidance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Transparency Rules of the United Kingdom’s Financial Conduct Authority. </w:t>
      </w:r>
    </w:p>
    <w:p>
      <w:pPr>
        <w:autoSpaceDN w:val="0"/>
        <w:autoSpaceDE w:val="0"/>
        <w:widowControl/>
        <w:spacing w:line="230" w:lineRule="exact" w:before="122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preparing the Interim Financial Report, the directors are responsible for assessing the Group’s ability to continue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going concern, disclosing as applicable, matters related to going concern and using the going concern basis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accounting unless the directors either intend to liquidate the company or to cease operations, or have no realistic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alternative but to do so. </w:t>
      </w:r>
    </w:p>
    <w:p>
      <w:pPr>
        <w:autoSpaceDN w:val="0"/>
        <w:autoSpaceDE w:val="0"/>
        <w:widowControl/>
        <w:spacing w:line="233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Auditor’s responsibilities for the review of the financial information </w:t>
      </w:r>
    </w:p>
    <w:p>
      <w:pPr>
        <w:autoSpaceDN w:val="0"/>
        <w:autoSpaceDE w:val="0"/>
        <w:widowControl/>
        <w:spacing w:line="230" w:lineRule="exact" w:before="118" w:after="0"/>
        <w:ind w:left="0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reviewing the Interim Financial Report, we are responsible for expressing to the company a conclusion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condensed set of financial statements in the Interim Financial Report. Our Conclusion, including our Conclusion relating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going concern, are based on procedures that are less extensive than audit procedures, as described in the Basis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conclusion paragraph of this report. </w:t>
      </w:r>
    </w:p>
    <w:p>
      <w:pPr>
        <w:autoSpaceDN w:val="0"/>
        <w:autoSpaceDE w:val="0"/>
        <w:widowControl/>
        <w:spacing w:line="235" w:lineRule="auto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Use of our report </w:t>
      </w:r>
    </w:p>
    <w:p>
      <w:pPr>
        <w:autoSpaceDN w:val="0"/>
        <w:autoSpaceDE w:val="0"/>
        <w:widowControl/>
        <w:spacing w:line="230" w:lineRule="exact" w:before="118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report is made solely to the company in accordance with ISRE (UK) 2410. Our work has been undertaken so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 might state to the company those matters we are required to state to it in an independent review report and for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purpose. To the fullest extent permitted by law, we do not accept or assume responsibility to anyone other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>the company, for our review work, for this report, or for the conclusions we have formed.</w:t>
      </w:r>
    </w:p>
    <w:p>
      <w:pPr>
        <w:autoSpaceDN w:val="0"/>
        <w:autoSpaceDE w:val="0"/>
        <w:widowControl/>
        <w:spacing w:line="230" w:lineRule="exact" w:before="460" w:after="0"/>
        <w:ind w:left="0" w:right="820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Deloitte LLP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Statutory Auditor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London, United Kingdom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February 2025 </w:t>
      </w:r>
    </w:p>
    <w:p>
      <w:pPr>
        <w:autoSpaceDN w:val="0"/>
        <w:autoSpaceDE w:val="0"/>
        <w:widowControl/>
        <w:spacing w:line="180" w:lineRule="exact" w:before="65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sectPr>
          <w:pgSz w:w="11906" w:h="16841"/>
          <w:pgMar w:top="714" w:right="632" w:bottom="21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233" w:lineRule="auto" w:before="0" w:after="14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Glossary &amp; Definitions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255"/>
        <w:gridCol w:w="5255"/>
      </w:tblGrid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3.1999999999999886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Active outlet </w:t>
            </w:r>
          </w:p>
        </w:tc>
        <w:tc>
          <w:tcPr>
            <w:tcW w:type="dxa" w:w="8642"/>
            <w:tcBorders>
              <w:start w:sz="4.0" w:val="single" w:color="#000000"/>
              <w:top w:sz="3.1999999999999886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site with at least one plot for sale </w:t>
            </w:r>
          </w:p>
        </w:tc>
      </w:tr>
      <w:tr>
        <w:trPr>
          <w:trHeight w:hRule="exact" w:val="280"/>
        </w:trPr>
        <w:tc>
          <w:tcPr>
            <w:tcW w:type="dxa" w:w="18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APMs </w:t>
            </w:r>
          </w:p>
        </w:tc>
        <w:tc>
          <w:tcPr>
            <w:tcW w:type="dxa" w:w="86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Alternative performance measures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ASP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Average selling price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CMA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Competition and Markets Authority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DBP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Deferred Bonus Plan </w:t>
            </w:r>
          </w:p>
        </w:tc>
      </w:tr>
      <w:tr>
        <w:trPr>
          <w:trHeight w:hRule="exact" w:val="48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Dividend cover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Calculated as the ratio of the Group’s profit or loss for the period attributable to the owners of the Company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 total ordinary dividend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DTR </w:t>
            </w:r>
          </w:p>
        </w:tc>
        <w:tc>
          <w:tcPr>
            <w:tcW w:type="dxa" w:w="86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Disclosure Guidance and Transparency Rules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Barratt EBT </w:t>
            </w:r>
          </w:p>
        </w:tc>
        <w:tc>
          <w:tcPr>
            <w:tcW w:type="dxa" w:w="86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Barratt Developments Employee Benefit Trust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ELTIP </w:t>
            </w:r>
          </w:p>
        </w:tc>
        <w:tc>
          <w:tcPr>
            <w:tcW w:type="dxa" w:w="8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Employee Long Term Incentive Plan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EPC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Energy Performance Certificate </w:t>
            </w:r>
          </w:p>
        </w:tc>
      </w:tr>
      <w:tr>
        <w:trPr>
          <w:trHeight w:hRule="exact" w:val="28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EPS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Earnings per share </w:t>
            </w:r>
          </w:p>
        </w:tc>
      </w:tr>
      <w:tr>
        <w:trPr>
          <w:trHeight w:hRule="exact" w:val="27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EWS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External Wall System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FRAEW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Fire Risk Assessment of External Walls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FY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Refers to the financial year ended 30 June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HBF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Home Builders Federation </w:t>
            </w:r>
          </w:p>
        </w:tc>
      </w:tr>
      <w:tr>
        <w:trPr>
          <w:trHeight w:hRule="exact" w:val="28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HY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Refers to the 26 weeks ended 29 December of half year ended 31 December, as appropriate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IAS </w:t>
            </w:r>
          </w:p>
        </w:tc>
        <w:tc>
          <w:tcPr>
            <w:tcW w:type="dxa" w:w="86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International Accounting Standards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IFE </w:t>
            </w:r>
          </w:p>
        </w:tc>
        <w:tc>
          <w:tcPr>
            <w:tcW w:type="dxa" w:w="8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Institute of Fire Engineers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IFRS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International Financial Reporting Standards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IIR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Injury Incident Rate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JVs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Joint ventures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KPI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Key performance indicator </w:t>
            </w:r>
          </w:p>
        </w:tc>
      </w:tr>
      <w:tr>
        <w:trPr>
          <w:trHeight w:hRule="exact" w:val="69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 supply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4" w:right="5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Land supply is calculated as total owned (owned land and land subject to unconditional contracts)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controlled (land subject to conditional contracts) land bank plots divided by wholly owned completions 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last 12 months </w:t>
            </w:r>
          </w:p>
        </w:tc>
      </w:tr>
      <w:tr>
        <w:trPr>
          <w:trHeight w:hRule="exact" w:val="482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Legacy property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 property constructed by the Group or one of its joint ventures for which the sale was completed in a prior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period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LTPP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Long Term Performance Plan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MMC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Modern methods of construction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MUS </w:t>
            </w:r>
          </w:p>
        </w:tc>
        <w:tc>
          <w:tcPr>
            <w:tcW w:type="dxa" w:w="8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Multi-unit sales </w:t>
            </w:r>
          </w:p>
        </w:tc>
      </w:tr>
      <w:tr>
        <w:trPr>
          <w:trHeight w:hRule="exact" w:val="486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Net cash </w:t>
            </w:r>
          </w:p>
        </w:tc>
        <w:tc>
          <w:tcPr>
            <w:tcW w:type="dxa" w:w="8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Net cash / debt is defined as cash and cash equivalents, bank overdrafts, interest bearing borrowings,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prepaid fees and foreign exchange swaps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Net tangible assets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Group net assets less other intangible assets and goodwill </w:t>
            </w:r>
          </w:p>
        </w:tc>
      </w:tr>
      <w:tr>
        <w:trPr>
          <w:trHeight w:hRule="exact" w:val="27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NHBC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National House Building Council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NHQC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New Homes Quality Code </w:t>
            </w:r>
          </w:p>
        </w:tc>
      </w:tr>
      <w:tr>
        <w:trPr>
          <w:trHeight w:hRule="exact" w:val="692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PPA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6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Purchase price allocation, being the assignment of the consideration paid for Redrow plc to the assets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acquired and liabilities assumed in the consolidated Group Financial Statements in order to recognise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assets and liabilities at their acquisition-date fair value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Private Rental Sector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RCF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Revolving Credit Facility </w:t>
            </w:r>
          </w:p>
        </w:tc>
      </w:tr>
      <w:tr>
        <w:trPr>
          <w:trHeight w:hRule="exact" w:val="27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Redrow EBT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Redrow Employee Benefit Trust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RI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Reportable Items </w:t>
            </w:r>
          </w:p>
        </w:tc>
      </w:tr>
      <w:tr>
        <w:trPr>
          <w:trHeight w:hRule="exact" w:val="89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ROCE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Return on capital employed calculated as earnings before amortisation, interest, tax, operating charges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relating to the defined benefit pension scheme and operating adjusting or exceptional items, divided by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average net assets adjusted for goodwill and intangibles, tax, cash, loans and borrowings, retirement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benefit assets/obligations and provisions in relation to legacy properties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RPDT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Residential Property Developer Tax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SBTI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Science Based Targets Initiative </w:t>
            </w:r>
          </w:p>
        </w:tc>
      </w:tr>
      <w:tr>
        <w:trPr>
          <w:trHeight w:hRule="exact" w:val="280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Sharesave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Savings-Related Share Option Scheme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SHE </w:t>
            </w:r>
          </w:p>
        </w:tc>
        <w:tc>
          <w:tcPr>
            <w:tcW w:type="dxa" w:w="86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Safety, Health and the Environment </w:t>
            </w:r>
          </w:p>
        </w:tc>
      </w:tr>
      <w:tr>
        <w:trPr>
          <w:trHeight w:hRule="exact" w:val="280"/>
        </w:trPr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Company </w:t>
            </w:r>
          </w:p>
        </w:tc>
        <w:tc>
          <w:tcPr>
            <w:tcW w:type="dxa" w:w="8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Barratt Redrow plc (formerly Barratt Developments PLC) </w:t>
            </w:r>
          </w:p>
        </w:tc>
      </w:tr>
      <w:tr>
        <w:trPr>
          <w:trHeight w:hRule="exact" w:val="274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Group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Barratt Redrow plc (formerly Barratt Developments PLC) and its subsidiary undertakings </w:t>
            </w:r>
          </w:p>
        </w:tc>
      </w:tr>
      <w:tr>
        <w:trPr>
          <w:trHeight w:hRule="exact" w:val="278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Scheme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Redrow Staff Pension Scheme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Total completions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Unless otherwise stated total completions quoted include JV completions </w:t>
            </w:r>
          </w:p>
        </w:tc>
      </w:tr>
      <w:tr>
        <w:trPr>
          <w:trHeight w:hRule="exact" w:val="276"/>
        </w:trPr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USPP </w:t>
            </w:r>
          </w:p>
        </w:tc>
        <w:tc>
          <w:tcPr>
            <w:tcW w:type="dxa" w:w="8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US Private Placement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sectPr>
          <w:pgSz w:w="11906" w:h="16838"/>
          <w:pgMar w:top="358" w:right="688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Definitions of alternative performance measures (‘APMs’) and reconciliation to IFRS </w:t>
      </w:r>
    </w:p>
    <w:p>
      <w:pPr>
        <w:autoSpaceDN w:val="0"/>
        <w:autoSpaceDE w:val="0"/>
        <w:widowControl/>
        <w:spacing w:line="230" w:lineRule="exact" w:before="230" w:after="0"/>
        <w:ind w:left="0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 uses a number of APMs that are not defined within IFRS. The Directors use these APMs, along with IFRS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measures, to assess the operational performance of the Group as detailed in the 2024 Annual Report and Accounts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key performance indicators section of the Strategic Report on pages 12 to 15. In this period, new APMs have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introduced to allow for the assessment of the performance of the combined Group by removing the impact of acquisition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accounting adjustments that are not reflected in historical comparative information and will not be reflected in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 after the associated assets and liabilities are realised. </w:t>
      </w:r>
    </w:p>
    <w:p>
      <w:pPr>
        <w:autoSpaceDN w:val="0"/>
        <w:autoSpaceDE w:val="0"/>
        <w:widowControl/>
        <w:spacing w:line="230" w:lineRule="exact" w:before="1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APMs may not be directly comparable with similarly titled measures reported by other companies and they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intended to be a substitute for, or superior to, IFRS measures. </w:t>
      </w:r>
    </w:p>
    <w:p>
      <w:pPr>
        <w:autoSpaceDN w:val="0"/>
        <w:autoSpaceDE w:val="0"/>
        <w:widowControl/>
        <w:spacing w:line="230" w:lineRule="exact" w:before="120" w:after="0"/>
        <w:ind w:left="0" w:right="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Definitions of adjusted items are presented in note 4 and adjusted performance measures are reconciled to IFRS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 on page 19. Definitions and reconciliations of the other financial APMs used to IFRS measures are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below: </w:t>
      </w:r>
    </w:p>
    <w:p>
      <w:pPr>
        <w:autoSpaceDN w:val="0"/>
        <w:autoSpaceDE w:val="0"/>
        <w:widowControl/>
        <w:spacing w:line="230" w:lineRule="exact" w:before="120" w:after="116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Adjusted gross profit before the impact of purchase price allocation (‘PPA’) adjustments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adjusted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gross profit presented as if the assets and liabilities recognised as a result of the acquisition of Redrow plc had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initially measured at their carrying values in the underlying Redrow financial records, rather than at their fair values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IFRS 3. Fair value adjustments to inventories unwind through the income statement, affecting reported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1094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4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4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34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28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gross profit per table below Income Statement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338.7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689.0 </w:t>
            </w:r>
          </w:p>
        </w:tc>
      </w:tr>
      <w:tr>
        <w:trPr>
          <w:trHeight w:hRule="exact" w:val="572"/>
        </w:trPr>
        <w:tc>
          <w:tcPr>
            <w:tcW w:type="dxa" w:w="5468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Impact on gross profit of the initial measurement of Redrow assets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liabilities at fair value at the acquisition date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47.9 </w:t>
            </w:r>
          </w:p>
        </w:tc>
        <w:tc>
          <w:tcPr>
            <w:tcW w:type="dxa" w:w="1672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28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gross profit before the impact of PPA adjustments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386.6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689.0 </w:t>
            </w:r>
          </w:p>
        </w:tc>
      </w:tr>
    </w:tbl>
    <w:p>
      <w:pPr>
        <w:autoSpaceDN w:val="0"/>
        <w:autoSpaceDE w:val="0"/>
        <w:widowControl/>
        <w:spacing w:line="232" w:lineRule="exact" w:before="346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Adjusted administrative expenses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defined as administrative expenses less total adjusted items in administrative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expenses as defined in note 4: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1090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0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3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3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28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expenses per Income Statement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225.6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336.9 </w:t>
            </w:r>
          </w:p>
        </w:tc>
      </w:tr>
      <w:tr>
        <w:trPr>
          <w:trHeight w:hRule="exact" w:val="330"/>
        </w:trPr>
        <w:tc>
          <w:tcPr>
            <w:tcW w:type="dxa" w:w="5468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items in administrative expenses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49.9 </w:t>
            </w:r>
          </w:p>
        </w:tc>
        <w:tc>
          <w:tcPr>
            <w:tcW w:type="dxa" w:w="1672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administrative expenses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275.5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359.3 </w:t>
            </w:r>
          </w:p>
        </w:tc>
      </w:tr>
    </w:tbl>
    <w:p>
      <w:pPr>
        <w:autoSpaceDN w:val="0"/>
        <w:autoSpaceDE w:val="0"/>
        <w:widowControl/>
        <w:spacing w:line="230" w:lineRule="exact" w:before="346" w:after="12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Adjusted operating profit before the impact of PPA adjustments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defined as adjusted operating profit presented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if the assets and liabilities recognised as a result of the acquisition of Redrow plc had been initially measured at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carrying values in the underlying Redrow financial records, rather than at their fair values in accordance with IFRS 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1090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2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33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33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operating profit per table below Income Statement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163.9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155.2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376.6 </w:t>
            </w:r>
          </w:p>
        </w:tc>
      </w:tr>
      <w:tr>
        <w:trPr>
          <w:trHeight w:hRule="exact" w:val="568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Impact on operating profit of the initial measurement of Redrow assets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liabilities at fair value at the acquisition date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47.9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operating profit before the impact of PPA adjustments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211.8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155.2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376.6 </w:t>
            </w:r>
          </w:p>
        </w:tc>
      </w:tr>
    </w:tbl>
    <w:p>
      <w:pPr>
        <w:autoSpaceDN w:val="0"/>
        <w:autoSpaceDE w:val="0"/>
        <w:widowControl/>
        <w:spacing w:line="178" w:lineRule="exact" w:before="173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42</w:t>
      </w:r>
    </w:p>
    <w:p>
      <w:pPr>
        <w:sectPr>
          <w:pgSz w:w="11906" w:h="16838"/>
          <w:pgMar w:top="358" w:right="632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8" w:lineRule="exact" w:before="0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Adjusted profit before tax before the impact of PPA adjustments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defined as adjusted profit before tax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presented as if the assets and liabilities recognised as a result of the acquisition of Redrow plc had been initially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measured at their carrying values in the underlying Redrow financial records, rather than at their fair values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accordance with IFRS 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8"/>
        <w:gridCol w:w="2638"/>
        <w:gridCol w:w="2638"/>
        <w:gridCol w:w="2638"/>
      </w:tblGrid>
      <w:tr>
        <w:trPr>
          <w:trHeight w:hRule="exact" w:val="1088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2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0" w:lineRule="auto" w:before="34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78" w:lineRule="exact" w:before="34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30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profit before tax per table below Income Statement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167.1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157.1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385.0 </w:t>
            </w:r>
          </w:p>
        </w:tc>
      </w:tr>
      <w:tr>
        <w:trPr>
          <w:trHeight w:hRule="exact" w:val="570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Impact on profit before tax profit of the initial measurement of Redrow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assets and liabilities at fair value at the acquisition date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50.4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profit before tax before the impact of PPA adjustments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217.5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157.1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385.0 </w:t>
            </w:r>
          </w:p>
        </w:tc>
      </w:tr>
    </w:tbl>
    <w:p>
      <w:pPr>
        <w:autoSpaceDN w:val="0"/>
        <w:autoSpaceDE w:val="0"/>
        <w:widowControl/>
        <w:spacing w:line="222" w:lineRule="exact" w:before="356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Gross margin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gross profit divided by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8"/>
        <w:gridCol w:w="2638"/>
        <w:gridCol w:w="2638"/>
        <w:gridCol w:w="2638"/>
      </w:tblGrid>
      <w:tr>
        <w:trPr>
          <w:trHeight w:hRule="exact" w:val="848"/>
        </w:trPr>
        <w:tc>
          <w:tcPr>
            <w:tcW w:type="dxa" w:w="54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2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28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profit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338.7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238.5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509.5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Gross margin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14.9%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12.9%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12.2% </w:t>
            </w:r>
          </w:p>
        </w:tc>
      </w:tr>
    </w:tbl>
    <w:p>
      <w:pPr>
        <w:autoSpaceDN w:val="0"/>
        <w:autoSpaceDE w:val="0"/>
        <w:widowControl/>
        <w:spacing w:line="222" w:lineRule="exact" w:before="360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Adjusted gross margin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adjusted gross profit divided by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8"/>
        <w:gridCol w:w="2638"/>
        <w:gridCol w:w="2638"/>
        <w:gridCol w:w="2638"/>
      </w:tblGrid>
      <w:tr>
        <w:trPr>
          <w:trHeight w:hRule="exact" w:val="848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0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30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30"/>
        </w:trPr>
        <w:tc>
          <w:tcPr>
            <w:tcW w:type="dxa" w:w="5468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gross profit per table below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338.7 </w:t>
            </w:r>
          </w:p>
        </w:tc>
        <w:tc>
          <w:tcPr>
            <w:tcW w:type="dxa" w:w="1672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295.9 </w:t>
            </w:r>
          </w:p>
        </w:tc>
        <w:tc>
          <w:tcPr>
            <w:tcW w:type="dxa" w:w="1670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689.0 </w:t>
            </w:r>
          </w:p>
        </w:tc>
      </w:tr>
      <w:tr>
        <w:trPr>
          <w:trHeight w:hRule="exact" w:val="334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gross margin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14.9%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16.0%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16.5% </w:t>
            </w:r>
          </w:p>
        </w:tc>
      </w:tr>
    </w:tbl>
    <w:p>
      <w:pPr>
        <w:autoSpaceDN w:val="0"/>
        <w:autoSpaceDE w:val="0"/>
        <w:widowControl/>
        <w:spacing w:line="230" w:lineRule="exact" w:before="344" w:after="124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Adjusted gross margin before the impact of PPA adjustments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defined as adjusted gross profit excluding PPA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divided by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8"/>
        <w:gridCol w:w="2638"/>
        <w:gridCol w:w="2638"/>
        <w:gridCol w:w="2638"/>
      </w:tblGrid>
      <w:tr>
        <w:trPr>
          <w:trHeight w:hRule="exact" w:val="848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8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76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34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26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gross profit before the impact of PPA adjustments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386.6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689.0 </w:t>
            </w:r>
          </w:p>
        </w:tc>
      </w:tr>
      <w:tr>
        <w:trPr>
          <w:trHeight w:hRule="exact" w:val="334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gross margin before the impact of PPA adjustments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17.0%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16.0%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16.5% </w:t>
            </w:r>
          </w:p>
        </w:tc>
      </w:tr>
    </w:tbl>
    <w:p>
      <w:pPr>
        <w:autoSpaceDN w:val="0"/>
        <w:autoSpaceDE w:val="0"/>
        <w:widowControl/>
        <w:spacing w:line="222" w:lineRule="exact" w:before="356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Operating margin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operating profit divided by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38"/>
        <w:gridCol w:w="2638"/>
        <w:gridCol w:w="2638"/>
        <w:gridCol w:w="2638"/>
      </w:tblGrid>
      <w:tr>
        <w:trPr>
          <w:trHeight w:hRule="exact" w:val="854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2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536" w:right="0" w:firstLine="18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30 June 2024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26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34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Operating profit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114.0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174.7 </w:t>
            </w:r>
          </w:p>
        </w:tc>
      </w:tr>
      <w:tr>
        <w:trPr>
          <w:trHeight w:hRule="exact" w:val="326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Operating margin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5.0%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5.3%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4.2% </w:t>
            </w:r>
          </w:p>
        </w:tc>
      </w:tr>
    </w:tbl>
    <w:p>
      <w:pPr>
        <w:autoSpaceDN w:val="0"/>
        <w:autoSpaceDE w:val="0"/>
        <w:widowControl/>
        <w:spacing w:line="178" w:lineRule="exact" w:before="144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43</w:t>
      </w:r>
    </w:p>
    <w:p>
      <w:pPr>
        <w:sectPr>
          <w:pgSz w:w="11906" w:h="16838"/>
          <w:pgMar w:top="358" w:right="646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4" w:lineRule="exact" w:before="0" w:after="15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Adjusted operating margin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adjusted operating profit divided by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848"/>
        </w:trPr>
        <w:tc>
          <w:tcPr>
            <w:tcW w:type="dxa" w:w="5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0" w:after="0"/>
              <w:ind w:left="158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536" w:right="0" w:firstLine="18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30 June 2024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32"/>
        </w:trPr>
        <w:tc>
          <w:tcPr>
            <w:tcW w:type="dxa" w:w="546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per Income Statement (£m) </w:t>
            </w:r>
          </w:p>
        </w:tc>
        <w:tc>
          <w:tcPr>
            <w:tcW w:type="dxa" w:w="1672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28"/>
        </w:trPr>
        <w:tc>
          <w:tcPr>
            <w:tcW w:type="dxa" w:w="546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operating profit per table below Income Statement (£m) </w:t>
            </w:r>
          </w:p>
        </w:tc>
        <w:tc>
          <w:tcPr>
            <w:tcW w:type="dxa" w:w="1672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163.9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155.2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376.6 </w:t>
            </w:r>
          </w:p>
        </w:tc>
      </w:tr>
      <w:tr>
        <w:trPr>
          <w:trHeight w:hRule="exact" w:val="332"/>
        </w:trPr>
        <w:tc>
          <w:tcPr>
            <w:tcW w:type="dxa" w:w="546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operating margin </w:t>
            </w:r>
          </w:p>
        </w:tc>
        <w:tc>
          <w:tcPr>
            <w:tcW w:type="dxa" w:w="1672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7.2%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8.4%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9.0% </w:t>
            </w:r>
          </w:p>
        </w:tc>
      </w:tr>
    </w:tbl>
    <w:p>
      <w:pPr>
        <w:autoSpaceDN w:val="0"/>
        <w:autoSpaceDE w:val="0"/>
        <w:widowControl/>
        <w:spacing w:line="230" w:lineRule="exact" w:before="348" w:after="12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Adjusted operating margin before PPA adjustments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adjusted operating profit excluding PPA divided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852"/>
        </w:trPr>
        <w:tc>
          <w:tcPr>
            <w:tcW w:type="dxa" w:w="54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4" w:after="0"/>
              <w:ind w:left="156" w:right="0" w:firstLine="17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96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536" w:right="0" w:firstLine="18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30 June 2024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30"/>
        </w:trPr>
        <w:tc>
          <w:tcPr>
            <w:tcW w:type="dxa" w:w="5468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per Income Statement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2,280.8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1,850.8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4,168.2 </w:t>
            </w:r>
          </w:p>
        </w:tc>
      </w:tr>
      <w:tr>
        <w:trPr>
          <w:trHeight w:hRule="exact" w:val="332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operating profit excluding PPA (£m)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211.8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295.9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689.0 </w:t>
            </w:r>
          </w:p>
        </w:tc>
      </w:tr>
      <w:tr>
        <w:trPr>
          <w:trHeight w:hRule="exact" w:val="328"/>
        </w:trPr>
        <w:tc>
          <w:tcPr>
            <w:tcW w:type="dxa" w:w="546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operating margin before PPA adjustments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9.3% </w:t>
            </w:r>
          </w:p>
        </w:tc>
        <w:tc>
          <w:tcPr>
            <w:tcW w:type="dxa" w:w="1672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16.0% </w:t>
            </w:r>
          </w:p>
        </w:tc>
        <w:tc>
          <w:tcPr>
            <w:tcW w:type="dxa" w:w="1670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16.5% </w:t>
            </w:r>
          </w:p>
        </w:tc>
      </w:tr>
    </w:tbl>
    <w:p>
      <w:pPr>
        <w:autoSpaceDN w:val="0"/>
        <w:autoSpaceDE w:val="0"/>
        <w:widowControl/>
        <w:spacing w:line="230" w:lineRule="exact" w:before="350" w:after="122"/>
        <w:ind w:left="0" w:right="2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Adjusted earnings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for </w:t>
      </w:r>
      <w:r>
        <w:rPr>
          <w:rFonts w:ascii="Arial" w:hAnsi="Arial" w:eastAsia="Arial"/>
          <w:b/>
          <w:i w:val="0"/>
          <w:color w:val="000000"/>
          <w:sz w:val="20"/>
        </w:rPr>
        <w:t>adjusted basic earnings per share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</w:t>
      </w:r>
      <w:r>
        <w:rPr>
          <w:rFonts w:ascii="Arial" w:hAnsi="Arial" w:eastAsia="Arial"/>
          <w:b/>
          <w:i w:val="0"/>
          <w:color w:val="000000"/>
          <w:sz w:val="20"/>
        </w:rPr>
        <w:t>adjusted diluted earnings per share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are calculated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excluding adjusted items and any associated net tax amounts from profit attributable to ordinary shareholders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888"/>
        </w:trPr>
        <w:tc>
          <w:tcPr>
            <w:tcW w:type="dxa" w:w="5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258" w:right="0" w:firstLine="17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0" w:lineRule="auto" w:before="26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94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78" w:lineRule="exact" w:before="2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88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2"/>
        </w:trPr>
        <w:tc>
          <w:tcPr>
            <w:tcW w:type="dxa" w:w="5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Profit attributable to ordinary shareholders of the Company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75.3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68.8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114.1 </w:t>
            </w:r>
          </w:p>
        </w:tc>
      </w:tr>
      <w:tr>
        <w:trPr>
          <w:trHeight w:hRule="exact" w:val="268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costs associated with legacy properties (note 4)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179.5 </w:t>
            </w:r>
          </w:p>
        </w:tc>
      </w:tr>
      <w:tr>
        <w:trPr>
          <w:trHeight w:hRule="exact" w:val="272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Costs incurred in respect of the acquisition of Redrow plc (note 4)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35.5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 </w:t>
            </w:r>
          </w:p>
        </w:tc>
      </w:tr>
      <w:tr>
        <w:trPr>
          <w:trHeight w:hRule="exact" w:val="268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Reorganisation and restructuring costs (note 4)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14.4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2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Costs associated with JV legacy properties (note 4)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4.5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12.6 </w:t>
            </w:r>
          </w:p>
        </w:tc>
      </w:tr>
      <w:tr>
        <w:trPr>
          <w:trHeight w:hRule="exact" w:val="268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Tax on adjusted items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(4.2)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(15.9)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(54.4) </w:t>
            </w:r>
          </w:p>
        </w:tc>
      </w:tr>
      <w:tr>
        <w:trPr>
          <w:trHeight w:hRule="exact" w:val="272"/>
        </w:trPr>
        <w:tc>
          <w:tcPr>
            <w:tcW w:type="dxa" w:w="5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earnings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121.0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114.8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274.2 </w:t>
            </w:r>
          </w:p>
        </w:tc>
      </w:tr>
    </w:tbl>
    <w:p>
      <w:pPr>
        <w:autoSpaceDN w:val="0"/>
        <w:autoSpaceDE w:val="0"/>
        <w:widowControl/>
        <w:spacing w:line="232" w:lineRule="exact" w:before="346" w:after="118"/>
        <w:ind w:left="0" w:right="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Adjusted earnings before PPA adjustments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adjusted earnings presented as if the assets and liabilities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recognised as a result of the acquisition of Redrow plc had been initially measured at their carrying values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underlying Redrow financial records, rather than at their fair values in accordance with IFRS 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890"/>
        </w:trPr>
        <w:tc>
          <w:tcPr>
            <w:tcW w:type="dxa" w:w="5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258" w:right="0" w:firstLine="176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ended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  <w:p>
            <w:pPr>
              <w:autoSpaceDN w:val="0"/>
              <w:autoSpaceDE w:val="0"/>
              <w:widowControl/>
              <w:spacing w:line="233" w:lineRule="auto" w:before="26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94" w:right="0" w:firstLine="23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2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88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2"/>
        </w:trPr>
        <w:tc>
          <w:tcPr>
            <w:tcW w:type="dxa" w:w="54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earnings </w:t>
            </w:r>
          </w:p>
        </w:tc>
        <w:tc>
          <w:tcPr>
            <w:tcW w:type="dxa" w:w="177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121.0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114.8 </w:t>
            </w:r>
          </w:p>
        </w:tc>
        <w:tc>
          <w:tcPr>
            <w:tcW w:type="dxa" w:w="1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274.2 </w:t>
            </w:r>
          </w:p>
        </w:tc>
      </w:tr>
      <w:tr>
        <w:trPr>
          <w:trHeight w:hRule="exact" w:val="490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Impact on profit before tax profit of the initial measurement of Redrow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assets and liabilities at fair value at the acquisition date (£m)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50.4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490"/>
        </w:trPr>
        <w:tc>
          <w:tcPr>
            <w:tcW w:type="dxa" w:w="5460"/>
            <w:tcBorders>
              <w:start w:sz="4.0" w:val="single" w:color="#000000"/>
              <w:top w:sz="4.0" w:val="single" w:color="#D8D9D8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Impact on tax charge of the initial measurement of Redrow assets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liabilities at fair value at the acquisition date (£m)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D8D9D8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(14.6)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270"/>
        </w:trPr>
        <w:tc>
          <w:tcPr>
            <w:tcW w:type="dxa" w:w="54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Adjusted earnings before PPA adjustments </w:t>
            </w:r>
          </w:p>
        </w:tc>
        <w:tc>
          <w:tcPr>
            <w:tcW w:type="dxa" w:w="177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156.8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114.8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274.2 </w:t>
            </w:r>
          </w:p>
        </w:tc>
      </w:tr>
    </w:tbl>
    <w:p>
      <w:pPr>
        <w:autoSpaceDN w:val="0"/>
        <w:autoSpaceDE w:val="0"/>
        <w:widowControl/>
        <w:spacing w:line="230" w:lineRule="exact" w:before="34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Adjusted earnings before PPA adjustments per share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calculated by dividing Adjusted earnings before PPA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adjustments by the weighted average number of shares for basic earnings per share (note 7). </w:t>
      </w:r>
    </w:p>
    <w:p>
      <w:pPr>
        <w:autoSpaceDN w:val="0"/>
        <w:autoSpaceDE w:val="0"/>
        <w:widowControl/>
        <w:spacing w:line="178" w:lineRule="exact" w:before="189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44</w:t>
      </w:r>
    </w:p>
    <w:p>
      <w:pPr>
        <w:sectPr>
          <w:pgSz w:w="11906" w:h="16838"/>
          <w:pgMar w:top="358" w:right="632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8" w:lineRule="exact" w:before="0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ROCE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calculated as earnings before amortisation, interest, tax, operating charges relating to the defined benefit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scheme and operating adjusting or exceptional items for the 12 months to December, divided by average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assets adjusted for goodwill and intangibles, tax, cash, loans and borrowings, retirement benefit assets/obligations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provisions in relation to legacy properties: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319"/>
        <w:gridCol w:w="1319"/>
        <w:gridCol w:w="1319"/>
        <w:gridCol w:w="1319"/>
        <w:gridCol w:w="1319"/>
        <w:gridCol w:w="1319"/>
        <w:gridCol w:w="1319"/>
        <w:gridCol w:w="1319"/>
      </w:tblGrid>
      <w:tr>
        <w:trPr>
          <w:trHeight w:hRule="exact" w:val="158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20" w:after="0"/>
              <w:ind w:left="144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 weeks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ended 29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36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05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ended 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2023</w:t>
            </w:r>
          </w:p>
          <w:p>
            <w:pPr>
              <w:autoSpaceDN w:val="0"/>
              <w:autoSpaceDE w:val="0"/>
              <w:widowControl/>
              <w:spacing w:line="180" w:lineRule="exact" w:before="3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0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ended 30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120" w:after="0"/>
              <w:ind w:left="144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Year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calculated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 29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3" w:lineRule="auto" w:before="9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0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4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ended 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2022 </w:t>
            </w:r>
          </w:p>
          <w:p>
            <w:pPr>
              <w:autoSpaceDN w:val="0"/>
              <w:autoSpaceDE w:val="0"/>
              <w:widowControl/>
              <w:spacing w:line="180" w:lineRule="exact" w:before="3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4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ended 30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0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calculated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80" w:lineRule="exact" w:before="9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32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Operating profit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114.0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97.8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174.7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190.9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494.2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707.4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311.0 </w:t>
            </w:r>
          </w:p>
        </w:tc>
      </w:tr>
      <w:tr>
        <w:trPr>
          <w:trHeight w:hRule="exact" w:val="328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Amortisation of intangible assets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9.3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5.2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10.4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14.5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5.3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10.5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10.4 </w:t>
            </w:r>
          </w:p>
        </w:tc>
      </w:tr>
      <w:tr>
        <w:trPr>
          <w:trHeight w:hRule="exact" w:val="332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Defined benefit service cost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488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1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net cost related to legacy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properties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57.4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179.5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122.1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17.6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155.5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195.3 </w:t>
            </w:r>
          </w:p>
        </w:tc>
      </w:tr>
      <w:tr>
        <w:trPr>
          <w:trHeight w:hRule="exact" w:val="492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Costs incurred in respect of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acquisition of Redrow plc (note 4)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35.5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57.9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488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Reorganisation and restructuring costs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(note 4)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6000000000001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14.4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14.4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488"/>
        </w:trPr>
        <w:tc>
          <w:tcPr>
            <w:tcW w:type="dxa" w:w="3116"/>
            <w:tcBorders>
              <w:start w:sz="4.0" w:val="single" w:color="#000000"/>
              <w:top w:sz="3.199999999999818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Share of post-tax profit/(loss) from joint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ventures and associates </w:t>
            </w:r>
          </w:p>
        </w:tc>
        <w:tc>
          <w:tcPr>
            <w:tcW w:type="dxa" w:w="1052"/>
            <w:tcBorders>
              <w:start w:sz="5.600000000000136" w:val="single" w:color="#000000"/>
              <w:top w:sz="3.199999999999818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8.4 </w:t>
            </w:r>
          </w:p>
        </w:tc>
        <w:tc>
          <w:tcPr>
            <w:tcW w:type="dxa" w:w="1052"/>
            <w:tcBorders>
              <w:start w:sz="5.600000000000136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2"/>
            <w:tcBorders>
              <w:start w:sz="5.599999999999909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1054"/>
            <w:tcBorders>
              <w:start w:sz="5.600000000000364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10.7 </w:t>
            </w:r>
          </w:p>
        </w:tc>
        <w:tc>
          <w:tcPr>
            <w:tcW w:type="dxa" w:w="1050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 </w:t>
            </w:r>
          </w:p>
        </w:tc>
        <w:tc>
          <w:tcPr>
            <w:tcW w:type="dxa" w:w="1054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8.8 </w:t>
            </w:r>
          </w:p>
        </w:tc>
        <w:tc>
          <w:tcPr>
            <w:tcW w:type="dxa" w:w="1050"/>
            <w:tcBorders>
              <w:start w:sz="5.599999999999909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(7.2) </w:t>
            </w:r>
          </w:p>
        </w:tc>
      </w:tr>
      <w:tr>
        <w:trPr>
          <w:trHeight w:hRule="exact" w:val="494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cost related to JV legacy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properties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6000000000001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052"/>
            <w:tcBorders>
              <w:start w:sz="5.600000000000136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4.5 </w:t>
            </w:r>
          </w:p>
        </w:tc>
        <w:tc>
          <w:tcPr>
            <w:tcW w:type="dxa" w:w="1052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12.6 </w:t>
            </w:r>
          </w:p>
        </w:tc>
        <w:tc>
          <w:tcPr>
            <w:tcW w:type="dxa" w:w="1054"/>
            <w:tcBorders>
              <w:start w:sz="5.600000000000364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8.1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1054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23.7 </w:t>
            </w:r>
          </w:p>
        </w:tc>
        <w:tc>
          <w:tcPr>
            <w:tcW w:type="dxa" w:w="1050"/>
            <w:tcBorders>
              <w:start w:sz="5.599999999999909" w:val="single" w:color="#000000"/>
              <w:top w:sz="4.0" w:val="single" w:color="#D8D9D8"/>
              <w:end w:sz="5.600000000000364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25.8 </w:t>
            </w:r>
          </w:p>
        </w:tc>
      </w:tr>
      <w:tr>
        <w:trPr>
          <w:trHeight w:hRule="exact" w:val="1050"/>
        </w:trPr>
        <w:tc>
          <w:tcPr>
            <w:tcW w:type="dxa" w:w="31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100" w:after="0"/>
              <w:ind w:left="11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Annualised earnings before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amortisation, interest, tax, adjusted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items and defined benefit scheme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charges </w:t>
            </w:r>
          </w:p>
        </w:tc>
        <w:tc>
          <w:tcPr>
            <w:tcW w:type="dxa" w:w="10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401.9 </w:t>
            </w:r>
          </w:p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418.9 </w:t>
            </w:r>
          </w:p>
        </w:tc>
        <w:tc>
          <w:tcPr>
            <w:tcW w:type="dxa" w:w="10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905.9 </w:t>
            </w:r>
          </w:p>
        </w:tc>
        <w:tc>
          <w:tcPr>
            <w:tcW w:type="dxa" w:w="10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535.3 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759"/>
        <w:gridCol w:w="1759"/>
        <w:gridCol w:w="1759"/>
        <w:gridCol w:w="1759"/>
        <w:gridCol w:w="1759"/>
        <w:gridCol w:w="1759"/>
      </w:tblGrid>
      <w:tr>
        <w:trPr>
          <w:trHeight w:hRule="exact" w:val="94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98" w:after="0"/>
              <w:ind w:left="998" w:right="0" w:hanging="644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2024 </w:t>
            </w:r>
          </w:p>
          <w:p>
            <w:pPr>
              <w:autoSpaceDN w:val="0"/>
              <w:autoSpaceDE w:val="0"/>
              <w:widowControl/>
              <w:spacing w:line="230" w:lineRule="auto" w:before="26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1002" w:right="0" w:hanging="60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78" w:lineRule="exact" w:before="26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72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1002" w:right="0" w:hanging="60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2022 </w:t>
            </w:r>
          </w:p>
          <w:p>
            <w:pPr>
              <w:autoSpaceDN w:val="0"/>
              <w:autoSpaceDE w:val="0"/>
              <w:widowControl/>
              <w:spacing w:line="178" w:lineRule="exact" w:before="2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72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8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Group net assets per Balance Sheet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7,881.6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5,439.6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5,439.1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5,656.6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5,596.4 </w:t>
            </w:r>
          </w:p>
        </w:tc>
      </w:tr>
      <w:tr>
        <w:trPr>
          <w:trHeight w:hRule="exact" w:val="388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Less: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3116"/>
            <w:tcBorders>
              <w:start w:sz="4.0" w:val="single" w:color="#000000"/>
              <w:top w:sz="3.199999999999818" w:val="single" w:color="#D8D9D8"/>
              <w:end w:sz="5.6000000000001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intangible assets Balance Sheet </w:t>
            </w:r>
          </w:p>
        </w:tc>
        <w:tc>
          <w:tcPr>
            <w:tcW w:type="dxa" w:w="1472"/>
            <w:tcBorders>
              <w:start w:sz="5.600000000000136" w:val="single" w:color="#000000"/>
              <w:top w:sz="3.199999999999818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(413.6) </w:t>
            </w:r>
          </w:p>
        </w:tc>
        <w:tc>
          <w:tcPr>
            <w:tcW w:type="dxa" w:w="1478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(189.7) </w:t>
            </w:r>
          </w:p>
        </w:tc>
        <w:tc>
          <w:tcPr>
            <w:tcW w:type="dxa" w:w="1468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(184.5) </w:t>
            </w:r>
          </w:p>
        </w:tc>
        <w:tc>
          <w:tcPr>
            <w:tcW w:type="dxa" w:w="1474"/>
            <w:tcBorders>
              <w:start w:sz="6.400000000000091" w:val="single" w:color="#000000"/>
              <w:top w:sz="3.199999999999818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(200.1) </w:t>
            </w:r>
          </w:p>
        </w:tc>
        <w:tc>
          <w:tcPr>
            <w:tcW w:type="dxa" w:w="1472"/>
            <w:tcBorders>
              <w:start w:sz="6.399999999999636" w:val="single" w:color="#000000"/>
              <w:top w:sz="3.199999999999818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(194.9) </w:t>
            </w:r>
          </w:p>
        </w:tc>
      </w:tr>
      <w:tr>
        <w:trPr>
          <w:trHeight w:hRule="exact" w:val="346"/>
        </w:trPr>
        <w:tc>
          <w:tcPr>
            <w:tcW w:type="dxa" w:w="3116"/>
            <w:tcBorders>
              <w:start w:sz="4.0" w:val="single" w:color="#000000"/>
              <w:top w:sz="3.199999999999818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Goodwill per Balance Sheet </w:t>
            </w:r>
          </w:p>
        </w:tc>
        <w:tc>
          <w:tcPr>
            <w:tcW w:type="dxa" w:w="1472"/>
            <w:tcBorders>
              <w:start w:sz="5.600000000000136" w:val="single" w:color="#000000"/>
              <w:top w:sz="3.199999999999818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(1,111.9) </w:t>
            </w:r>
          </w:p>
        </w:tc>
        <w:tc>
          <w:tcPr>
            <w:tcW w:type="dxa" w:w="1478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(852.9) </w:t>
            </w:r>
          </w:p>
        </w:tc>
        <w:tc>
          <w:tcPr>
            <w:tcW w:type="dxa" w:w="1468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(852.9) </w:t>
            </w:r>
          </w:p>
        </w:tc>
        <w:tc>
          <w:tcPr>
            <w:tcW w:type="dxa" w:w="1474"/>
            <w:tcBorders>
              <w:start w:sz="6.400000000000091" w:val="single" w:color="#000000"/>
              <w:top w:sz="3.199999999999818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(852.9) </w:t>
            </w:r>
          </w:p>
        </w:tc>
        <w:tc>
          <w:tcPr>
            <w:tcW w:type="dxa" w:w="1472"/>
            <w:tcBorders>
              <w:start w:sz="6.399999999999636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(852.9) </w:t>
            </w:r>
          </w:p>
        </w:tc>
      </w:tr>
      <w:tr>
        <w:trPr>
          <w:trHeight w:hRule="exact" w:val="330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tax assets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(56.0)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(27.3)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(31.8)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(0.1)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(31.1) </w:t>
            </w:r>
          </w:p>
        </w:tc>
      </w:tr>
      <w:tr>
        <w:trPr>
          <w:trHeight w:hRule="exact" w:val="350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tax liabilities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126.7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50.4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45.0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44.0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53.5 </w:t>
            </w:r>
          </w:p>
        </w:tc>
      </w:tr>
      <w:tr>
        <w:trPr>
          <w:trHeight w:hRule="exact" w:val="346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Retirement benefit assets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(5.0)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46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and cash equivalents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(655.3)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(949.9)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(1,065.3)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(1,166.5)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(1,269.1) </w:t>
            </w:r>
          </w:p>
        </w:tc>
      </w:tr>
      <w:tr>
        <w:trPr>
          <w:trHeight w:hRule="exact" w:val="332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and borrowings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200.0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200.3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200.0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202.0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203.4 </w:t>
            </w:r>
          </w:p>
        </w:tc>
      </w:tr>
      <w:tr>
        <w:trPr>
          <w:trHeight w:hRule="exact" w:val="546"/>
        </w:trPr>
        <w:tc>
          <w:tcPr>
            <w:tcW w:type="dxa" w:w="3116"/>
            <w:tcBorders>
              <w:start w:sz="4.0" w:val="single" w:color="#000000"/>
              <w:top w:sz="3.199999999999818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11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Provisions in relation to legacy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properties </w:t>
            </w:r>
          </w:p>
        </w:tc>
        <w:tc>
          <w:tcPr>
            <w:tcW w:type="dxa" w:w="1472"/>
            <w:tcBorders>
              <w:start w:sz="5.600000000000136" w:val="single" w:color="#000000"/>
              <w:top w:sz="3.199999999999818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885.2 </w:t>
            </w:r>
          </w:p>
        </w:tc>
        <w:tc>
          <w:tcPr>
            <w:tcW w:type="dxa" w:w="1478"/>
            <w:tcBorders>
              <w:start w:sz="6.399999999999636" w:val="single" w:color="#000000"/>
              <w:top w:sz="3.199999999999818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646.0 </w:t>
            </w:r>
          </w:p>
        </w:tc>
        <w:tc>
          <w:tcPr>
            <w:tcW w:type="dxa" w:w="1468"/>
            <w:tcBorders>
              <w:start w:sz="5.599999999999909" w:val="single" w:color="#000000"/>
              <w:top w:sz="3.199999999999818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730.3 </w:t>
            </w:r>
          </w:p>
        </w:tc>
        <w:tc>
          <w:tcPr>
            <w:tcW w:type="dxa" w:w="1474"/>
            <w:tcBorders>
              <w:start w:sz="6.400000000000091" w:val="single" w:color="#000000"/>
              <w:top w:sz="3.199999999999818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485.3 </w:t>
            </w:r>
          </w:p>
        </w:tc>
        <w:tc>
          <w:tcPr>
            <w:tcW w:type="dxa" w:w="1472"/>
            <w:tcBorders>
              <w:start w:sz="6.399999999999636" w:val="single" w:color="#000000"/>
              <w:top w:sz="3.199999999999818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612.3 </w:t>
            </w:r>
          </w:p>
        </w:tc>
      </w:tr>
      <w:tr>
        <w:trPr>
          <w:trHeight w:hRule="exact" w:val="348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Prepaid fees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(3.6)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(3.8)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(3.2)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(4.6)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(3.7) </w:t>
            </w:r>
          </w:p>
        </w:tc>
      </w:tr>
      <w:tr>
        <w:trPr>
          <w:trHeight w:hRule="exact" w:val="38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Capital employed </w:t>
            </w:r>
          </w:p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6,848.1 </w:t>
            </w:r>
          </w:p>
        </w:tc>
        <w:tc>
          <w:tcPr>
            <w:tcW w:type="dxa" w:w="14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4,312.7 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4,276.7 </w:t>
            </w:r>
          </w:p>
        </w:tc>
        <w:tc>
          <w:tcPr>
            <w:tcW w:type="dxa" w:w="14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4,163.7 </w:t>
            </w:r>
          </w:p>
        </w:tc>
        <w:tc>
          <w:tcPr>
            <w:tcW w:type="dxa" w:w="14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4,113.9 </w:t>
            </w:r>
          </w:p>
        </w:tc>
      </w:tr>
      <w:tr>
        <w:trPr>
          <w:trHeight w:hRule="exact" w:val="386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Three point average capital employed </w:t>
            </w:r>
          </w:p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5,145.8 </w:t>
            </w:r>
          </w:p>
        </w:tc>
        <w:tc>
          <w:tcPr>
            <w:tcW w:type="dxa" w:w="147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4,196.8 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4,234.4 </w:t>
            </w:r>
          </w:p>
        </w:tc>
        <w:tc>
          <w:tcPr>
            <w:tcW w:type="dxa" w:w="14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3,911.6 </w:t>
            </w:r>
          </w:p>
        </w:tc>
        <w:tc>
          <w:tcPr>
            <w:tcW w:type="dxa" w:w="14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4,075.6 </w:t>
            </w:r>
          </w:p>
        </w:tc>
      </w:tr>
    </w:tbl>
    <w:p>
      <w:pPr>
        <w:autoSpaceDN w:val="0"/>
        <w:autoSpaceDE w:val="0"/>
        <w:widowControl/>
        <w:spacing w:line="178" w:lineRule="exact" w:before="19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45</w:t>
      </w:r>
    </w:p>
    <w:p>
      <w:pPr>
        <w:sectPr>
          <w:pgSz w:w="11906" w:h="16838"/>
          <w:pgMar w:top="358" w:right="644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608"/>
        </w:trPr>
        <w:tc>
          <w:tcPr>
            <w:tcW w:type="dxa" w:w="5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902" w:right="0" w:hanging="34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572"/>
        </w:trPr>
        <w:tc>
          <w:tcPr>
            <w:tcW w:type="dxa" w:w="5526"/>
            <w:tcBorders>
              <w:start w:sz="4.0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0" w:after="0"/>
              <w:ind w:left="11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Annualised earnings before amortisation, interest, tax, adjusted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items and defined benefit scheme charges (from table above) (£m)</w:t>
            </w:r>
          </w:p>
        </w:tc>
        <w:tc>
          <w:tcPr>
            <w:tcW w:type="dxa" w:w="1652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418.9 </w:t>
            </w:r>
          </w:p>
        </w:tc>
        <w:tc>
          <w:tcPr>
            <w:tcW w:type="dxa" w:w="1652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535.3 </w:t>
            </w:r>
          </w:p>
        </w:tc>
        <w:tc>
          <w:tcPr>
            <w:tcW w:type="dxa" w:w="1650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401.9 </w:t>
            </w:r>
          </w:p>
        </w:tc>
      </w:tr>
      <w:tr>
        <w:trPr>
          <w:trHeight w:hRule="exact" w:val="328"/>
        </w:trPr>
        <w:tc>
          <w:tcPr>
            <w:tcW w:type="dxa" w:w="5526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Three point average capital employed (from table above) (£m)</w:t>
            </w:r>
          </w:p>
        </w:tc>
        <w:tc>
          <w:tcPr>
            <w:tcW w:type="dxa" w:w="1652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5,145.8 </w:t>
            </w:r>
          </w:p>
        </w:tc>
        <w:tc>
          <w:tcPr>
            <w:tcW w:type="dxa" w:w="1652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4,196.8 </w:t>
            </w:r>
          </w:p>
        </w:tc>
        <w:tc>
          <w:tcPr>
            <w:tcW w:type="dxa" w:w="1650"/>
            <w:tcBorders>
              <w:start w:sz="6.400000000000091" w:val="single" w:color="#000000"/>
              <w:top w:sz="4.0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4,234.4 </w:t>
            </w:r>
          </w:p>
        </w:tc>
      </w:tr>
      <w:tr>
        <w:trPr>
          <w:trHeight w:hRule="exact" w:val="332"/>
        </w:trPr>
        <w:tc>
          <w:tcPr>
            <w:tcW w:type="dxa" w:w="5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ROCE 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8.1% </w:t>
            </w:r>
          </w:p>
        </w:tc>
        <w:tc>
          <w:tcPr>
            <w:tcW w:type="dxa" w:w="165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12.8% </w:t>
            </w:r>
          </w:p>
        </w:tc>
        <w:tc>
          <w:tcPr>
            <w:tcW w:type="dxa" w:w="16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9.5% </w:t>
            </w:r>
          </w:p>
        </w:tc>
      </w:tr>
    </w:tbl>
    <w:p>
      <w:pPr>
        <w:autoSpaceDN w:val="0"/>
        <w:autoSpaceDE w:val="0"/>
        <w:widowControl/>
        <w:spacing w:line="222" w:lineRule="exact" w:before="3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Net cash </w:t>
      </w:r>
      <w:r>
        <w:rPr>
          <w:rFonts w:ascii="ArialMT" w:hAnsi="ArialMT" w:eastAsia="ArialMT"/>
          <w:b w:val="0"/>
          <w:i w:val="0"/>
          <w:color w:val="000000"/>
          <w:sz w:val="20"/>
        </w:rPr>
        <w:t>is defined in note 13.</w:t>
      </w:r>
    </w:p>
    <w:p>
      <w:pPr>
        <w:autoSpaceDN w:val="0"/>
        <w:autoSpaceDE w:val="0"/>
        <w:widowControl/>
        <w:spacing w:line="222" w:lineRule="exact" w:before="356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Total indebtedness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net (cash)/debt and land payables: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612"/>
        </w:trPr>
        <w:tc>
          <w:tcPr>
            <w:tcW w:type="dxa" w:w="5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 December 2024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906" w:right="0" w:hanging="34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June 2024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(audited) </w:t>
            </w:r>
          </w:p>
        </w:tc>
      </w:tr>
      <w:tr>
        <w:trPr>
          <w:trHeight w:hRule="exact" w:val="330"/>
        </w:trPr>
        <w:tc>
          <w:tcPr>
            <w:tcW w:type="dxa" w:w="551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cash (note 13) (£m) </w:t>
            </w:r>
          </w:p>
        </w:tc>
        <w:tc>
          <w:tcPr>
            <w:tcW w:type="dxa" w:w="1654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(458.9) </w:t>
            </w:r>
          </w:p>
        </w:tc>
        <w:tc>
          <w:tcPr>
            <w:tcW w:type="dxa" w:w="1656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(753.4) </w:t>
            </w:r>
          </w:p>
        </w:tc>
        <w:tc>
          <w:tcPr>
            <w:tcW w:type="dxa" w:w="165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(868.5) </w:t>
            </w:r>
          </w:p>
        </w:tc>
      </w:tr>
      <w:tr>
        <w:trPr>
          <w:trHeight w:hRule="exact" w:val="330"/>
        </w:trPr>
        <w:tc>
          <w:tcPr>
            <w:tcW w:type="dxa" w:w="5516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Land payables (£m) </w:t>
            </w:r>
          </w:p>
        </w:tc>
        <w:tc>
          <w:tcPr>
            <w:tcW w:type="dxa" w:w="1654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594.6 </w:t>
            </w:r>
          </w:p>
        </w:tc>
        <w:tc>
          <w:tcPr>
            <w:tcW w:type="dxa" w:w="1656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367.2 </w:t>
            </w:r>
          </w:p>
        </w:tc>
        <w:tc>
          <w:tcPr>
            <w:tcW w:type="dxa" w:w="1654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472.8 </w:t>
            </w:r>
          </w:p>
        </w:tc>
      </w:tr>
      <w:tr>
        <w:trPr>
          <w:trHeight w:hRule="exact" w:val="330"/>
        </w:trPr>
        <w:tc>
          <w:tcPr>
            <w:tcW w:type="dxa" w:w="55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indebtedness (£m)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135.7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(386.2)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(395.7) </w:t>
            </w:r>
          </w:p>
        </w:tc>
      </w:tr>
    </w:tbl>
    <w:p>
      <w:pPr>
        <w:autoSpaceDN w:val="0"/>
        <w:autoSpaceDE w:val="0"/>
        <w:widowControl/>
        <w:spacing w:line="233" w:lineRule="auto" w:before="3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Aggregated comparative information </w:t>
      </w:r>
    </w:p>
    <w:p>
      <w:pPr>
        <w:autoSpaceDN w:val="0"/>
        <w:autoSpaceDE w:val="0"/>
        <w:widowControl/>
        <w:spacing w:line="230" w:lineRule="exact" w:before="120" w:after="0"/>
        <w:ind w:left="0" w:right="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the above alternative performance measures, these half year results include aggregated performance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measures for the half year to 31 December 2023. These measures are included to present comparative information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Group’s results for the current period to aid understanding of its relative performance. No adjustments are made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align accounting policy.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aggregated value comparatives have not been audited or reviewed by Barratt Redrow plc’s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auditors. </w:t>
      </w:r>
    </w:p>
    <w:p>
      <w:pPr>
        <w:autoSpaceDN w:val="0"/>
        <w:autoSpaceDE w:val="0"/>
        <w:widowControl/>
        <w:spacing w:line="230" w:lineRule="exact" w:before="12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Aggregated profit measures for the half year to 31 December 2023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defined as the result for half year ended 31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December 2023 plus the consolidated result for Redrow plc and its subsidiaries for the period from 24 August to 31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December 2023, being the period of equivalent length to the period for which the results of Redrow are consolidated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the Group’s results for the 26 weeks ended 29 December 2024. </w:t>
      </w:r>
    </w:p>
    <w:p>
      <w:pPr>
        <w:autoSpaceDN w:val="0"/>
        <w:autoSpaceDE w:val="0"/>
        <w:widowControl/>
        <w:spacing w:line="230" w:lineRule="exact" w:before="120" w:after="122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consolidated Redrow results for the period from 24 August to 31 December 2024 have been extracted without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 from consolidated management information for the Redrow plc Group and prepared under the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policies for the Redrow Plc Group as disclosed in its annual report for the period ended 30 June 2024. No adjusted items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identified for the Redrow plc Group for the period from 24 August to 31 December 2024: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761"/>
        <w:gridCol w:w="1761"/>
        <w:gridCol w:w="1761"/>
        <w:gridCol w:w="1761"/>
        <w:gridCol w:w="1761"/>
        <w:gridCol w:w="1761"/>
      </w:tblGrid>
      <w:tr>
        <w:trPr>
          <w:trHeight w:hRule="exact" w:val="1484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Half year ended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</w:p>
          <w:p>
            <w:pPr>
              <w:autoSpaceDN w:val="0"/>
              <w:autoSpaceDE w:val="0"/>
              <w:widowControl/>
              <w:spacing w:line="180" w:lineRule="exact" w:before="5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144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Consolidated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Redrow results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August to 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2023 </w:t>
            </w:r>
          </w:p>
          <w:p>
            <w:pPr>
              <w:autoSpaceDN w:val="0"/>
              <w:autoSpaceDE w:val="0"/>
              <w:widowControl/>
              <w:spacing w:line="178" w:lineRule="exact" w:before="28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£m</w:t>
            </w:r>
          </w:p>
        </w:tc>
        <w:tc>
          <w:tcPr>
            <w:tcW w:type="dxa" w:w="146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Aggregated half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2023 </w:t>
            </w:r>
          </w:p>
          <w:p>
            <w:pPr>
              <w:autoSpaceDN w:val="0"/>
              <w:autoSpaceDE w:val="0"/>
              <w:widowControl/>
              <w:spacing w:line="180" w:lineRule="exact" w:before="5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8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items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the half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ended 31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4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Aggregated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half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31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December 2023 </w:t>
            </w:r>
          </w:p>
          <w:p>
            <w:pPr>
              <w:autoSpaceDN w:val="0"/>
              <w:autoSpaceDE w:val="0"/>
              <w:widowControl/>
              <w:spacing w:line="180" w:lineRule="exact" w:before="30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328"/>
        </w:trPr>
        <w:tc>
          <w:tcPr>
            <w:tcW w:type="dxa" w:w="3116"/>
            <w:tcBorders>
              <w:start w:sz="4.0" w:val="single" w:color="#000000"/>
              <w:top w:sz="4.0" w:val="single" w:color="#000000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1,850.8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641.7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000000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2,492.5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000000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-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000000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2,492.5 </w:t>
            </w:r>
          </w:p>
        </w:tc>
      </w:tr>
      <w:tr>
        <w:trPr>
          <w:trHeight w:hRule="exact" w:val="330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profit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238.5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127.2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365.7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57.4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423.1 </w:t>
            </w:r>
          </w:p>
        </w:tc>
      </w:tr>
      <w:tr>
        <w:trPr>
          <w:trHeight w:hRule="exact" w:val="326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expenses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(140.9)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(33.9)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(174.8)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-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(174.8) </w:t>
            </w:r>
          </w:p>
        </w:tc>
      </w:tr>
      <w:tr>
        <w:trPr>
          <w:trHeight w:hRule="exact" w:val="324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Operating profit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97.8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93.2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191.0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57.4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248.4 </w:t>
            </w:r>
          </w:p>
        </w:tc>
      </w:tr>
      <w:tr>
        <w:trPr>
          <w:trHeight w:hRule="exact" w:val="330"/>
        </w:trPr>
        <w:tc>
          <w:tcPr>
            <w:tcW w:type="dxa" w:w="3116"/>
            <w:tcBorders>
              <w:start w:sz="4.0" w:val="single" w:color="#000000"/>
              <w:top w:sz="4.0" w:val="single" w:color="#D8D9D8"/>
              <w:end w:sz="5.6000000000001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Profit before tax </w:t>
            </w:r>
          </w:p>
        </w:tc>
        <w:tc>
          <w:tcPr>
            <w:tcW w:type="dxa" w:w="1472"/>
            <w:tcBorders>
              <w:start w:sz="5.600000000000136" w:val="single" w:color="#000000"/>
              <w:top w:sz="4.0" w:val="single" w:color="#D8D9D8"/>
              <w:end w:sz="6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95.2 </w:t>
            </w:r>
          </w:p>
        </w:tc>
        <w:tc>
          <w:tcPr>
            <w:tcW w:type="dxa" w:w="1478"/>
            <w:tcBorders>
              <w:start w:sz="6.399999999999636" w:val="single" w:color="#000000"/>
              <w:top w:sz="4.0" w:val="single" w:color="#D8D9D8"/>
              <w:end w:sz="5.599999999999909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91.7 </w:t>
            </w:r>
          </w:p>
        </w:tc>
        <w:tc>
          <w:tcPr>
            <w:tcW w:type="dxa" w:w="1468"/>
            <w:tcBorders>
              <w:start w:sz="5.599999999999909" w:val="single" w:color="#000000"/>
              <w:top w:sz="4.0" w:val="single" w:color="#D8D9D8"/>
              <w:end w:sz="6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186.9 </w:t>
            </w:r>
          </w:p>
        </w:tc>
        <w:tc>
          <w:tcPr>
            <w:tcW w:type="dxa" w:w="1474"/>
            <w:tcBorders>
              <w:start w:sz="6.400000000000091" w:val="single" w:color="#000000"/>
              <w:top w:sz="4.0" w:val="single" w:color="#D8D9D8"/>
              <w:end w:sz="6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61.9 </w:t>
            </w:r>
          </w:p>
        </w:tc>
        <w:tc>
          <w:tcPr>
            <w:tcW w:type="dxa" w:w="1472"/>
            <w:tcBorders>
              <w:start w:sz="6.399999999999636" w:val="single" w:color="#000000"/>
              <w:top w:sz="4.0" w:val="single" w:color="#D8D9D8"/>
              <w:end w:sz="5.600000000000364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248.8 </w:t>
            </w:r>
          </w:p>
        </w:tc>
      </w:tr>
    </w:tbl>
    <w:p>
      <w:pPr>
        <w:autoSpaceDN w:val="0"/>
        <w:autoSpaceDE w:val="0"/>
        <w:widowControl/>
        <w:spacing w:line="178" w:lineRule="exact" w:before="29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46</w:t>
      </w:r>
    </w:p>
    <w:p>
      <w:pPr>
        <w:sectPr>
          <w:pgSz w:w="11906" w:h="16838"/>
          <w:pgMar w:top="544" w:right="632" w:bottom="354" w:left="7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8" w:lineRule="exact" w:before="0" w:after="120"/>
        <w:ind w:left="0" w:right="33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Aggregated (adjusted) gross margin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aggregated (adjusted) gross profit divided by aggregated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revenue and </w:t>
      </w:r>
      <w:r>
        <w:rPr>
          <w:rFonts w:ascii="Arial" w:hAnsi="Arial" w:eastAsia="Arial"/>
          <w:b/>
          <w:i w:val="0"/>
          <w:color w:val="000000"/>
          <w:sz w:val="20"/>
        </w:rPr>
        <w:t>aggregated (adjusted) operating margin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aggregated (adjusted) operating profit divided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aggregated revenue: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522"/>
        <w:gridCol w:w="3522"/>
        <w:gridCol w:w="3522"/>
      </w:tblGrid>
      <w:tr>
        <w:trPr>
          <w:trHeight w:hRule="exact" w:val="958"/>
        </w:trPr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4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Aggregated half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Aggregated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adjusted half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</w:tc>
      </w:tr>
      <w:tr>
        <w:trPr>
          <w:trHeight w:hRule="exact" w:val="296"/>
        </w:trPr>
        <w:tc>
          <w:tcPr>
            <w:tcW w:type="dxa" w:w="7088"/>
            <w:tcBorders>
              <w:start w:sz="4.0" w:val="single" w:color="#000000"/>
              <w:top w:sz="3.199999999999932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(£m) </w:t>
            </w:r>
          </w:p>
        </w:tc>
        <w:tc>
          <w:tcPr>
            <w:tcW w:type="dxa" w:w="1698"/>
            <w:tcBorders>
              <w:start w:sz="5.599999999999909" w:val="single" w:color="#000000"/>
              <w:top w:sz="3.199999999999932" w:val="single" w:color="#000000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2,492.5 </w:t>
            </w:r>
          </w:p>
        </w:tc>
        <w:tc>
          <w:tcPr>
            <w:tcW w:type="dxa" w:w="1694"/>
            <w:tcBorders>
              <w:start w:sz="5.599999999999909" w:val="single" w:color="#000000"/>
              <w:top w:sz="3.199999999999932" w:val="single" w:color="#000000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2,492.5 </w:t>
            </w:r>
          </w:p>
        </w:tc>
      </w:tr>
      <w:tr>
        <w:trPr>
          <w:trHeight w:hRule="exact" w:val="298"/>
        </w:trPr>
        <w:tc>
          <w:tcPr>
            <w:tcW w:type="dxa" w:w="70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4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0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profit (£m) </w:t>
            </w:r>
          </w:p>
        </w:tc>
        <w:tc>
          <w:tcPr>
            <w:tcW w:type="dxa" w:w="1698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365.7 </w:t>
            </w:r>
          </w:p>
        </w:tc>
        <w:tc>
          <w:tcPr>
            <w:tcW w:type="dxa" w:w="1694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423.1 </w:t>
            </w:r>
          </w:p>
        </w:tc>
      </w:tr>
      <w:tr>
        <w:trPr>
          <w:trHeight w:hRule="exact" w:val="300"/>
        </w:trPr>
        <w:tc>
          <w:tcPr>
            <w:tcW w:type="dxa" w:w="70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margin </w:t>
            </w:r>
          </w:p>
        </w:tc>
        <w:tc>
          <w:tcPr>
            <w:tcW w:type="dxa" w:w="1698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14.7% </w:t>
            </w:r>
          </w:p>
        </w:tc>
        <w:tc>
          <w:tcPr>
            <w:tcW w:type="dxa" w:w="1694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17.0% </w:t>
            </w:r>
          </w:p>
        </w:tc>
      </w:tr>
      <w:tr>
        <w:trPr>
          <w:trHeight w:hRule="exact" w:val="298"/>
        </w:trPr>
        <w:tc>
          <w:tcPr>
            <w:tcW w:type="dxa" w:w="7088"/>
            <w:tcBorders>
              <w:start w:sz="4.0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4"/>
            <w:tcBorders>
              <w:start w:sz="5.599999999999909" w:val="single" w:color="#000000"/>
              <w:top w:sz="4.0" w:val="single" w:color="#D8D9D8"/>
              <w:end w:sz="4.0" w:val="single" w:color="#000000"/>
              <w:bottom w:sz="4.0" w:val="single" w:color="#D8D9D8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7088"/>
            <w:tcBorders>
              <w:start w:sz="4.0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Operating profit (£m) </w:t>
            </w:r>
          </w:p>
        </w:tc>
        <w:tc>
          <w:tcPr>
            <w:tcW w:type="dxa" w:w="1698"/>
            <w:tcBorders>
              <w:start w:sz="5.599999999999909" w:val="single" w:color="#000000"/>
              <w:top w:sz="4.0" w:val="single" w:color="#D8D9D8"/>
              <w:end w:sz="5.599999999999909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191.0 </w:t>
            </w:r>
          </w:p>
        </w:tc>
        <w:tc>
          <w:tcPr>
            <w:tcW w:type="dxa" w:w="1694"/>
            <w:tcBorders>
              <w:start w:sz="5.599999999999909" w:val="single" w:color="#000000"/>
              <w:top w:sz="4.0" w:val="single" w:color="#D8D9D8"/>
              <w:end w:sz="4.0" w:val="single" w:color="#000000"/>
              <w:bottom w:sz="3.199999999999818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248.4 </w:t>
            </w:r>
          </w:p>
        </w:tc>
      </w:tr>
      <w:tr>
        <w:trPr>
          <w:trHeight w:hRule="exact" w:val="296"/>
        </w:trPr>
        <w:tc>
          <w:tcPr>
            <w:tcW w:type="dxa" w:w="7088"/>
            <w:tcBorders>
              <w:start w:sz="4.0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Operating margin </w:t>
            </w:r>
          </w:p>
        </w:tc>
        <w:tc>
          <w:tcPr>
            <w:tcW w:type="dxa" w:w="1698"/>
            <w:tcBorders>
              <w:start w:sz="5.599999999999909" w:val="single" w:color="#000000"/>
              <w:top w:sz="3.199999999999818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7.7% </w:t>
            </w:r>
          </w:p>
        </w:tc>
        <w:tc>
          <w:tcPr>
            <w:tcW w:type="dxa" w:w="1694"/>
            <w:tcBorders>
              <w:start w:sz="5.599999999999909" w:val="single" w:color="#000000"/>
              <w:top w:sz="3.199999999999818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10.0% </w:t>
            </w:r>
          </w:p>
        </w:tc>
      </w:tr>
    </w:tbl>
    <w:p>
      <w:pPr>
        <w:autoSpaceDN w:val="0"/>
        <w:autoSpaceDE w:val="0"/>
        <w:widowControl/>
        <w:spacing w:line="230" w:lineRule="exact" w:before="350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Aggregated net cash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defined as net cash plus consolidated net cash for Redrow plc and its subsidiaries. Aggregated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land payables is defined as land payables plus consolidated land payables for Redrow plc and its subsidiaries. </w:t>
      </w:r>
      <w:r>
        <w:rPr>
          <w:rFonts w:ascii="Arial" w:hAnsi="Arial" w:eastAsia="Arial"/>
          <w:b/>
          <w:i w:val="0"/>
          <w:color w:val="000000"/>
          <w:sz w:val="20"/>
        </w:rPr>
        <w:t>Aggregated total indebtedness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 defined as aggregated net cash plus aggregated land payables. </w:t>
      </w:r>
    </w:p>
    <w:p>
      <w:pPr>
        <w:autoSpaceDN w:val="0"/>
        <w:autoSpaceDE w:val="0"/>
        <w:widowControl/>
        <w:spacing w:line="230" w:lineRule="exact" w:before="120" w:after="12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consolidated Redrow results for the period from 24 August to 31 December 2024 have been extracted without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adjustment from consolidated management information for the Redrow plc Group and prepared under the accounting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policies for the Redrow Plc Group as disclosed in its annual report for the period ended 30 June 2024.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Net cash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definition used for the consolidated Redrow Group at 31 December 2023 is consistent with that disclosed in note 13.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641"/>
        <w:gridCol w:w="2641"/>
        <w:gridCol w:w="2641"/>
        <w:gridCol w:w="2641"/>
      </w:tblGrid>
      <w:tr>
        <w:trPr>
          <w:trHeight w:hRule="exact" w:val="950"/>
        </w:trPr>
        <w:tc>
          <w:tcPr>
            <w:tcW w:type="dxa" w:w="5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</w:p>
          <w:p>
            <w:pPr>
              <w:autoSpaceDN w:val="0"/>
              <w:autoSpaceDE w:val="0"/>
              <w:widowControl/>
              <w:spacing w:line="180" w:lineRule="exact" w:before="50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4" w:after="0"/>
              <w:ind w:left="144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Consolidated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Redrow at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4" w:after="0"/>
              <w:ind w:left="144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Aggregated half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 ended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December 2023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£m </w:t>
            </w:r>
          </w:p>
        </w:tc>
      </w:tr>
      <w:tr>
        <w:trPr>
          <w:trHeight w:hRule="exact" w:val="270"/>
        </w:trPr>
        <w:tc>
          <w:tcPr>
            <w:tcW w:type="dxa" w:w="5516"/>
            <w:tcBorders>
              <w:start w:sz="4.0" w:val="single" w:color="#000000"/>
              <w:top w:sz="4.0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cash </w:t>
            </w:r>
          </w:p>
        </w:tc>
        <w:tc>
          <w:tcPr>
            <w:tcW w:type="dxa" w:w="1654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753.4 </w:t>
            </w:r>
          </w:p>
        </w:tc>
        <w:tc>
          <w:tcPr>
            <w:tcW w:type="dxa" w:w="1656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121.0 </w:t>
            </w:r>
          </w:p>
        </w:tc>
        <w:tc>
          <w:tcPr>
            <w:tcW w:type="dxa" w:w="1654"/>
            <w:tcBorders>
              <w:start w:sz="5.599999999999909" w:val="single" w:color="#000000"/>
              <w:top w:sz="4.0" w:val="single" w:color="#000000"/>
              <w:end w:sz="4.0" w:val="single" w:color="#000000"/>
              <w:bottom w:sz="3.200000000000273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874.4 </w:t>
            </w:r>
          </w:p>
        </w:tc>
      </w:tr>
      <w:tr>
        <w:trPr>
          <w:trHeight w:hRule="exact" w:val="270"/>
        </w:trPr>
        <w:tc>
          <w:tcPr>
            <w:tcW w:type="dxa" w:w="5516"/>
            <w:tcBorders>
              <w:start w:sz="4.0" w:val="single" w:color="#000000"/>
              <w:top w:sz="3.200000000000273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Land payables </w:t>
            </w:r>
          </w:p>
        </w:tc>
        <w:tc>
          <w:tcPr>
            <w:tcW w:type="dxa" w:w="1654"/>
            <w:tcBorders>
              <w:start w:sz="5.599999999999909" w:val="single" w:color="#000000"/>
              <w:top w:sz="3.200000000000273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(367.2) </w:t>
            </w:r>
          </w:p>
        </w:tc>
        <w:tc>
          <w:tcPr>
            <w:tcW w:type="dxa" w:w="1656"/>
            <w:tcBorders>
              <w:start w:sz="5.599999999999909" w:val="single" w:color="#000000"/>
              <w:top w:sz="3.200000000000273" w:val="single" w:color="#D8D9D8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(181.0) </w:t>
            </w:r>
          </w:p>
        </w:tc>
        <w:tc>
          <w:tcPr>
            <w:tcW w:type="dxa" w:w="1654"/>
            <w:tcBorders>
              <w:start w:sz="5.599999999999909" w:val="single" w:color="#000000"/>
              <w:top w:sz="3.200000000000273" w:val="single" w:color="#D8D9D8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(548.2) </w:t>
            </w:r>
          </w:p>
        </w:tc>
      </w:tr>
      <w:tr>
        <w:trPr>
          <w:trHeight w:hRule="exact" w:val="270"/>
        </w:trPr>
        <w:tc>
          <w:tcPr>
            <w:tcW w:type="dxa" w:w="5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surplus/(indebtedness)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386.2 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(60.0)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326.2 </w:t>
            </w:r>
          </w:p>
        </w:tc>
      </w:tr>
    </w:tbl>
    <w:p>
      <w:pPr>
        <w:autoSpaceDN w:val="0"/>
        <w:autoSpaceDE w:val="0"/>
        <w:widowControl/>
        <w:spacing w:line="178" w:lineRule="exact" w:before="741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>47</w:t>
      </w:r>
    </w:p>
    <w:sectPr w:rsidR="00FC693F" w:rsidRPr="0006063C" w:rsidSect="00034616">
      <w:pgSz w:w="11906" w:h="16838"/>
      <w:pgMar w:top="358" w:right="632" w:bottom="354" w:left="7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oadcaster-audience.mediaplatform.com/event/678a489991e3c542c3712a10/registration" TargetMode="External"/><Relationship Id="rId10" Type="http://schemas.openxmlformats.org/officeDocument/2006/relationships/hyperlink" Target="https://broadcaster-audience.mediaplatform.com/event/678a5465e8b6a12064eb2c60/registration" TargetMode="External"/><Relationship Id="rId11" Type="http://schemas.openxmlformats.org/officeDocument/2006/relationships/hyperlink" Target="http://www.barrattredrow.co.uk/" TargetMode="External"/><Relationship Id="rId12" Type="http://schemas.openxmlformats.org/officeDocument/2006/relationships/hyperlink" Target="https://www.barrattdevelopments.co.uk/~/media/Files/B/Barratt-Developments/documents/Barratt%20Redrow_eHome2_Heating%20Systems%20Report.pdf" TargetMode="External"/><Relationship Id="rId13" Type="http://schemas.openxmlformats.org/officeDocument/2006/relationships/hyperlink" Target="https://www.barrattdevelopments.co.uk/about-us/our-approach-to-building-safe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