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B07D0A"/>
          <w:spacing w:val="40"/>
          <w:sz w:val="18"/>
          <w:szCs w:val="18"/>
        </w:rPr>
        <w:t xml:space="preserve">TEMPLATE</w:t>
      </w:r>
    </w:p>
    <w:p>
      <w:pPr>
        <w:pBdr>
          <w:bottom w:val="single" w:color="D0D5DD" w:sz="8" w:space="8"/>
        </w:pBdr>
        <w:spacing w:after="200"/>
      </w:pPr>
      <w:r>
        <w:rPr>
          <w:rFonts w:ascii="Arial" w:cs="Arial" w:eastAsia="Arial" w:hAnsi="Arial"/>
          <w:b/>
          <w:bCs/>
          <w:color w:val="0D1B2A"/>
          <w:sz w:val="34"/>
          <w:szCs w:val="34"/>
        </w:rPr>
        <w:t xml:space="preserve">RAP Working Group — Terms of Reference</w:t>
      </w:r>
    </w:p>
    <w:p>
      <w:pPr>
        <w:spacing w:after="260"/>
      </w:pPr>
      <w:r>
        <w:rPr>
          <w:rFonts w:ascii="Arial" w:cs="Arial" w:eastAsia="Arial" w:hAnsi="Arial"/>
          <w:i/>
          <w:iCs/>
          <w:color w:val="667085"/>
          <w:sz w:val="20"/>
          <w:szCs w:val="20"/>
        </w:rPr>
        <w:t xml:space="preserve">Replace every highlighted field and bracketed prompt with your own detail. The guidance notes in grey explain why each section matters — delete them before you circulate the final version.</w:t>
      </w:r>
    </w:p>
    <w:p>
      <w:pPr>
        <w:pStyle w:val="Heading1"/>
        <w:spacing w:after="140" w:before="320"/>
      </w:pPr>
      <w:r>
        <w:rPr>
          <w:rFonts w:ascii="Arial" w:cs="Arial" w:eastAsia="Arial" w:hAnsi="Arial"/>
          <w:b/>
          <w:bCs/>
          <w:color w:val="0D1B2A"/>
          <w:sz w:val="26"/>
          <w:szCs w:val="26"/>
        </w:rPr>
        <w:t xml:space="preserve">1. Purpose</w:t>
      </w:r>
    </w:p>
    <w:p>
      <w:pPr>
        <w:spacing w:after="120"/>
      </w:pPr>
      <w:r>
        <w:rPr>
          <w:rFonts w:ascii="Arial" w:cs="Arial" w:eastAsia="Arial" w:hAnsi="Arial"/>
          <w:color w:val="1D2939"/>
          <w:sz w:val="21"/>
          <w:szCs w:val="21"/>
        </w:rPr>
        <w:t xml:space="preserve">The [ORGANISATION NAME] RAP Working Group (“the Working Group”) is established to develop, govern and oversee delivery of the organisation’s Reconciliation Action Plan (“the RAP”), and to hold the organisation accountable for the commitments made within it.</w:t>
      </w:r>
    </w:p>
    <w:p>
      <w:pPr>
        <w:pStyle w:val="Heading1"/>
        <w:spacing w:after="140" w:before="320"/>
      </w:pPr>
      <w:r>
        <w:rPr>
          <w:rFonts w:ascii="Arial" w:cs="Arial" w:eastAsia="Arial" w:hAnsi="Arial"/>
          <w:b/>
          <w:bCs/>
          <w:color w:val="0D1B2A"/>
          <w:sz w:val="26"/>
          <w:szCs w:val="26"/>
        </w:rPr>
        <w:t xml:space="preserve">2. Authority</w:t>
      </w:r>
    </w:p>
    <w:p>
      <w:pPr>
        <w:pBdr>
          <w:left w:val="single" w:color="FFC451" w:sz="12" w:space="12"/>
        </w:pBdr>
        <w:spacing w:after="180"/>
        <w:ind w:left="220"/>
      </w:pPr>
      <w:r>
        <w:rPr>
          <w:rFonts w:ascii="Arial" w:cs="Arial" w:eastAsia="Arial" w:hAnsi="Arial"/>
          <w:i/>
          <w:iCs/>
          <w:color w:val="667085"/>
          <w:sz w:val="18"/>
          <w:szCs w:val="18"/>
        </w:rPr>
        <w:t xml:space="preserve">This is the section most often left vague, and it is the single biggest predictor of whether a RAP gets delivered. A group that can only make recommendations, with no budget and no escalation path, will stall the first time an action meets a competing business priority. Be specific.</w:t>
      </w:r>
    </w:p>
    <w:p>
      <w:pPr>
        <w:spacing w:after="120"/>
      </w:pPr>
      <w:r>
        <w:rPr>
          <w:rFonts w:ascii="Arial" w:cs="Arial" w:eastAsia="Arial" w:hAnsi="Arial"/>
          <w:color w:val="1D2939"/>
          <w:sz w:val="21"/>
          <w:szCs w:val="21"/>
        </w:rPr>
        <w:t xml:space="preserve">The Working Group is authorised by [BOARD / EXECUTIVE COMMITTEE] to:</w:t>
      </w:r>
    </w:p>
    <w:p>
      <w:pPr>
        <w:pStyle w:val="ListParagraph"/>
        <w:numPr>
          <w:ilvl w:val="0"/>
          <w:numId w:val="2"/>
        </w:numPr>
        <w:spacing w:after="90"/>
      </w:pPr>
      <w:r>
        <w:rPr>
          <w:rFonts w:ascii="Arial" w:cs="Arial" w:eastAsia="Arial" w:hAnsi="Arial"/>
          <w:color w:val="1D2939"/>
          <w:sz w:val="21"/>
          <w:szCs w:val="21"/>
        </w:rPr>
        <w:t xml:space="preserve">Make decisions on the content, sequencing and prioritisation of RAP actions</w:t>
      </w:r>
    </w:p>
    <w:p>
      <w:pPr>
        <w:pStyle w:val="ListParagraph"/>
        <w:numPr>
          <w:ilvl w:val="0"/>
          <w:numId w:val="2"/>
        </w:numPr>
        <w:spacing w:after="90"/>
      </w:pPr>
      <w:r>
        <w:rPr>
          <w:rFonts w:ascii="Arial" w:cs="Arial" w:eastAsia="Arial" w:hAnsi="Arial"/>
          <w:color w:val="1D2939"/>
          <w:sz w:val="21"/>
          <w:szCs w:val="21"/>
        </w:rPr>
        <w:t xml:space="preserve">Direct the allocation of the RAP budget of $[AMOUNT] for the [YEAR] financial year</w:t>
      </w:r>
    </w:p>
    <w:p>
      <w:pPr>
        <w:pStyle w:val="ListParagraph"/>
        <w:numPr>
          <w:ilvl w:val="0"/>
          <w:numId w:val="2"/>
        </w:numPr>
        <w:spacing w:after="90"/>
      </w:pPr>
      <w:r>
        <w:rPr>
          <w:rFonts w:ascii="Arial" w:cs="Arial" w:eastAsia="Arial" w:hAnsi="Arial"/>
          <w:color w:val="1D2939"/>
          <w:sz w:val="21"/>
          <w:szCs w:val="21"/>
        </w:rPr>
        <w:t xml:space="preserve">Require progress updates from any action owner across the organisation</w:t>
      </w:r>
    </w:p>
    <w:p>
      <w:pPr>
        <w:pStyle w:val="ListParagraph"/>
        <w:numPr>
          <w:ilvl w:val="0"/>
          <w:numId w:val="2"/>
        </w:numPr>
        <w:spacing w:after="90"/>
      </w:pPr>
      <w:r>
        <w:rPr>
          <w:rFonts w:ascii="Arial" w:cs="Arial" w:eastAsia="Arial" w:hAnsi="Arial"/>
          <w:color w:val="1D2939"/>
          <w:sz w:val="21"/>
          <w:szCs w:val="21"/>
        </w:rPr>
        <w:t xml:space="preserve">Escalate blocked or at-risk actions directly to [NAMED ROLE] without going through intermediate approval</w:t>
      </w:r>
    </w:p>
    <w:p>
      <w:pPr>
        <w:pStyle w:val="ListParagraph"/>
        <w:numPr>
          <w:ilvl w:val="0"/>
          <w:numId w:val="2"/>
        </w:numPr>
        <w:spacing w:after="90"/>
      </w:pPr>
      <w:r>
        <w:rPr>
          <w:rFonts w:ascii="Arial" w:cs="Arial" w:eastAsia="Arial" w:hAnsi="Arial"/>
          <w:color w:val="1D2939"/>
          <w:sz w:val="21"/>
          <w:szCs w:val="21"/>
        </w:rPr>
        <w:t xml:space="preserve">Recommend to [BOARD / EXECUTIVE] where a commitment can no longer be delivered as written</w:t>
      </w:r>
    </w:p>
    <w:p>
      <w:pPr>
        <w:pStyle w:val="Heading1"/>
        <w:spacing w:after="140" w:before="320"/>
      </w:pPr>
      <w:r>
        <w:rPr>
          <w:rFonts w:ascii="Arial" w:cs="Arial" w:eastAsia="Arial" w:hAnsi="Arial"/>
          <w:b/>
          <w:bCs/>
          <w:color w:val="0D1B2A"/>
          <w:sz w:val="26"/>
          <w:szCs w:val="26"/>
        </w:rPr>
        <w:t xml:space="preserve">3. Executive sponsor</w:t>
      </w:r>
    </w:p>
    <w:p>
      <w:pPr>
        <w:pBdr>
          <w:left w:val="single" w:color="FFC451" w:sz="12" w:space="12"/>
        </w:pBdr>
        <w:spacing w:after="180"/>
        <w:ind w:left="220"/>
      </w:pPr>
      <w:r>
        <w:rPr>
          <w:rFonts w:ascii="Arial" w:cs="Arial" w:eastAsia="Arial" w:hAnsi="Arial"/>
          <w:i/>
          <w:iCs/>
          <w:color w:val="667085"/>
          <w:sz w:val="18"/>
          <w:szCs w:val="18"/>
        </w:rPr>
        <w:t xml:space="preserve">Name a person, not a function. If the sponsor changes, this document should be updated the same week — a working group that quietly loses its sponsor is the most common way a RAP stalls after launch.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Executive sponsor</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[NAME, ROLE]</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Accountability</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RAP delivery is recorded in this role’s performance measures: [YES / NO]</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Attendance</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Attends [ALL / QUARTERLY] Working Group meetings</w:t>
            </w:r>
          </w:p>
        </w:tc>
      </w:tr>
    </w:tbl>
    <w:p>
      <w:pPr>
        <w:spacing w:after="160"/>
      </w:pPr>
      <w:r>
        <w:rPr>
          <w:rFonts w:ascii="Arial" w:cs="Arial" w:eastAsia="Arial" w:hAnsi="Arial"/>
          <w:color w:val="1D2939"/>
          <w:sz w:val="21"/>
          <w:szCs w:val="21"/>
        </w:rPr>
        <w:t xml:space="preserve"/>
      </w:r>
    </w:p>
    <w:p>
      <w:pPr>
        <w:pStyle w:val="Heading1"/>
        <w:spacing w:after="140" w:before="320"/>
      </w:pPr>
      <w:r>
        <w:rPr>
          <w:rFonts w:ascii="Arial" w:cs="Arial" w:eastAsia="Arial" w:hAnsi="Arial"/>
          <w:b/>
          <w:bCs/>
          <w:color w:val="0D1B2A"/>
          <w:sz w:val="26"/>
          <w:szCs w:val="26"/>
        </w:rPr>
        <w:t xml:space="preserve">4. Membership</w:t>
      </w:r>
    </w:p>
    <w:p>
      <w:pPr>
        <w:pBdr>
          <w:left w:val="single" w:color="FFC451" w:sz="12" w:space="12"/>
        </w:pBdr>
        <w:spacing w:after="180"/>
        <w:ind w:left="220"/>
      </w:pPr>
      <w:r>
        <w:rPr>
          <w:rFonts w:ascii="Arial" w:cs="Arial" w:eastAsia="Arial" w:hAnsi="Arial"/>
          <w:i/>
          <w:iCs/>
          <w:color w:val="667085"/>
          <w:sz w:val="18"/>
          <w:szCs w:val="18"/>
        </w:rPr>
        <w:t xml:space="preserve">Aim for the people who will actually have to deliver actions, not only those interested in the topic. A group with no representation from HR, procurement or operations will write commitments those areas never agreed 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Chair</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[NAME, ROLE]</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Aboriginal and Torres Strait Islander members</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[NAMES / ROLES]</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Cultural advisor (internal or external)</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[NAME / ORGANISATION]</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People / HR representative</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[NAME, ROLE]</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Procurement representative</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[NAME, ROLE]</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Communications representative</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[NAME, ROLE]</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Operational business unit representatives</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[NAMES, ROLES]</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Secretariat</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[NAME, ROLE]</w:t>
            </w:r>
          </w:p>
        </w:tc>
      </w:tr>
    </w:tbl>
    <w:p>
      <w:pPr>
        <w:spacing w:after="160"/>
      </w:pPr>
      <w:r>
        <w:rPr>
          <w:rFonts w:ascii="Arial" w:cs="Arial" w:eastAsia="Arial" w:hAnsi="Arial"/>
          <w:color w:val="1D2939"/>
          <w:sz w:val="21"/>
          <w:szCs w:val="21"/>
        </w:rPr>
        <w:t xml:space="preserve"/>
      </w:r>
    </w:p>
    <w:p>
      <w:pPr>
        <w:pStyle w:val="Heading1"/>
        <w:spacing w:after="140" w:before="320"/>
      </w:pPr>
      <w:r>
        <w:rPr>
          <w:rFonts w:ascii="Arial" w:cs="Arial" w:eastAsia="Arial" w:hAnsi="Arial"/>
          <w:b/>
          <w:bCs/>
          <w:color w:val="0D1B2A"/>
          <w:sz w:val="26"/>
          <w:szCs w:val="26"/>
        </w:rPr>
        <w:t xml:space="preserve">5. Aboriginal and Torres Strait Islander participation</w:t>
      </w:r>
    </w:p>
    <w:p>
      <w:pPr>
        <w:pBdr>
          <w:left w:val="single" w:color="FFC451" w:sz="12" w:space="12"/>
        </w:pBdr>
        <w:spacing w:after="180"/>
        <w:ind w:left="220"/>
      </w:pPr>
      <w:r>
        <w:rPr>
          <w:rFonts w:ascii="Arial" w:cs="Arial" w:eastAsia="Arial" w:hAnsi="Arial"/>
          <w:i/>
          <w:iCs/>
          <w:color w:val="667085"/>
          <w:sz w:val="18"/>
          <w:szCs w:val="18"/>
        </w:rPr>
        <w:t xml:space="preserve">Participation must be genuine and appropriately supported. Where members are asked to contribute cultural knowledge or lived experience, consider whether that contribution is being recognised — including through remuneration for external community representatives, and workload relief for internal staff.</w:t>
      </w:r>
    </w:p>
    <w:p>
      <w:pPr>
        <w:pStyle w:val="ListParagraph"/>
        <w:numPr>
          <w:ilvl w:val="0"/>
          <w:numId w:val="2"/>
        </w:numPr>
        <w:spacing w:after="90"/>
      </w:pPr>
      <w:r>
        <w:rPr>
          <w:rFonts w:ascii="Arial" w:cs="Arial" w:eastAsia="Arial" w:hAnsi="Arial"/>
          <w:color w:val="1D2939"/>
          <w:sz w:val="21"/>
          <w:szCs w:val="21"/>
        </w:rPr>
        <w:t xml:space="preserve">The Working Group will include Aboriginal and Torres Strait Islander representation and/or formal cultural advice</w:t>
      </w:r>
    </w:p>
    <w:p>
      <w:pPr>
        <w:pStyle w:val="ListParagraph"/>
        <w:numPr>
          <w:ilvl w:val="0"/>
          <w:numId w:val="2"/>
        </w:numPr>
        <w:spacing w:after="90"/>
      </w:pPr>
      <w:r>
        <w:rPr>
          <w:rFonts w:ascii="Arial" w:cs="Arial" w:eastAsia="Arial" w:hAnsi="Arial"/>
          <w:color w:val="1D2939"/>
          <w:sz w:val="21"/>
          <w:szCs w:val="21"/>
        </w:rPr>
        <w:t xml:space="preserve">External community representatives will be remunerated at [RATE / ARRANGEMENT] for their time and expertise</w:t>
      </w:r>
    </w:p>
    <w:p>
      <w:pPr>
        <w:pStyle w:val="ListParagraph"/>
        <w:numPr>
          <w:ilvl w:val="0"/>
          <w:numId w:val="2"/>
        </w:numPr>
        <w:spacing w:after="90"/>
      </w:pPr>
      <w:r>
        <w:rPr>
          <w:rFonts w:ascii="Arial" w:cs="Arial" w:eastAsia="Arial" w:hAnsi="Arial"/>
          <w:color w:val="1D2939"/>
          <w:sz w:val="21"/>
          <w:szCs w:val="21"/>
        </w:rPr>
        <w:t xml:space="preserve">Internal Aboriginal and Torres Strait Islander staff participating will have this reflected in workload allocation, not added on top of existing duties</w:t>
      </w:r>
    </w:p>
    <w:p>
      <w:pPr>
        <w:pStyle w:val="ListParagraph"/>
        <w:numPr>
          <w:ilvl w:val="0"/>
          <w:numId w:val="2"/>
        </w:numPr>
        <w:spacing w:after="90"/>
      </w:pPr>
      <w:r>
        <w:rPr>
          <w:rFonts w:ascii="Arial" w:cs="Arial" w:eastAsia="Arial" w:hAnsi="Arial"/>
          <w:color w:val="1D2939"/>
          <w:sz w:val="21"/>
          <w:szCs w:val="21"/>
        </w:rPr>
        <w:t xml:space="preserve">No member will be expected to speak on behalf of all Aboriginal and Torres Strait Islander peoples</w:t>
      </w:r>
    </w:p>
    <w:p>
      <w:pPr>
        <w:pStyle w:val="Heading1"/>
        <w:spacing w:after="140" w:before="320"/>
      </w:pPr>
      <w:r>
        <w:rPr>
          <w:rFonts w:ascii="Arial" w:cs="Arial" w:eastAsia="Arial" w:hAnsi="Arial"/>
          <w:b/>
          <w:bCs/>
          <w:color w:val="0D1B2A"/>
          <w:sz w:val="26"/>
          <w:szCs w:val="26"/>
        </w:rPr>
        <w:t xml:space="preserve">6. Responsibilities</w:t>
      </w:r>
    </w:p>
    <w:p>
      <w:pPr>
        <w:pStyle w:val="ListParagraph"/>
        <w:numPr>
          <w:ilvl w:val="0"/>
          <w:numId w:val="2"/>
        </w:numPr>
        <w:spacing w:after="90"/>
      </w:pPr>
      <w:r>
        <w:rPr>
          <w:rFonts w:ascii="Arial" w:cs="Arial" w:eastAsia="Arial" w:hAnsi="Arial"/>
          <w:color w:val="1D2939"/>
          <w:sz w:val="21"/>
          <w:szCs w:val="21"/>
        </w:rPr>
        <w:t xml:space="preserve">Develop the RAP and submit it to Reconciliation Australia for endorsement</w:t>
      </w:r>
    </w:p>
    <w:p>
      <w:pPr>
        <w:pStyle w:val="ListParagraph"/>
        <w:numPr>
          <w:ilvl w:val="0"/>
          <w:numId w:val="2"/>
        </w:numPr>
        <w:spacing w:after="90"/>
      </w:pPr>
      <w:r>
        <w:rPr>
          <w:rFonts w:ascii="Arial" w:cs="Arial" w:eastAsia="Arial" w:hAnsi="Arial"/>
          <w:color w:val="1D2939"/>
          <w:sz w:val="21"/>
          <w:szCs w:val="21"/>
        </w:rPr>
        <w:t xml:space="preserve">Maintain the RAP action register, ensuring every action has a named owner, deliverable, timeframe, measure and evidence source</w:t>
      </w:r>
    </w:p>
    <w:p>
      <w:pPr>
        <w:pStyle w:val="ListParagraph"/>
        <w:numPr>
          <w:ilvl w:val="0"/>
          <w:numId w:val="2"/>
        </w:numPr>
        <w:spacing w:after="90"/>
      </w:pPr>
      <w:r>
        <w:rPr>
          <w:rFonts w:ascii="Arial" w:cs="Arial" w:eastAsia="Arial" w:hAnsi="Arial"/>
          <w:color w:val="1D2939"/>
          <w:sz w:val="21"/>
          <w:szCs w:val="21"/>
        </w:rPr>
        <w:t xml:space="preserve">Review delivery status against every action at each meeting</w:t>
      </w:r>
    </w:p>
    <w:p>
      <w:pPr>
        <w:pStyle w:val="ListParagraph"/>
        <w:numPr>
          <w:ilvl w:val="0"/>
          <w:numId w:val="2"/>
        </w:numPr>
        <w:spacing w:after="90"/>
      </w:pPr>
      <w:r>
        <w:rPr>
          <w:rFonts w:ascii="Arial" w:cs="Arial" w:eastAsia="Arial" w:hAnsi="Arial"/>
          <w:color w:val="1D2939"/>
          <w:sz w:val="21"/>
          <w:szCs w:val="21"/>
        </w:rPr>
        <w:t xml:space="preserve">Ensure evidence is captured as work is delivered, rather than reconstructed at reporting time</w:t>
      </w:r>
    </w:p>
    <w:p>
      <w:pPr>
        <w:pStyle w:val="ListParagraph"/>
        <w:numPr>
          <w:ilvl w:val="0"/>
          <w:numId w:val="2"/>
        </w:numPr>
        <w:spacing w:after="90"/>
      </w:pPr>
      <w:r>
        <w:rPr>
          <w:rFonts w:ascii="Arial" w:cs="Arial" w:eastAsia="Arial" w:hAnsi="Arial"/>
          <w:color w:val="1D2939"/>
          <w:sz w:val="21"/>
          <w:szCs w:val="21"/>
        </w:rPr>
        <w:t xml:space="preserve">Report progress to [BOARD / EXECUTIVE] on a [QUARTERLY / SIX-MONTHLY] basis</w:t>
      </w:r>
    </w:p>
    <w:p>
      <w:pPr>
        <w:pStyle w:val="ListParagraph"/>
        <w:numPr>
          <w:ilvl w:val="0"/>
          <w:numId w:val="2"/>
        </w:numPr>
        <w:spacing w:after="90"/>
      </w:pPr>
      <w:r>
        <w:rPr>
          <w:rFonts w:ascii="Arial" w:cs="Arial" w:eastAsia="Arial" w:hAnsi="Arial"/>
          <w:color w:val="1D2939"/>
          <w:sz w:val="21"/>
          <w:szCs w:val="21"/>
        </w:rPr>
        <w:t xml:space="preserve">Complete Reconciliation Australia’s annual RAP Impact Survey</w:t>
      </w:r>
    </w:p>
    <w:p>
      <w:pPr>
        <w:pStyle w:val="ListParagraph"/>
        <w:numPr>
          <w:ilvl w:val="0"/>
          <w:numId w:val="2"/>
        </w:numPr>
        <w:spacing w:after="90"/>
      </w:pPr>
      <w:r>
        <w:rPr>
          <w:rFonts w:ascii="Arial" w:cs="Arial" w:eastAsia="Arial" w:hAnsi="Arial"/>
          <w:color w:val="1D2939"/>
          <w:sz w:val="21"/>
          <w:szCs w:val="21"/>
        </w:rPr>
        <w:t xml:space="preserve">Begin renewal planning no later than [SIX] months before the RAP expires</w:t>
      </w:r>
    </w:p>
    <w:p>
      <w:pPr>
        <w:pStyle w:val="Heading1"/>
        <w:spacing w:after="140" w:before="320"/>
      </w:pPr>
      <w:r>
        <w:rPr>
          <w:rFonts w:ascii="Arial" w:cs="Arial" w:eastAsia="Arial" w:hAnsi="Arial"/>
          <w:b/>
          <w:bCs/>
          <w:color w:val="0D1B2A"/>
          <w:sz w:val="26"/>
          <w:szCs w:val="26"/>
        </w:rPr>
        <w:t xml:space="preserve">7. Meetings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Frequency</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[MONTHLY / SIX-WEEKLY] — at minimum quarterly</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Quorum</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[NUMBER] members, which must include the Chair or Executive Sponsor and at least one Aboriginal or Torres Strait Islander member</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Papers circulated</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[FIVE] business days before each meeting</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Minutes circulated</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Within [FIVE] business days after each meeting</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Standing agenda item</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Action register review — status of every commitment</w:t>
            </w:r>
          </w:p>
        </w:tc>
      </w:tr>
    </w:tbl>
    <w:p>
      <w:pPr>
        <w:spacing w:after="160"/>
      </w:pPr>
      <w:r>
        <w:rPr>
          <w:rFonts w:ascii="Arial" w:cs="Arial" w:eastAsia="Arial" w:hAnsi="Arial"/>
          <w:color w:val="1D2939"/>
          <w:sz w:val="21"/>
          <w:szCs w:val="21"/>
        </w:rPr>
        <w:t xml:space="preserve"/>
      </w:r>
    </w:p>
    <w:p>
      <w:pPr>
        <w:pStyle w:val="Heading1"/>
        <w:spacing w:after="140" w:before="320"/>
      </w:pPr>
      <w:r>
        <w:rPr>
          <w:rFonts w:ascii="Arial" w:cs="Arial" w:eastAsia="Arial" w:hAnsi="Arial"/>
          <w:b/>
          <w:bCs/>
          <w:color w:val="0D1B2A"/>
          <w:sz w:val="26"/>
          <w:szCs w:val="26"/>
        </w:rPr>
        <w:t xml:space="preserve">8. Reporting</w:t>
      </w:r>
    </w:p>
    <w:p>
      <w:pPr>
        <w:spacing w:after="120"/>
      </w:pPr>
      <w:r>
        <w:rPr>
          <w:rFonts w:ascii="Arial" w:cs="Arial" w:eastAsia="Arial" w:hAnsi="Arial"/>
          <w:color w:val="1D2939"/>
          <w:sz w:val="21"/>
          <w:szCs w:val="21"/>
        </w:rPr>
        <w:t xml:space="preserve">The Working Group reports to [BOARD / EXECUTIVE COMMITTEE]. Reporting will include delivery status against every commitment, evidence captured, and — explicitly — any actions that are at risk or will not be delivered as written.</w:t>
      </w:r>
    </w:p>
    <w:p>
      <w:pPr>
        <w:pBdr>
          <w:left w:val="single" w:color="FFC451" w:sz="12" w:space="12"/>
        </w:pBdr>
        <w:spacing w:after="180"/>
        <w:ind w:left="220"/>
      </w:pPr>
      <w:r>
        <w:rPr>
          <w:rFonts w:ascii="Arial" w:cs="Arial" w:eastAsia="Arial" w:hAnsi="Arial"/>
          <w:i/>
          <w:iCs/>
          <w:color w:val="667085"/>
          <w:sz w:val="18"/>
          <w:szCs w:val="18"/>
        </w:rPr>
        <w:t xml:space="preserve">Reporting only the successes is the habit that causes trouble at renewal. Reconciliation Australia’s framework expects honest assessment, and a report that has never once flagged a problem is not usually a sign that nothing went wrong.</w:t>
      </w:r>
    </w:p>
    <w:p>
      <w:pPr>
        <w:pStyle w:val="Heading1"/>
        <w:spacing w:after="140" w:before="320"/>
      </w:pPr>
      <w:r>
        <w:rPr>
          <w:rFonts w:ascii="Arial" w:cs="Arial" w:eastAsia="Arial" w:hAnsi="Arial"/>
          <w:b/>
          <w:bCs/>
          <w:color w:val="0D1B2A"/>
          <w:sz w:val="26"/>
          <w:szCs w:val="26"/>
        </w:rPr>
        <w:t xml:space="preserve">9. Review of these terms</w:t>
      </w:r>
    </w:p>
    <w:p>
      <w:pPr>
        <w:spacing w:after="120"/>
      </w:pPr>
      <w:r>
        <w:rPr>
          <w:rFonts w:ascii="Arial" w:cs="Arial" w:eastAsia="Arial" w:hAnsi="Arial"/>
          <w:color w:val="1D2939"/>
          <w:sz w:val="21"/>
          <w:szCs w:val="21"/>
        </w:rPr>
        <w:t xml:space="preserve">These Terms of Reference will be reviewed [ANNUALLY], and additionally whenever the Executive Sponsor changes, the organisation restructures, or a new RAP is submitted.</w:t>
      </w:r>
    </w:p>
    <w:p>
      <w:pPr>
        <w:pBdr>
          <w:top w:val="single" w:color="D0D5DD" w:sz="8" w:space="10"/>
        </w:pBdr>
        <w:spacing w:after="120" w:before="400"/>
      </w:pPr>
      <w:r>
        <w:rPr>
          <w:rFonts w:ascii="Arial" w:cs="Arial" w:eastAsia="Arial" w:hAnsi="Arial"/>
          <w:b/>
          <w:bCs/>
          <w:color w:val="0D1B2A"/>
          <w:sz w:val="23"/>
          <w:szCs w:val="23"/>
        </w:rPr>
        <w:t xml:space="preserve">Approval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Approved by</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[NAME, ROLE]</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Date approved</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[DATE]</w:t>
            </w:r>
          </w:p>
        </w:tc>
      </w:tr>
      <w:tr>
        <w:tc>
          <w:tcPr>
            <w:tcW w:type="dxa" w:w="3200"/>
            <w:shd w:fill="F2F4F7" w:val="clear"/>
            <w:tcMar>
              <w:top w:type="dxa" w:w="80"/>
              <w:left w:type="dxa" w:w="120"/>
              <w:bottom w:type="dxa" w:w="80"/>
              <w:right w:type="dxa" w:w="120"/>
            </w:tcMar>
          </w:tcPr>
          <w:p>
            <w:pPr>
              <w:spacing w:after="0"/>
            </w:pPr>
            <w:r>
              <w:rPr>
                <w:rFonts w:ascii="Arial" w:cs="Arial" w:eastAsia="Arial" w:hAnsi="Arial"/>
                <w:b/>
                <w:bCs/>
                <w:color w:val="1D2939"/>
                <w:sz w:val="20"/>
                <w:szCs w:val="20"/>
              </w:rPr>
              <w:t xml:space="preserve">Next review due</w:t>
            </w:r>
          </w:p>
        </w:tc>
        <w:tc>
          <w:tcPr>
            <w:tcW w:type="dxa" w:w="6100"/>
            <w:shd w:fill="FFF8E7" w:val="clear"/>
            <w:tcMar>
              <w:top w:type="dxa" w:w="80"/>
              <w:left w:type="dxa" w:w="120"/>
              <w:bottom w:type="dxa" w:w="80"/>
              <w:right w:type="dxa" w:w="120"/>
            </w:tcMar>
          </w:tcPr>
          <w:p>
            <w:pPr>
              <w:spacing w:after="0"/>
            </w:pPr>
            <w:r>
              <w:rPr>
                <w:rFonts w:ascii="Arial" w:cs="Arial" w:eastAsia="Arial" w:hAnsi="Arial"/>
                <w:i/>
                <w:iCs/>
                <w:color w:val="667085"/>
                <w:sz w:val="20"/>
                <w:szCs w:val="20"/>
              </w:rPr>
              <w:t xml:space="preserve">[DATE]</w:t>
            </w:r>
          </w:p>
        </w:tc>
      </w:tr>
    </w:tbl>
    <w:p>
      <w:pPr>
        <w:spacing w:before="500"/>
      </w:pPr>
      <w:r>
        <w:rPr>
          <w:rFonts w:ascii="Arial" w:cs="Arial" w:eastAsia="Arial" w:hAnsi="Arial"/>
          <w:i/>
          <w:iCs/>
          <w:color w:val="667085"/>
          <w:sz w:val="17"/>
          <w:szCs w:val="17"/>
        </w:rPr>
        <w:t xml:space="preserve">Template provided by 2Ways Consultancy — 2waysconsultancy.com.au — free to use and adapt. Corresponds to Phase 2 (Foundation) of the 2Ways RAP Delivery Framework.</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2026-08-03T08:51:43.783Z</dcterms:created>
  <dcterms:modified xsi:type="dcterms:W3CDTF">2026-08-03T08:51:43.783Z</dcterms:modified>
</cp:coreProperties>
</file>

<file path=docProps/custom.xml><?xml version="1.0" encoding="utf-8"?>
<Properties xmlns="http://schemas.openxmlformats.org/officeDocument/2006/custom-properties" xmlns:vt="http://schemas.openxmlformats.org/officeDocument/2006/docPropsVTypes"/>
</file>