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07D0A"/>
          <w:spacing w:val="40"/>
          <w:sz w:val="18"/>
          <w:szCs w:val="18"/>
        </w:rPr>
        <w:t xml:space="preserve">TEMPLATE</w:t>
      </w:r>
    </w:p>
    <w:p>
      <w:pPr>
        <w:pBdr>
          <w:bottom w:val="single" w:color="D0D5DD" w:sz="8" w:space="8"/>
        </w:pBdr>
        <w:spacing w:after="200"/>
      </w:pPr>
      <w:r>
        <w:rPr>
          <w:rFonts w:ascii="Arial" w:cs="Arial" w:eastAsia="Arial" w:hAnsi="Arial"/>
          <w:b/>
          <w:bCs/>
          <w:color w:val="0D1B2A"/>
          <w:sz w:val="34"/>
          <w:szCs w:val="34"/>
        </w:rPr>
        <w:t xml:space="preserve">RAP Working Group — Terms of Reference</w:t>
      </w:r>
    </w:p>
    <w:p>
      <w:pPr>
        <w:spacing w:after="260"/>
      </w:pPr>
      <w:r>
        <w:rPr>
          <w:rFonts w:ascii="Arial" w:cs="Arial" w:eastAsia="Arial" w:hAnsi="Arial"/>
          <w:i/>
          <w:iCs/>
          <w:color w:val="667085"/>
          <w:sz w:val="20"/>
          <w:szCs w:val="20"/>
        </w:rPr>
        <w:t>Replace every highlighted field and bracketed prompt with your own detail.</w:t>
      </w:r>
    </w:p>
    <w:p>
      <w:pPr>
        <w:pStyle w:val="Heading1"/>
        <w:spacing w:after="140" w:before="320"/>
      </w:pPr>
      <w:r>
        <w:rPr>
          <w:rFonts w:ascii="Arial" w:cs="Arial" w:eastAsia="Arial" w:hAnsi="Arial"/>
          <w:b/>
          <w:bCs/>
          <w:color w:val="0D1B2A"/>
          <w:sz w:val="26"/>
          <w:szCs w:val="26"/>
        </w:rPr>
        <w:t xml:space="preserve">1. Purpose</w:t>
      </w:r>
    </w:p>
    <w:p>
      <w:pPr>
        <w:spacing w:after="120"/>
      </w:pPr>
      <w:r>
        <w:rPr>
          <w:rFonts w:ascii="Arial" w:cs="Arial" w:eastAsia="Arial" w:hAnsi="Arial"/>
          <w:color w:val="1D2939"/>
          <w:sz w:val="21"/>
          <w:szCs w:val="21"/>
        </w:rPr>
        <w:t xml:space="preserve">The [ORGANISATION NAME] RAP Working Group (“the Working Group”) is established to develop, govern and oversee delivery of the organisation’s Reconciliation Action Plan (“the RAP”), and to hold the organisation accountable for the commitments made within it.</w:t>
      </w:r>
    </w:p>
    <w:p>
      <w:pPr>
        <w:pStyle w:val="Heading1"/>
        <w:spacing w:after="140" w:before="320"/>
      </w:pPr>
      <w:r>
        <w:rPr>
          <w:rFonts w:ascii="Arial" w:cs="Arial" w:eastAsia="Arial" w:hAnsi="Arial"/>
          <w:b/>
          <w:bCs/>
          <w:color w:val="0D1B2A"/>
          <w:sz w:val="26"/>
          <w:szCs w:val="26"/>
        </w:rPr>
        <w:t xml:space="preserve">2. Authority</w:t>
      </w:r>
    </w:p>
    <w:p>
      <w:pPr>
        <w:spacing w:after="120"/>
      </w:pPr>
      <w:r>
        <w:rPr>
          <w:rFonts w:ascii="Arial" w:cs="Arial" w:eastAsia="Arial" w:hAnsi="Arial"/>
          <w:color w:val="1D2939"/>
          <w:sz w:val="21"/>
          <w:szCs w:val="21"/>
        </w:rPr>
        <w:t xml:space="preserve">The Working Group is authorised by [BOARD / EXECUTIVE COMMITTEE] to:</w:t>
      </w:r>
    </w:p>
    <w:p>
      <w:pPr>
        <w:pStyle w:val="ListParagraph"/>
        <w:numPr>
          <w:ilvl w:val="0"/>
          <w:numId w:val="2"/>
        </w:numPr>
        <w:spacing w:after="90"/>
      </w:pPr>
      <w:r>
        <w:rPr>
          <w:rFonts w:ascii="Arial" w:cs="Arial" w:eastAsia="Arial" w:hAnsi="Arial"/>
          <w:color w:val="1D2939"/>
          <w:sz w:val="21"/>
          <w:szCs w:val="21"/>
        </w:rPr>
        <w:t>[List the specific decisions the Working Group can make]</w:t>
      </w:r>
    </w:p>
    <w:p>
      <w:pPr>
        <w:pStyle w:val="ListParagraph"/>
        <w:numPr>
          <w:ilvl w:val="0"/>
          <w:numId w:val="2"/>
        </w:numPr>
        <w:spacing w:after="90"/>
      </w:pPr>
      <w:r>
        <w:rPr>
          <w:rFonts w:ascii="Arial" w:cs="Arial" w:eastAsia="Arial" w:hAnsi="Arial"/>
          <w:color w:val="1D2939"/>
          <w:sz w:val="21"/>
          <w:szCs w:val="21"/>
        </w:rPr>
        <w:t>[State the budget the Working Group controls, if any]</w:t>
      </w:r>
    </w:p>
    <w:p>
      <w:pPr>
        <w:pStyle w:val="ListParagraph"/>
        <w:numPr>
          <w:ilvl w:val="0"/>
          <w:numId w:val="2"/>
        </w:numPr>
        <w:spacing w:after="90"/>
      </w:pPr>
      <w:r>
        <w:rPr>
          <w:rFonts w:ascii="Arial" w:cs="Arial" w:eastAsia="Arial" w:hAnsi="Arial"/>
          <w:color w:val="1D2939"/>
          <w:sz w:val="21"/>
          <w:szCs w:val="21"/>
        </w:rPr>
        <w:t>[State who the Working Group can request updates from]</w:t>
      </w:r>
    </w:p>
    <w:p>
      <w:pPr>
        <w:pStyle w:val="ListParagraph"/>
        <w:numPr>
          <w:ilvl w:val="0"/>
          <w:numId w:val="2"/>
        </w:numPr>
        <w:spacing w:after="90"/>
      </w:pPr>
      <w:r>
        <w:rPr>
          <w:rFonts w:ascii="Arial" w:cs="Arial" w:eastAsia="Arial" w:hAnsi="Arial"/>
          <w:color w:val="1D2939"/>
          <w:sz w:val="21"/>
          <w:szCs w:val="21"/>
        </w:rPr>
        <w:t>[State the escalation path]</w:t>
      </w:r>
    </w:p>
    <w:p>
      <w:pPr>
        <w:pStyle w:val="Heading1"/>
        <w:spacing w:after="140" w:before="320"/>
      </w:pPr>
      <w:r>
        <w:rPr>
          <w:rFonts w:ascii="Arial" w:cs="Arial" w:eastAsia="Arial" w:hAnsi="Arial"/>
          <w:b/>
          <w:bCs/>
          <w:color w:val="0D1B2A"/>
          <w:sz w:val="26"/>
          <w:szCs w:val="26"/>
        </w:rPr>
        <w:t xml:space="preserve">3. Executive sponsor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Executive sponsor</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ROLE]</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Accountability</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[State how RAP delivery is reflected in this role's accountabilities]</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Attendance</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Attends [ALL / QUARTERLY] Working Group meetings</w:t>
            </w:r>
          </w:p>
        </w:tc>
      </w:tr>
    </w:tbl>
    <w:p>
      <w:pPr>
        <w:spacing w:after="160"/>
      </w:pPr>
      <w:r>
        <w:rPr>
          <w:rFonts w:ascii="Arial" w:cs="Arial" w:eastAsia="Arial" w:hAnsi="Arial"/>
          <w:color w:val="1D2939"/>
          <w:sz w:val="21"/>
          <w:szCs w:val="21"/>
        </w:rPr>
        <w:t xml:space="preserve"/>
      </w:r>
    </w:p>
    <w:p>
      <w:pPr>
        <w:pStyle w:val="Heading1"/>
        <w:spacing w:after="140" w:before="320"/>
      </w:pPr>
      <w:r>
        <w:rPr>
          <w:rFonts w:ascii="Arial" w:cs="Arial" w:eastAsia="Arial" w:hAnsi="Arial"/>
          <w:b/>
          <w:bCs/>
          <w:color w:val="0D1B2A"/>
          <w:sz w:val="26"/>
          <w:szCs w:val="26"/>
        </w:rPr>
        <w:t xml:space="preserve">4. Membership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Chair</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ROLE]</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Aboriginal and Torres Strait Islander members</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[NAMES / ROLES]</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Cultural advisor (internal or external)</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 ORGANISATION]</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People / HR representative</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ROLE]</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Procurement representative</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ROLE]</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Communications representative</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ROLE]</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Operational business unit representatives</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[NAMES, ROLES]</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Secretariat</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ROLE]</w:t>
            </w:r>
          </w:p>
        </w:tc>
      </w:tr>
    </w:tbl>
    <w:p>
      <w:pPr>
        <w:spacing w:after="160"/>
      </w:pPr>
      <w:r>
        <w:rPr>
          <w:rFonts w:ascii="Arial" w:cs="Arial" w:eastAsia="Arial" w:hAnsi="Arial"/>
          <w:color w:val="1D2939"/>
          <w:sz w:val="21"/>
          <w:szCs w:val="21"/>
        </w:rPr>
        <w:t xml:space="preserve"/>
      </w:r>
    </w:p>
    <w:p>
      <w:pPr>
        <w:pStyle w:val="Heading1"/>
        <w:spacing w:after="140" w:before="320"/>
      </w:pPr>
      <w:r>
        <w:rPr>
          <w:rFonts w:ascii="Arial" w:cs="Arial" w:eastAsia="Arial" w:hAnsi="Arial"/>
          <w:b/>
          <w:bCs/>
          <w:color w:val="0D1B2A"/>
          <w:sz w:val="26"/>
          <w:szCs w:val="26"/>
        </w:rPr>
        <w:t xml:space="preserve">5. Aboriginal and Torres Strait Islander participation</w:t>
      </w:r>
    </w:p>
    <w:p>
      <w:pPr>
        <w:pStyle w:val="ListParagraph"/>
        <w:numPr>
          <w:ilvl w:val="0"/>
          <w:numId w:val="2"/>
        </w:numPr>
        <w:spacing w:after="90"/>
      </w:pPr>
      <w:r>
        <w:rPr>
          <w:rFonts w:ascii="Arial" w:cs="Arial" w:eastAsia="Arial" w:hAnsi="Arial"/>
          <w:color w:val="1D2939"/>
          <w:sz w:val="21"/>
          <w:szCs w:val="21"/>
        </w:rPr>
        <w:t xml:space="preserve">The Working Group will include Aboriginal and Torres Strait Islander representation and/or formal cultural advice</w:t>
      </w:r>
    </w:p>
    <w:p>
      <w:pPr>
        <w:pStyle w:val="ListParagraph"/>
        <w:numPr>
          <w:ilvl w:val="0"/>
          <w:numId w:val="2"/>
        </w:numPr>
        <w:spacing w:after="90"/>
      </w:pPr>
      <w:r>
        <w:rPr>
          <w:rFonts w:ascii="Arial" w:cs="Arial" w:eastAsia="Arial" w:hAnsi="Arial"/>
          <w:color w:val="1D2939"/>
          <w:sz w:val="21"/>
          <w:szCs w:val="21"/>
        </w:rPr>
        <w:t>[Set out how participation is supported and recognised]</w:t>
      </w:r>
    </w:p>
    <w:p>
      <w:pPr>
        <w:pStyle w:val="ListParagraph"/>
        <w:numPr>
          <w:ilvl w:val="0"/>
          <w:numId w:val="2"/>
        </w:numPr>
        <w:spacing w:after="90"/>
      </w:pPr>
      <w:r>
        <w:rPr>
          <w:rFonts w:ascii="Arial" w:cs="Arial" w:eastAsia="Arial" w:hAnsi="Arial"/>
          <w:color w:val="1D2939"/>
          <w:sz w:val="21"/>
          <w:szCs w:val="21"/>
        </w:rPr>
        <w:t xml:space="preserve">No member will be expected to speak on behalf of all Aboriginal and Torres Strait Islander peoples</w:t>
      </w:r>
    </w:p>
    <w:p>
      <w:pPr>
        <w:pStyle w:val="Heading1"/>
        <w:spacing w:after="140" w:before="320"/>
      </w:pPr>
      <w:r>
        <w:rPr>
          <w:rFonts w:ascii="Arial" w:cs="Arial" w:eastAsia="Arial" w:hAnsi="Arial"/>
          <w:b/>
          <w:bCs/>
          <w:color w:val="0D1B2A"/>
          <w:sz w:val="26"/>
          <w:szCs w:val="26"/>
        </w:rPr>
        <w:t xml:space="preserve">6. Responsibilities</w:t>
      </w:r>
    </w:p>
    <w:p>
      <w:pPr>
        <w:pStyle w:val="ListParagraph"/>
        <w:numPr>
          <w:ilvl w:val="0"/>
          <w:numId w:val="2"/>
        </w:numPr>
        <w:spacing w:after="90"/>
      </w:pPr>
      <w:r>
        <w:rPr>
          <w:rFonts w:ascii="Arial" w:cs="Arial" w:eastAsia="Arial" w:hAnsi="Arial"/>
          <w:color w:val="1D2939"/>
          <w:sz w:val="21"/>
          <w:szCs w:val="21"/>
        </w:rPr>
        <w:t xml:space="preserve">Develop the RAP and submit it to Reconciliation Australia for endorsement</w:t>
      </w:r>
    </w:p>
    <w:p>
      <w:pPr>
        <w:pStyle w:val="ListParagraph"/>
        <w:numPr>
          <w:ilvl w:val="0"/>
          <w:numId w:val="2"/>
        </w:numPr>
        <w:spacing w:after="90"/>
      </w:pPr>
      <w:r>
        <w:rPr>
          <w:rFonts w:ascii="Arial" w:cs="Arial" w:eastAsia="Arial" w:hAnsi="Arial"/>
          <w:color w:val="1D2939"/>
          <w:sz w:val="21"/>
          <w:szCs w:val="21"/>
        </w:rPr>
        <w:t>Maintain the RAP action register</w:t>
      </w:r>
    </w:p>
    <w:p>
      <w:pPr>
        <w:pStyle w:val="ListParagraph"/>
        <w:numPr>
          <w:ilvl w:val="0"/>
          <w:numId w:val="2"/>
        </w:numPr>
        <w:spacing w:after="90"/>
      </w:pPr>
      <w:r>
        <w:rPr>
          <w:rFonts w:ascii="Arial" w:cs="Arial" w:eastAsia="Arial" w:hAnsi="Arial"/>
          <w:color w:val="1D2939"/>
          <w:sz w:val="21"/>
          <w:szCs w:val="21"/>
        </w:rPr>
        <w:t xml:space="preserve">Review delivery status against every action at each meeting</w:t>
      </w:r>
    </w:p>
    <w:p>
      <w:pPr>
        <w:pStyle w:val="ListParagraph"/>
        <w:numPr>
          <w:ilvl w:val="0"/>
          <w:numId w:val="2"/>
        </w:numPr>
        <w:spacing w:after="90"/>
      </w:pPr>
      <w:r>
        <w:rPr>
          <w:rFonts w:ascii="Arial" w:cs="Arial" w:eastAsia="Arial" w:hAnsi="Arial"/>
          <w:color w:val="1D2939"/>
          <w:sz w:val="21"/>
          <w:szCs w:val="21"/>
        </w:rPr>
        <w:t>Ensure evidence is captured for delivered actions</w:t>
      </w:r>
    </w:p>
    <w:p>
      <w:pPr>
        <w:pStyle w:val="ListParagraph"/>
        <w:numPr>
          <w:ilvl w:val="0"/>
          <w:numId w:val="2"/>
        </w:numPr>
        <w:spacing w:after="90"/>
      </w:pPr>
      <w:r>
        <w:rPr>
          <w:rFonts w:ascii="Arial" w:cs="Arial" w:eastAsia="Arial" w:hAnsi="Arial"/>
          <w:color w:val="1D2939"/>
          <w:sz w:val="21"/>
          <w:szCs w:val="21"/>
        </w:rPr>
        <w:t xml:space="preserve">Report progress to [BOARD / EXECUTIVE] on a [QUARTERLY / SIX-MONTHLY] basis</w:t>
      </w:r>
    </w:p>
    <w:p>
      <w:pPr>
        <w:pStyle w:val="ListParagraph"/>
        <w:numPr>
          <w:ilvl w:val="0"/>
          <w:numId w:val="2"/>
        </w:numPr>
        <w:spacing w:after="90"/>
      </w:pPr>
      <w:r>
        <w:rPr>
          <w:rFonts w:ascii="Arial" w:cs="Arial" w:eastAsia="Arial" w:hAnsi="Arial"/>
          <w:color w:val="1D2939"/>
          <w:sz w:val="21"/>
          <w:szCs w:val="21"/>
        </w:rPr>
        <w:t xml:space="preserve">Complete Reconciliation Australia’s annual RAP Impact Survey</w:t>
      </w:r>
    </w:p>
    <w:p>
      <w:pPr>
        <w:pStyle w:val="ListParagraph"/>
        <w:numPr>
          <w:ilvl w:val="0"/>
          <w:numId w:val="2"/>
        </w:numPr>
        <w:spacing w:after="90"/>
      </w:pPr>
      <w:r>
        <w:rPr>
          <w:rFonts w:ascii="Arial" w:cs="Arial" w:eastAsia="Arial" w:hAnsi="Arial"/>
          <w:color w:val="1D2939"/>
          <w:sz w:val="21"/>
          <w:szCs w:val="21"/>
        </w:rPr>
        <w:t xml:space="preserve">Begin renewal planning no later than [SIX] months before the RAP expires</w:t>
      </w:r>
    </w:p>
    <w:p>
      <w:pPr>
        <w:pStyle w:val="Heading1"/>
        <w:spacing w:after="140" w:before="320"/>
      </w:pPr>
      <w:r>
        <w:rPr>
          <w:rFonts w:ascii="Arial" w:cs="Arial" w:eastAsia="Arial" w:hAnsi="Arial"/>
          <w:b/>
          <w:bCs/>
          <w:color w:val="0D1B2A"/>
          <w:sz w:val="26"/>
          <w:szCs w:val="26"/>
        </w:rPr>
        <w:t xml:space="preserve">7. Meetings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Frequency</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[MONTHLY / SIX-WEEKLY] — at minimum quarterly</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Quorum</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[NUMBER] members, which must include the Chair or Executive Sponsor and at least one Aboriginal or Torres Strait Islander member</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Papers circulated</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[FIVE] business days before each meeting</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Minutes circulated</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Within [FIVE] business days after each meeting</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Standing agenda item</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[Standing agenda items]</w:t>
            </w:r>
          </w:p>
        </w:tc>
      </w:tr>
    </w:tbl>
    <w:p>
      <w:pPr>
        <w:spacing w:after="160"/>
      </w:pPr>
      <w:r>
        <w:rPr>
          <w:rFonts w:ascii="Arial" w:cs="Arial" w:eastAsia="Arial" w:hAnsi="Arial"/>
          <w:color w:val="1D2939"/>
          <w:sz w:val="21"/>
          <w:szCs w:val="21"/>
        </w:rPr>
        <w:t xml:space="preserve"/>
      </w:r>
    </w:p>
    <w:p>
      <w:pPr>
        <w:pStyle w:val="Heading1"/>
        <w:spacing w:after="140" w:before="320"/>
      </w:pPr>
      <w:r>
        <w:rPr>
          <w:rFonts w:ascii="Arial" w:cs="Arial" w:eastAsia="Arial" w:hAnsi="Arial"/>
          <w:b/>
          <w:bCs/>
          <w:color w:val="0D1B2A"/>
          <w:sz w:val="26"/>
          <w:szCs w:val="26"/>
        </w:rPr>
        <w:t xml:space="preserve">8. Reporting</w:t>
      </w:r>
    </w:p>
    <w:p>
      <w:pPr>
        <w:spacing w:after="120"/>
      </w:pPr>
      <w:r>
        <w:rPr>
          <w:rFonts w:ascii="Arial" w:cs="Arial" w:eastAsia="Arial" w:hAnsi="Arial"/>
          <w:color w:val="1D2939"/>
          <w:sz w:val="21"/>
          <w:szCs w:val="21"/>
        </w:rPr>
        <w:t>The Working Group reports to [BOARD / EXECUTIVE COMMITTEE] on [DELIVERY STATUS / EVIDENCE / RISKS].</w:t>
      </w:r>
    </w:p>
    <w:p>
      <w:pPr>
        <w:pStyle w:val="Heading1"/>
        <w:spacing w:after="140" w:before="320"/>
      </w:pPr>
      <w:r>
        <w:rPr>
          <w:rFonts w:ascii="Arial" w:cs="Arial" w:eastAsia="Arial" w:hAnsi="Arial"/>
          <w:b/>
          <w:bCs/>
          <w:color w:val="0D1B2A"/>
          <w:sz w:val="26"/>
          <w:szCs w:val="26"/>
        </w:rPr>
        <w:t xml:space="preserve">9. Review of these terms</w:t>
      </w:r>
    </w:p>
    <w:p>
      <w:pPr>
        <w:spacing w:after="120"/>
      </w:pPr>
      <w:r>
        <w:rPr>
          <w:rFonts w:ascii="Arial" w:cs="Arial" w:eastAsia="Arial" w:hAnsi="Arial"/>
          <w:color w:val="1D2939"/>
          <w:sz w:val="21"/>
          <w:szCs w:val="21"/>
        </w:rPr>
        <w:t xml:space="preserve">These Terms of Reference will be reviewed [ANNUALLY], and additionally whenever the Executive Sponsor changes, the organisation restructures, or a new RAP is submitted.</w:t>
      </w:r>
    </w:p>
    <w:p>
      <w:pPr>
        <w:pBdr>
          <w:top w:val="single" w:color="D0D5DD" w:sz="8" w:space="10"/>
        </w:pBdr>
        <w:spacing w:after="120" w:before="400"/>
      </w:pPr>
      <w:r>
        <w:rPr>
          <w:rFonts w:ascii="Arial" w:cs="Arial" w:eastAsia="Arial" w:hAnsi="Arial"/>
          <w:b/>
          <w:bCs/>
          <w:color w:val="0D1B2A"/>
          <w:sz w:val="23"/>
          <w:szCs w:val="23"/>
        </w:rPr>
        <w:t xml:space="preserve">Approval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Approved by</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[NAME, ROLE]</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Date approved</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[DATE]</w:t>
            </w:r>
          </w:p>
        </w:tc>
      </w:tr>
      <w:tr>
        <w:tc>
          <w:tcPr>
            <w:tcW w:type="dxa" w:w="3200"/>
            <w:shd w:fill="F2F4F7" w:val="clear"/>
            <w:tcMar>
              <w:top w:type="dxa" w:w="80"/>
              <w:left w:type="dxa" w:w="120"/>
              <w:bottom w:type="dxa" w:w="80"/>
              <w:right w:type="dxa" w:w="120"/>
            </w:tcMar>
          </w:tcPr>
          <w:p>
            <w:pPr>
              <w:spacing w:after="0"/>
            </w:pPr>
            <w:r>
              <w:rPr>
                <w:rFonts w:ascii="Arial" w:cs="Arial" w:eastAsia="Arial" w:hAnsi="Arial"/>
                <w:b/>
                <w:bCs/>
                <w:color w:val="1D2939"/>
                <w:sz w:val="20"/>
                <w:szCs w:val="20"/>
              </w:rPr>
              <w:t xml:space="preserve">Next review due</w:t>
            </w:r>
          </w:p>
        </w:tc>
        <w:tc>
          <w:tcPr>
            <w:tcW w:type="dxa" w:w="6100"/>
            <w:shd w:fill="FFF8E7" w:val="clear"/>
            <w:tcMar>
              <w:top w:type="dxa" w:w="80"/>
              <w:left w:type="dxa" w:w="120"/>
              <w:bottom w:type="dxa" w:w="80"/>
              <w:right w:type="dxa" w:w="120"/>
            </w:tcMar>
          </w:tcPr>
          <w:p>
            <w:pPr>
              <w:spacing w:after="0"/>
            </w:pPr>
            <w:r>
              <w:rPr>
                <w:rFonts w:ascii="Arial" w:cs="Arial" w:eastAsia="Arial" w:hAnsi="Arial"/>
                <w:i/>
                <w:iCs/>
                <w:color w:val="667085"/>
                <w:sz w:val="20"/>
                <w:szCs w:val="20"/>
              </w:rPr>
              <w:t xml:space="preserve">[DATE]</w:t>
            </w:r>
          </w:p>
        </w:tc>
      </w:tr>
    </w:tbl>
    <w:p>
      <w:pPr>
        <w:spacing w:before="500"/>
      </w:pPr>
      <w:r>
        <w:rPr>
          <w:rFonts w:ascii="Arial" w:cs="Arial" w:eastAsia="Arial" w:hAnsi="Arial"/>
          <w:i/>
          <w:iCs/>
          <w:color w:val="667085"/>
          <w:sz w:val="17"/>
          <w:szCs w:val="17"/>
        </w:rPr>
        <w:t>Template provided by 2Ways Consultancy — 2waysconsultancy.com.au — free to use and adapt.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2026-08-03T08:51:43.783Z</dcterms:created>
  <dcterms:modified xsi:type="dcterms:W3CDTF">2026-08-03T08:51:43.783Z</dcterms:modified>
</cp:coreProperties>
</file>

<file path=docProps/custom.xml><?xml version="1.0" encoding="utf-8"?>
<Properties xmlns="http://schemas.openxmlformats.org/officeDocument/2006/custom-properties" xmlns:vt="http://schemas.openxmlformats.org/officeDocument/2006/docPropsVTypes"/>
</file>