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Supplier Agreement</w:t>
      </w:r>
    </w:p>
    <w:p>
      <w:r>
        <w:rPr>
          <w:sz w:val="22"/>
        </w:rPr>
        <w:t>This agreement is made between Acme Holdings Ltd and Northwind Supplies Limited on 04/01/2026. The contact for invoicing is jane.doe@example.com.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Charges for 2026</w:t>
            </w:r>
          </w:p>
        </w:tc>
      </w:tr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Net</w:t>
            </w:r>
          </w:p>
        </w:tc>
        <w:tc>
          <w:tcPr>
            <w:tcW w:type="dxa" w:w="2880"/>
          </w:tcPr>
          <w:p>
            <w:r>
              <w:t>VAT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4,250.00</w:t>
            </w:r>
          </w:p>
        </w:tc>
        <w:tc>
          <w:tcPr>
            <w:tcW w:type="dxa" w:w="2880"/>
          </w:tcPr>
          <w:p>
            <w:r>
              <w:t>850.00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4,410.00</w:t>
            </w:r>
          </w:p>
        </w:tc>
        <w:tc>
          <w:tcPr>
            <w:tcW w:type="dxa" w:w="2880"/>
          </w:tcPr>
          <w:p>
            <w:r>
              <w:t>882.00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