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One: Access Control</w:t>
      </w:r>
    </w:p>
    <w:p>
      <w:r>
        <w:t>Organizations shall implement access control mechanisms that enforce the principle of least privilege. Access shall be granted based on roles and responsibilities, with periodic reviews to ensure continued necessity.</w:t>
      </w:r>
    </w:p>
    <w:p>
      <w:pPr>
        <w:pStyle w:val="Heading1"/>
      </w:pPr>
      <w:r>
        <w:t>Section Two: Audit Logging</w:t>
      </w:r>
    </w:p>
    <w:p>
      <w:r>
        <w:t>All access events must be logged and monitored. Audit logs shall include user identification, timestamp, resource accessed, and action performed. Logs must be retained for a minimum of 90 days and protected from tampering.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