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XLETH — APEX &amp; GLOSS Design Spec</w:t>
      </w:r>
    </w:p>
    <w:p>
      <w:r>
        <w:rPr>
          <w:b/>
        </w:rPr>
        <w:t xml:space="preserve">What this is: </w:t>
      </w:r>
      <w:r>
        <w:t>the complete design specification for APEX, XLETH's native multiband maximizer stock effect (functionally modeled on Image-Line Maximus), and GLOSS, its one-knob companion skin (functionally modeled on Soundgoodizer). This document is the single source of truth for the four Claude Code implementation prompts that accompany it.</w:t>
      </w:r>
    </w:p>
    <w:p>
      <w:r>
        <w:rPr>
          <w:b/>
        </w:rPr>
        <w:t xml:space="preserve">Trigger: </w:t>
      </w:r>
      <w:r>
        <w:t>any engineering work on APEX or GLOSS. Load this before modifying DSP, bridge, or UI code for these effects.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1. Overview</w:t>
      </w:r>
    </w:p>
    <w:p>
      <w:pPr>
        <w:pStyle w:val="ListBullet"/>
      </w:pPr>
      <w:r>
        <w:rPr>
          <w:b/>
        </w:rPr>
        <w:t xml:space="preserve">APEX: </w:t>
      </w:r>
      <w:r>
        <w:t>a native stock effect in XLETH's Phase 3 effects system — three user-definable bands (LOW / MID / HIGH) plus a MASTER wideband stage, each a full dynamics processor with a node-based curve editor, saturation, stereo separation, and gain staging. Not a VST3; it lives inside the C++ engine as an AudioGraph effect node with a React editor window.</w:t>
      </w:r>
    </w:p>
    <w:p>
      <w:pPr>
        <w:pStyle w:val="ListBullet"/>
      </w:pPr>
      <w:r>
        <w:rPr>
          <w:b/>
        </w:rPr>
        <w:t xml:space="preserve">GLOSS: </w:t>
      </w:r>
      <w:r>
        <w:t>a second UI descriptor over the identical DSP engine: one giant AMOUNT knob (bound to BAND MIX) plus four lettered preset buttons (A–D). One DSP class, two skins — every APEX fix propagates to GLOSS for free.</w:t>
      </w:r>
    </w:p>
    <w:p>
      <w:pPr>
        <w:pStyle w:val="ListBullet"/>
      </w:pPr>
      <w:r>
        <w:rPr>
          <w:b/>
        </w:rPr>
        <w:t xml:space="preserve">Design source: </w:t>
      </w:r>
      <w:r>
        <w:t>Maximus multiband maximizer (Image-Line) for APEX's feature set; Soundgoodizer for GLOSS's interaction model. Feature-parity where it matters, simplified where Maximus is over-built (no REL 2, no envelope tension knobs, no linear-phase crossover mode in v1).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2. Naming &amp; IP boundaries</w:t>
      </w:r>
    </w:p>
    <w:p>
      <w:pPr>
        <w:pStyle w:val="ListBullet"/>
      </w:pPr>
      <w:r>
        <w:rPr>
          <w:b/>
        </w:rPr>
        <w:t xml:space="preserve">APEX </w:t>
      </w:r>
      <w:r>
        <w:t>= the Maximus analog. Peak of loudness; reads instantly as a maximizer to anyone coming from FL Studio. Distinct from the Maximus trademark.</w:t>
      </w:r>
    </w:p>
    <w:p>
      <w:pPr>
        <w:pStyle w:val="ListBullet"/>
      </w:pPr>
      <w:r>
        <w:rPr>
          <w:b/>
        </w:rPr>
        <w:t xml:space="preserve">GLOSS </w:t>
      </w:r>
      <w:r>
        <w:t>= the Soundgoodizer analog. "It's shiny, it's good" — gloss is shine. Header reads "powered by APEX", preserving the parent/child family link.</w:t>
      </w:r>
    </w:p>
    <w:p>
      <w:pPr>
        <w:pStyle w:val="ListBullet"/>
      </w:pPr>
      <w:r>
        <w:rPr>
          <w:b/>
        </w:rPr>
        <w:t xml:space="preserve">Renamed parameters: </w:t>
      </w:r>
      <w:r>
        <w:t>LMH MIX → BAND MIX (in GLOSS: AMOUNT). LMH DEL → LOOKAHEAD. All other labels (LOW/MID/HIGH/MASTER, SOLO, PRE/POST GAIN, ATT/REL/SUSTAIN, PEAK/RMS, THRESH, CEIL, STEREO SEP, LOW CUT, 12/24 dB, ON/COMP OFF/MUTED/OFF) are generic industry vocabulary and stay as-is.</w:t>
      </w:r>
    </w:p>
    <w:p>
      <w:pPr>
        <w:pStyle w:val="ListBullet"/>
      </w:pPr>
      <w:r>
        <w:rPr>
          <w:b/>
        </w:rPr>
        <w:t xml:space="preserve">Hard IP rules: </w:t>
      </w:r>
      <w:r>
        <w:t>DSP concepts (multiband compression, saturation, lookahead, M/S width) are not protectable and are safe to implement. Do NOT copy Image-Line artwork, manual text, or FL preset files. GLOSS's A–D preset values must be authored in-house by ear — the letters are generic, the values are Image-Line's. Do not attempt to extract them.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3. Signal flow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>Input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└─ LOW CUT (HPF, 0–100 Hz, 24 dB/oct)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└─ Crossover: LR2 (12 dB/oct) or LR4 (24 dB/oct), per split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├─ LOW band   ┐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├─ MID band   ├─ per band: PRE GAIN → LOOKAHEAD delay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└─ HIGH band  ┘        → envelope detect (PEAK/RMS, ATT/REL/SUSTAIN)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                       → curve-LUT gain → SAT (CEIL + bipolar A/B, 2× oversampled)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                       → POST GAIN → STEREO SEP (M/S width)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                       → band state (ON / COMP OFF / MUTED / OFF)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└─ Σ bands  ⇄  dry input (delayed to match LOOKAHEAD) via BAND MIX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  └─ MASTER band (same chain, wideband, no lookahead)</w:t>
      </w:r>
    </w:p>
    <w:p>
      <w:pPr>
        <w:spacing w:after="0"/>
        <w:ind w:left="432"/>
      </w:pPr>
      <w:r>
        <w:rPr>
          <w:rFonts w:ascii="Noto Sans Mono" w:hAnsi="Noto Sans Mono"/>
          <w:sz w:val="20"/>
        </w:rPr>
        <w:t xml:space="preserve">                 └─ Output</w:t>
      </w:r>
    </w:p>
    <w:p>
      <w:pPr>
        <w:pStyle w:val="ListBullet"/>
      </w:pPr>
      <w:r>
        <w:rPr>
          <w:b/>
        </w:rPr>
        <w:t xml:space="preserve">Band state semantics (exact): </w:t>
      </w:r>
      <w:r>
        <w:t>ON = full chain. COMP OFF = dynamics bypassed; saturation, gains, and separation still active; band passes. MUTED = band silenced. OFF = band bypassed dry and its DSP skipped (CPU saved).</w:t>
      </w:r>
    </w:p>
    <w:p>
      <w:pPr>
        <w:pStyle w:val="ListBullet"/>
      </w:pPr>
      <w:r>
        <w:rPr>
          <w:b/>
        </w:rPr>
        <w:t xml:space="preserve">Dry-path alignment: </w:t>
      </w:r>
      <w:r>
        <w:t>the dry side of BAND MIX must be delayed by exactly the LOOKAHEAD amount so the parallel blend is time-aligned. LR crossovers sum magnitude-flat, which is what makes phase-free parallel blending possible at all.</w:t>
      </w:r>
    </w:p>
    <w:p>
      <w:pPr>
        <w:pStyle w:val="ListBullet"/>
      </w:pPr>
      <w:r>
        <w:rPr>
          <w:b/>
        </w:rPr>
        <w:t xml:space="preserve">MASTER stage: </w:t>
      </w:r>
      <w:r>
        <w:t>processes the post-mix signal. No lookahead on MASTER in v1 — LOOKAHEAD covers L/M/H only, per spec.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4. Parameter specification</w:t>
      </w:r>
    </w:p>
    <w:p>
      <w:pPr>
        <w:pStyle w:val="Heading3"/>
      </w:pPr>
      <w:r>
        <w:t>4.1 Global &amp; crossover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/>
          <w:right w:val="none" w:sz="0" w:space="0"/>
          <w:insideV w:val="none" w:sz="0" w:space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Range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Default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LOW CUT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0–100 Hz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(off)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HPF before the crossover, 24 dB/oct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LOW split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40 Hz–1 kHz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200 Hz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LOW/MID crossover frequency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HIGH split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1 kHz–18 kHz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2 kHz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MID/HIGH crossover frequency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LOW slope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12 / 24 dB/oct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24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LR2 / LR4, per-split selectable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HIGH slope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12 / 24 dB/oct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24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LR2 / LR4, per-split selectable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LOOKAHEAD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0–20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Shared delay for L/M/H; reported as effect latency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BAND MIX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0–100 %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100 %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Parallel blend: dry input ↔ summed L/M/H output</w:t>
            </w:r>
          </w:p>
        </w:tc>
      </w:tr>
    </w:tbl>
    <w:p>
      <w:pPr>
        <w:spacing w:after="0"/>
      </w:pPr>
    </w:p>
    <w:p>
      <w:pPr>
        <w:pStyle w:val="Heading3"/>
      </w:pPr>
      <w:r>
        <w:t>4.2 Per-band (identical for LOW / MID / HIGH / MASTER)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left w:val="none" w:sz="0" w:space="0"/>
          <w:right w:val="none" w:sz="0" w:space="0"/>
          <w:insideV w:val="none" w:sz="0" w:space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Range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Default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STATE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ON / COMP OFF / MUTED / OFF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ON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4-position switch, semantics in Section 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SOLO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toggle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off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L/M/H only; mutually exclusive across bands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PRE GAIN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-24…+24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Before dynamics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POST GAIN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-24…+24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After saturation / separation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CURVE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node editor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unity (flat)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Up to 32 nodes, per-segment tension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ATT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0.1–100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5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Envelope attack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REL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5–500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100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Envelope release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SUSTAIN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0–500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Envelope hold before release starts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Detection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PEAK / RMS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PEAK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Envelope detector mode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SAT THRESH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-100…+100 %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&lt;0 = mode A, 0 = dry, &gt;0 = mode B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SAT CEIL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-60…0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dB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Saturation onset level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Noto Sans Mono" w:hAnsi="Noto Sans Mono"/>
                <w:b w:val="0"/>
                <w:sz w:val="20"/>
              </w:rPr>
              <w:t>STEREO SEP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-100…+100 %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0 %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sz w:val="22"/>
              </w:rPr>
              <w:t>M/S width; &lt;0 narrows toward mono</w:t>
            </w:r>
          </w:p>
        </w:tc>
      </w:tr>
    </w:tbl>
    <w:p>
      <w:pPr>
        <w:spacing w:after="0"/>
      </w:pPr>
    </w:p>
    <w:p>
      <w:pPr>
        <w:pStyle w:val="Heading3"/>
      </w:pPr>
      <w:r>
        <w:t>4.3 Curve editor</w:t>
      </w:r>
    </w:p>
    <w:p>
      <w:pPr>
        <w:pStyle w:val="ListBullet"/>
      </w:pPr>
      <w:r>
        <w:rPr>
          <w:b/>
        </w:rPr>
        <w:t xml:space="preserve">Node model: </w:t>
      </w:r>
      <w:r>
        <w:t>each node is (IN dB, OUT dB); both axes -24…+12 dB. Up to 32 nodes per band. Nodes are sorted by IN; first and last nodes pin the curve ends.</w:t>
      </w:r>
    </w:p>
    <w:p>
      <w:pPr>
        <w:pStyle w:val="ListBullet"/>
      </w:pPr>
      <w:r>
        <w:rPr>
          <w:b/>
        </w:rPr>
        <w:t xml:space="preserve">Per-segment tension: </w:t>
      </w:r>
      <w:r>
        <w:t>each segment carries a tension value -1…+1 (0 = linear). Tension is what enables soft knees versus brickwall shapes — compression, limiting, expansion, and gating all come out of this one editor.</w:t>
      </w:r>
    </w:p>
    <w:p>
      <w:pPr>
        <w:pStyle w:val="ListBullet"/>
      </w:pPr>
      <w:r>
        <w:rPr>
          <w:b/>
        </w:rPr>
        <w:t xml:space="preserve">Editing operations: </w:t>
      </w:r>
      <w:r>
        <w:t>drag to move a node, double-click to add, right-click to delete, drag/wheel on a segment handle to set tension.</w:t>
      </w:r>
    </w:p>
    <w:p>
      <w:pPr>
        <w:pStyle w:val="ListBullet"/>
      </w:pPr>
      <w:r>
        <w:rPr>
          <w:b/>
        </w:rPr>
        <w:t xml:space="preserve">LUT compilation: </w:t>
      </w:r>
      <w:r>
        <w:t>on any node or tension edit, the engine rebuilds a 1024-entry dB→dB gain LUT off the audio thread and hands it to the audio thread by atomic pointer swap. The audio callback only ever does LUT lookups.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5. DSP implementation requirements</w:t>
      </w:r>
    </w:p>
    <w:p>
      <w:pPr>
        <w:pStyle w:val="ListBullet"/>
      </w:pPr>
      <w:r>
        <w:rPr>
          <w:b/>
        </w:rPr>
        <w:t xml:space="preserve">Crossover: </w:t>
      </w:r>
      <w:r>
        <w:t>Linkwitz-Riley 2nd order (12 dB/oct) and 4th order (24 dB/oct, two cascaded 2nd-order Butterworth), selectable per split. Magnitude-flat reconstruction is a hard requirement — verified by test, not assumed. No linear-phase FIR mode in v1 (latency cost, no benefit in a Sparta workflow).</w:t>
      </w:r>
    </w:p>
    <w:p>
      <w:pPr>
        <w:pStyle w:val="ListBullet"/>
      </w:pPr>
      <w:r>
        <w:rPr>
          <w:b/>
        </w:rPr>
        <w:t xml:space="preserve">Envelope detector: </w:t>
      </w:r>
      <w:r>
        <w:t>branching attack/release smoother with hold; PEAK or RMS detection selectable per band. SUSTAIN holds the gain reduction at its current value before release begins.</w:t>
      </w:r>
    </w:p>
    <w:p>
      <w:pPr>
        <w:pStyle w:val="ListBullet"/>
      </w:pPr>
      <w:r>
        <w:rPr>
          <w:b/>
        </w:rPr>
        <w:t xml:space="preserve">Saturation: </w:t>
      </w:r>
      <w:r>
        <w:t>per band including MASTER. CEIL sets the onset level: signal exceeding the ceiling gets shaped, scaled by the THRESH amount. Mode A = smooth soft-clip (tanh-family); mode B = harder clip with richer high-order harmonics. The waveshaper — and only the waveshaper — runs under 2× oversampling (half-band polyphase up/down) to prevent aliasing on percussion material.</w:t>
      </w:r>
    </w:p>
    <w:p>
      <w:pPr>
        <w:pStyle w:val="ListBullet"/>
      </w:pPr>
      <w:r>
        <w:rPr>
          <w:b/>
        </w:rPr>
        <w:t xml:space="preserve">Stereo separation: </w:t>
      </w:r>
      <w:r>
        <w:t>per-band M/S encode → side gain scale → decode. -100 % = mono, 0 = unchanged, +100 % = double side energy. Applied to MASTER as well.</w:t>
      </w:r>
    </w:p>
    <w:p>
      <w:pPr>
        <w:pStyle w:val="ListBullet"/>
      </w:pPr>
      <w:r>
        <w:rPr>
          <w:b/>
        </w:rPr>
        <w:t xml:space="preserve">Lookahead: </w:t>
      </w:r>
      <w:r>
        <w:t>shared pre-allocated ring-buffer delay for L/M/H, 0–20 ms, smoothed on change (no zipper noise, no reallocation).</w:t>
      </w:r>
    </w:p>
    <w:p>
      <w:pPr>
        <w:pStyle w:val="ListBullet"/>
      </w:pPr>
      <w:r>
        <w:rPr>
          <w:b/>
        </w:rPr>
        <w:t xml:space="preserve">Audio-thread rules (hard constraints): </w:t>
      </w:r>
      <w:r>
        <w:t>no allocations, no locks, no logging on the audio callback path. All parameter changes arrive through the existing parameter queue; the audio thread consumes pre-built state and atomically-swapped LUT pointers only.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6. Engine integration</w:t>
      </w:r>
    </w:p>
    <w:p>
      <w:pPr>
        <w:pStyle w:val="ListBullet"/>
      </w:pPr>
      <w:r>
        <w:rPr>
          <w:b/>
        </w:rPr>
        <w:t xml:space="preserve">Effect node: </w:t>
      </w:r>
      <w:r>
        <w:t>APEX registers as a standard stock effect in the Phase 3 effects system — same lifecycle, parameter API, and state serialization path as existing stock effects. UndoManager and project save/load must work unchanged.</w:t>
      </w:r>
    </w:p>
    <w:p>
      <w:pPr>
        <w:pStyle w:val="ListBullet"/>
      </w:pPr>
      <w:r>
        <w:rPr>
          <w:b/>
        </w:rPr>
        <w:t xml:space="preserve">Latency (the one engine-level risk): </w:t>
      </w:r>
      <w:r>
        <w:t>LOOKAHEAD makes APEX a latency-introducing effect. The implementation must audit what latency reporting / delay compensation exists in the engine today. If none exists, APEX reports its latency through a clean new mechanism consistent with the architecture, the UI displays it, and the exact monitoring-delay behavior is documented. Do not hand-wave this.</w:t>
      </w:r>
    </w:p>
    <w:p>
      <w:pPr>
        <w:pStyle w:val="ListBullet"/>
      </w:pPr>
      <w:r>
        <w:rPr>
          <w:b/>
        </w:rPr>
        <w:t xml:space="preserve">Metering: </w:t>
      </w:r>
      <w:r>
        <w:t>per-band gain reduction (dB), per-band output level, and input spectrum (FFT 2048) pushed to the UI at ~30 Hz as one batched typed-array payload per tick — never per-scalar RPC per frame. Reuse the existing metering/telemetry path if one exists.</w:t>
      </w:r>
    </w:p>
    <w:p>
      <w:pPr>
        <w:pStyle w:val="ListBullet"/>
      </w:pPr>
      <w:r>
        <w:rPr>
          <w:b/>
        </w:rPr>
        <w:t xml:space="preserve">Bridge discipline: </w:t>
      </w:r>
      <w:r>
        <w:t>the four-layer bridge silently swallows undefined calls via optional chaining — every new bridge call must be verified end-to-end with console smoke tests on both sides. child_process.fork must use serialization: 'advanced' so metering ArrayBuffers survive intact. build.bat bridge-clean is mandatory after any C++ change before concluding anything works or does not.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7. UI specification</w:t>
      </w:r>
    </w:p>
    <w:p>
      <w:pPr>
        <w:pStyle w:val="Heading3"/>
      </w:pPr>
      <w:r>
        <w:t>7.1 APEX editor window</w:t>
      </w:r>
    </w:p>
    <w:p>
      <w:pPr>
        <w:pStyle w:val="ListBullet"/>
      </w:pPr>
      <w:r>
        <w:rPr>
          <w:b/>
        </w:rPr>
        <w:t xml:space="preserve">Layout: </w:t>
      </w:r>
      <w:r>
        <w:t>curve editor (left) + analysis display (right, spectrum with band regions tinted per band) on top; band selector tabs (LOW / MID / HIGH / MASTER) with per-band 4-state switch and SOLO below; knob rows for PRE/POST GAIN, ATT/REL/SUSTAIN + PEAK/RMS toggle, SAT THRESH/CEIL, STEREO SEP; right panel for LOOKAHEAD, BAND MIX, LOW/HIGH split + slope switches, LOW CUT.</w:t>
      </w:r>
    </w:p>
    <w:p>
      <w:pPr>
        <w:pStyle w:val="ListBullet"/>
      </w:pPr>
      <w:r>
        <w:rPr>
          <w:b/>
        </w:rPr>
        <w:t xml:space="preserve">Canvas discipline: </w:t>
      </w:r>
      <w:r>
        <w:t>curve editor and analysis display are canvas-drawn — never DOM overlays over canvas (scroll/zoom drift, hit-test corruption).</w:t>
      </w:r>
    </w:p>
    <w:p>
      <w:pPr>
        <w:pStyle w:val="ListBullet"/>
      </w:pPr>
      <w:r>
        <w:rPr>
          <w:b/>
        </w:rPr>
        <w:t xml:space="preserve">Drag discipline: </w:t>
      </w:r>
      <w:r>
        <w:t>local preview during drag, single commit on mouseup through UndoManager. Never IPC during drag.</w:t>
      </w:r>
    </w:p>
    <w:p>
      <w:pPr>
        <w:pStyle w:val="ListBullet"/>
      </w:pPr>
      <w:r>
        <w:rPr>
          <w:b/>
        </w:rPr>
        <w:t xml:space="preserve">Design system: </w:t>
      </w:r>
      <w:r>
        <w:t>CSS custom-property tokens throughout, no hardcoded hex; tokenValue() never at module scope. "Color is earned, not default" — accent color only on meaningful state (active band, gain-reduction activity, solo/mute). Lucide icons only. Flat, zero-border-radius, teal accent hierarchy per the established theming spec.</w:t>
      </w:r>
    </w:p>
    <w:p>
      <w:pPr>
        <w:pStyle w:val="ListBullet"/>
      </w:pPr>
      <w:r>
        <w:rPr>
          <w:b/>
        </w:rPr>
        <w:t xml:space="preserve">Script safety: </w:t>
      </w:r>
      <w:r>
        <w:t>never declare reserved identifiers (top, self, parent, name, length, status, location, history, event, screen, navigator, opener, origin, closed) as variables in script scope.</w:t>
      </w:r>
    </w:p>
    <w:p>
      <w:pPr>
        <w:pStyle w:val="Heading3"/>
      </w:pPr>
      <w:r>
        <w:t>7.2 GLOSS window</w:t>
      </w:r>
    </w:p>
    <w:p>
      <w:pPr>
        <w:pStyle w:val="ListBullet"/>
      </w:pPr>
      <w:r>
        <w:rPr>
          <w:b/>
        </w:rPr>
        <w:t xml:space="preserve">Controls: </w:t>
      </w:r>
      <w:r>
        <w:t>one giant AMOUNT knob bound to BAND MIX (0–100 %), four lettered buttons (A / B / C / D) loading APEX parameter snapshots, header "powered by APEX".</w:t>
      </w:r>
    </w:p>
    <w:p>
      <w:pPr>
        <w:pStyle w:val="ListBullet"/>
      </w:pPr>
      <w:r>
        <w:rPr>
          <w:b/>
        </w:rPr>
        <w:t xml:space="preserve">Presets: </w:t>
      </w:r>
      <w:r>
        <w:t>A–D ship as four factory snapshots authored in-house (suggested starting points: gentle glue, punchy, bright lift, wall). Each is a complete APEX parameter state. AMOUNT stays independent of preset selection.</w:t>
      </w:r>
    </w:p>
    <w:p>
      <w:pPr>
        <w:pStyle w:val="ListBullet"/>
      </w:pPr>
      <w:r>
        <w:rPr>
          <w:b/>
        </w:rPr>
        <w:t xml:space="preserve">Architecture: </w:t>
      </w:r>
      <w:r>
        <w:t>GLOSS is a second UI descriptor over the same engine class — not a separate effect, not duplicated DSP.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2"/>
      </w:pPr>
      <w:r>
        <w:t>8. Implementation order</w:t>
      </w:r>
    </w:p>
    <w:p>
      <w:r>
        <w:t>Four Claude Code prompts, executed strictly in order. Each is one logical unit of work with its own build verification and git commit. Do not batch them.</w:t>
      </w:r>
    </w:p>
    <w:p>
      <w:pPr>
        <w:pStyle w:val="ListBullet"/>
      </w:pPr>
      <w:r>
        <w:rPr>
          <w:b/>
        </w:rPr>
        <w:t xml:space="preserve">Prompt 1 — DSP core (Opus, High): </w:t>
      </w:r>
      <w:r>
        <w:t>audit the existing stock-FX framework, then implement the APEX engine class: crossover, per-band chain, curve LUT, envelope, oversampled saturation, separation, band states, lookahead + latency reporting, BAND MIX with aligned dry path. Verified by engine-side console smoke tests.</w:t>
      </w:r>
    </w:p>
    <w:p>
      <w:pPr>
        <w:pStyle w:val="ListBullet"/>
      </w:pPr>
      <w:r>
        <w:rPr>
          <w:b/>
        </w:rPr>
        <w:t xml:space="preserve">Prompt 2 — Bridge &amp; metering (Opus, High): </w:t>
      </w:r>
      <w:r>
        <w:t>wire all parameters, curve data, and state through the Node-API bridge end-to-end; batched metering channel; latency surfaced to the UI.</w:t>
      </w:r>
    </w:p>
    <w:p>
      <w:pPr>
        <w:pStyle w:val="ListBullet"/>
      </w:pPr>
      <w:r>
        <w:rPr>
          <w:b/>
        </w:rPr>
        <w:t xml:space="preserve">Prompt 3 — APEX editor UI (Sonnet, High): </w:t>
      </w:r>
      <w:r>
        <w:t>canvas curve editor with nodes + segment tension, canvas analysis display, full control set, Zustand store, drag/undo discipline.</w:t>
      </w:r>
    </w:p>
    <w:p>
      <w:pPr>
        <w:pStyle w:val="ListBullet"/>
      </w:pPr>
      <w:r>
        <w:rPr>
          <w:b/>
        </w:rPr>
        <w:t xml:space="preserve">Prompt 4 — GLOSS skin (Sonnet, High): </w:t>
      </w:r>
      <w:r>
        <w:t>second UI descriptor, AMOUNT knob, A–D factory presets authored in-house.</w:t>
      </w:r>
    </w:p>
    <w:p>
      <w:r>
        <w:t>Order dependency: 1 → 2 → 3 → 4. Prompt 2 assumes the DSP class exists; Prompt 3 assumes the bridge is verified; Prompt 4 assumes the APEX UI and preset path exist.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erif" w:hAnsi="DejaVu Serif" w:eastAsia="DejaVu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rlito" w:hAnsi="Carlito" w:eastAsia="Carlito"/>
      <w:b/>
      <w:bCs/>
      <w:color w:val="4F81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rlito" w:hAnsi="Carlito" w:eastAsia="Carlito"/>
      <w:b/>
      <w:bCs/>
      <w:color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rlito" w:hAnsi="Carlito" w:eastAsia="Carlito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rlito" w:hAnsi="Carlito" w:eastAsia="Carlito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