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Carlito" w:cs="Carlito" w:hAnsi="Carlito"/>
          <w:b/>
          <w:bCs/>
          <w:color w:val="4F81BD"/>
          <w:sz w:val="32"/>
          <w:szCs w:val="32"/>
        </w:rPr>
        <w:t xml:space="preserve">XLETH — Xleth Filter: Design &amp; Implementation Plan</w:t>
      </w:r>
    </w:p>
    <w:p>
      <w:pPr>
        <w:spacing w:after="14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What this is: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the architecture and implementation plan for finalizing Xleth Filter — the stock filter effect currently sitting as a 20-line pass-through stub (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engine/src/audio/XlethFilterEffect.h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) — based on the merged Gemini + Claude filter taxonomies, five web-research reports, and two codebase audits.</w:t>
      </w:r>
    </w:p>
    <w:p>
      <w:pPr>
        <w:spacing w:after="14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Bottom line up front: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one Zavalishin-TPT / Cytomic-Simper SVF core in the generic m0/m1/m2 mix form covers ~80% of both lists from a single struct; a multi-slot serial engine clones the proven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XlethParametricEQ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band pattern; modulation is a hybrid — the existing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envmod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/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lfomod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graph engine for envelope/LFO, plus a small in-effect dynamics follower for the auto-wah/303 case. Four paste-ready prompts, executed in order.</w:t>
      </w:r>
    </w:p>
    <w:p>
      <w:pPr>
        <w:pBdr>
          <w:bottom w:val="single" w:color="808080" w:sz="6" w:space="1"/>
        </w:pBdr>
        <w:spacing w:after="200" w:before="120"/>
      </w:pPr>
    </w:p>
    <w:p>
      <w:pPr>
        <w:pStyle w:val="Heading2"/>
        <w:spacing w:after="140" w:before="280"/>
      </w:pPr>
      <w:r>
        <w:rPr>
          <w:rFonts w:ascii="Carlito" w:cs="Carlito" w:hAnsi="Carlito"/>
          <w:b/>
          <w:bCs/>
          <w:color w:val="4F81BD"/>
          <w:sz w:val="28"/>
          <w:szCs w:val="28"/>
        </w:rPr>
        <w:t xml:space="preserve">1. Scope verdict — what Xleth Filter is and is not</w:t>
      </w:r>
    </w:p>
    <w:p>
      <w:pPr>
        <w:spacing w:after="14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The two source lists (Gemini's 3-tier taxonomy, Claude's topology catalog) describe ~25 filter concepts. They are not all the same kind of thing. Roughly a third of them are not "a filter slot in an effect" — they are entire standalone effects, and building them inside Xleth Filter would turn it into a bloated suite nobody can navigate. Decisive split:</w:t>
      </w:r>
    </w:p>
    <w:p>
      <w:pPr>
        <w:spacing w:after="14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In scope — Xleth Filter slot types:</w:t>
      </w:r>
    </w:p>
    <w:p>
      <w:pPr>
        <w:spacing w:after="40" w:line="40"/>
      </w:pPr>
      <w:r>
        <w:rPr>
          <w:sz w:val="2"/>
          <w:szCs w:val="2"/>
        </w:rPr>
        <w:t xml:space="preserve"> </w:t>
      </w:r>
    </w:p>
    <w:tbl>
      <w:tblPr>
        <w:tblW w:type="pct" w:w="100%"/>
        <w:tblBorders>
          <w:top w:val="single" w:color="000000" w:sz="4"/>
          <w:left w:val="none" w:color="000000" w:sz="0"/>
          <w:bottom w:val="single" w:color="000000" w:sz="4"/>
          <w:right w:val="none" w:color="000000" w:sz="0"/>
          <w:insideH w:val="none" w:color="000000" w:sz="0"/>
          <w:insideV w:val="none" w:color="000000" w:sz="0"/>
        </w:tblBorders>
      </w:tblPr>
      <w:tblGrid>
        <w:gridCol w:w="3800"/>
        <w:gridCol w:w="4200"/>
        <w:gridCol w:w="1360"/>
      </w:tblGrid>
      <w:tr>
        <w:trPr>
          <w:tblHeader/>
        </w:trPr>
        <w:tc>
          <w:tcPr>
            <w:tcW w:type="dxa" w:w="3800"/>
            <w:tcBorders>
              <w:bottom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b/>
                <w:bCs/>
                <w:color w:val="000000"/>
                <w:sz w:val="22"/>
                <w:szCs w:val="22"/>
              </w:rPr>
              <w:t xml:space="preserve">Slot type</w:t>
            </w:r>
          </w:p>
        </w:tc>
        <w:tc>
          <w:tcPr>
            <w:tcW w:type="dxa" w:w="4200"/>
            <w:tcBorders>
              <w:bottom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b/>
                <w:bCs/>
                <w:color w:val="000000"/>
                <w:sz w:val="22"/>
                <w:szCs w:val="22"/>
              </w:rPr>
              <w:t xml:space="preserve">Implementation core</w:t>
            </w:r>
          </w:p>
        </w:tc>
        <w:tc>
          <w:tcPr>
            <w:tcW w:type="dxa" w:w="1360"/>
            <w:tcBorders>
              <w:bottom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b/>
                <w:bCs/>
                <w:color w:val="000000"/>
                <w:sz w:val="22"/>
                <w:szCs w:val="22"/>
              </w:rPr>
              <w:t xml:space="preserve">Ship phase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LP / HP / BP / Notch (12 dB, resonant)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TPT SVF (mix form)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Prompt 1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Morphing multimode (LP→BP→HP→notch, one knob)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TPT SVF mix-coefficient lerp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Prompt 1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Allpass, Peak/Bell, Low/High Shelf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TPT SVF mix coefficients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Prompt 1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Slopes 6 / 24 / 48 dB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1st-order section; Butterworth-staged SVF cascade (Q tables)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Prompt 1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Drive + self-oscillation mode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Pre-filter tanh + in-loop soft clip, k→0 with safety clip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Prompt 1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Moog ladder (24 dB, self-osc, saturated feedback)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4-pole TPT ladder, fixed-point tanh iteration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Prompt 4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TB-303 diode ladder (acid flagship)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Port Open303 engine core (MIT licensed)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Prompt 4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Sallen-Key (clean ARP-style)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TPT 2-pole SK, optional ×2 cascade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Prompt 4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Steiner-Parker multimode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SVF core with input-injection variants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Prompt 4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Comb (feedforward + feedback/KS)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Dedicated ring-buffer delay line + allpass interp + loop damping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Prompt 4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Formant / vowel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Parallel bank of 3–5 SVF/biquad BPFs + vowel morph table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Prompt 4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Tilt EQ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Twin shelves from the SVF shelf coefficients, one knob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Prompt 4</w:t>
            </w:r>
          </w:p>
        </w:tc>
      </w:tr>
    </w:tbl>
    <w:p>
      <w:pPr>
        <w:spacing w:after="120" w:line="40"/>
      </w:pPr>
      <w:r>
        <w:rPr>
          <w:sz w:val="2"/>
          <w:szCs w:val="2"/>
        </w:rPr>
        <w:t xml:space="preserve"> </w:t>
      </w:r>
    </w:p>
    <w:p>
      <w:pPr>
        <w:spacing w:after="14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Out of scope — do not build these into Xleth Filter: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Phaser, Flanger, Chorus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— already exist as separate XLETH stock effects (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XlethPhaserEffect.h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XlethFlangerEffect.h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UniFlange). Duplicating them inside the filter is wrong.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Vocoder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— an N-band analysis/synthesis system with carrier/modulator routing. Separate effect.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Spectral / FFT filtering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— frequency-domain processing with latency and a totally different DSP path. Separate effect, if ever.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Convolution filtering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— an IR loader with partitioned convolution and latency reporting. Separate effect.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Frequency shifter (Hilbert/SSB), physical-modeling waveguides, chaotic feedback filters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— each is its own instrument/effect project. Not slots.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Brickwall IIR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— does not exist honestly; a true brickwall is a linear-phase FIR with real latency. If wanted later, it is a separate latency-aware path, not an IIR cascade pretending to be steep. 48 dB/oct staged Butterworth is the honest steep option.</w:t>
      </w:r>
    </w:p>
    <w:p>
      <w:pPr>
        <w:pBdr>
          <w:bottom w:val="single" w:color="808080" w:sz="6" w:space="1"/>
        </w:pBdr>
        <w:spacing w:after="200" w:before="120"/>
      </w:pPr>
    </w:p>
    <w:p>
      <w:pPr>
        <w:pStyle w:val="Heading2"/>
        <w:spacing w:after="140" w:before="280"/>
      </w:pPr>
      <w:r>
        <w:rPr>
          <w:rFonts w:ascii="Carlito" w:cs="Carlito" w:hAnsi="Carlito"/>
          <w:b/>
          <w:bCs/>
          <w:color w:val="4F81BD"/>
          <w:sz w:val="28"/>
          <w:szCs w:val="28"/>
        </w:rPr>
        <w:t xml:space="preserve">2. The core bet: one SVF to rule the clean filters</w:t>
      </w:r>
    </w:p>
    <w:p>
      <w:pPr>
        <w:spacing w:after="14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Decision: the Zavalishin-TPT / Cytomic-Simper state-variable filter is the single unified core.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Three independent research lines converged on this: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Modulation stability.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Direct-form biquads are unsafe under fast cutoff sweeps at high resonance — the exact TB-303 use case. The TPT SVF embeds all cutoff/resonance history in its two integrator states, so per-sample coefficient changes are unconditionally stable for 0 &lt; fc &lt; fs/2 at any Q. (Chamberlin SVF: rejected — blows up above ~fs/6 and overshoots ~180% on fast sweeps.)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One core, every response.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With the generic form, every 2-pole response is a mix of input + two states: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out = m0·v0 + m1·v1 + m2·v2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. LP = (0,0,1), BP = (0,k,0), HP = (1,−k,−1), notch = (1,−k,0), allpass = (1,−2k,0), peak/shelves have known coefficients. </w:t>
      </w: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Mode morphing is a 3-float lerp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— click-free, and itself modulatable (the Hydrasynth SEM approach), strictly better than crossfading two divergent filter states.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Cheap.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2 state floats per slot per channel; coefficient math (one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tan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one divide) in double at control-block rate; per-sample loop is 8 mul + 6 add in float, SIMD-friendly across slots.</w:t>
      </w:r>
    </w:p>
    <w:p>
      <w:pPr>
        <w:spacing w:after="14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Core equations (Simper "optimised 2" form, public Cytomic paper):</w:t>
      </w:r>
    </w:p>
    <w:p>
      <w:pPr>
        <w:spacing w:after="0" w:line="240"/>
        <w:ind w:left="360"/>
      </w:pPr>
      <w:r>
        <w:rPr>
          <w:rFonts w:ascii="Noto Sans Mono" w:cs="Noto Sans Mono" w:hAnsi="Noto Sans Mono"/>
          <w:color w:val="000000"/>
          <w:sz w:val="20"/>
          <w:szCs w:val="20"/>
        </w:rPr>
        <w:t xml:space="preserve">// coefficient update (control block, double precision):</w:t>
      </w:r>
    </w:p>
    <w:p>
      <w:pPr>
        <w:spacing w:after="0" w:line="240"/>
        <w:ind w:left="360"/>
      </w:pPr>
      <w:r>
        <w:rPr>
          <w:rFonts w:ascii="Noto Sans Mono" w:cs="Noto Sans Mono" w:hAnsi="Noto Sans Mono"/>
          <w:color w:val="000000"/>
          <w:sz w:val="20"/>
          <w:szCs w:val="20"/>
        </w:rPr>
        <w:t xml:space="preserve">g  = tan(pi * fc / fs)         // prewarped integrator gain</w:t>
      </w:r>
    </w:p>
    <w:p>
      <w:pPr>
        <w:spacing w:after="0" w:line="240"/>
        <w:ind w:left="360"/>
      </w:pPr>
      <w:r>
        <w:rPr>
          <w:rFonts w:ascii="Noto Sans Mono" w:cs="Noto Sans Mono" w:hAnsi="Noto Sans Mono"/>
          <w:color w:val="000000"/>
          <w:sz w:val="20"/>
          <w:szCs w:val="20"/>
        </w:rPr>
        <w:t xml:space="preserve">k  = 1 / Q                     // damping</w:t>
      </w:r>
    </w:p>
    <w:p>
      <w:pPr>
        <w:spacing w:after="0" w:line="240"/>
        <w:ind w:left="360"/>
      </w:pPr>
      <w:r>
        <w:rPr>
          <w:rFonts w:ascii="Noto Sans Mono" w:cs="Noto Sans Mono" w:hAnsi="Noto Sans Mono"/>
          <w:color w:val="000000"/>
          <w:sz w:val="20"/>
          <w:szCs w:val="20"/>
        </w:rPr>
        <w:t xml:space="preserve">a1 = 1 / (1 + g*(g + k));  a2 = g * a1;  a3 = g * a2</w:t>
      </w:r>
    </w:p>
    <w:p>
      <w:pPr>
        <w:spacing w:after="0" w:line="240"/>
        <w:ind w:left="360"/>
      </w:pPr>
      <w:r>
        <w:rPr>
          <w:rFonts w:ascii="Noto Sans Mono" w:cs="Noto Sans Mono" w:hAnsi="Noto Sans Mono"/>
          <w:color w:val="000000"/>
          <w:sz w:val="20"/>
          <w:szCs w:val="20"/>
        </w:rPr>
        <w:t xml:space="preserve"> </w:t>
      </w:r>
    </w:p>
    <w:p>
      <w:pPr>
        <w:spacing w:after="0" w:line="240"/>
        <w:ind w:left="360"/>
      </w:pPr>
      <w:r>
        <w:rPr>
          <w:rFonts w:ascii="Noto Sans Mono" w:cs="Noto Sans Mono" w:hAnsi="Noto Sans Mono"/>
          <w:color w:val="000000"/>
          <w:sz w:val="20"/>
          <w:szCs w:val="20"/>
        </w:rPr>
        <w:t xml:space="preserve">// per sample (float):</w:t>
      </w:r>
    </w:p>
    <w:p>
      <w:pPr>
        <w:spacing w:after="0" w:line="240"/>
        <w:ind w:left="360"/>
      </w:pPr>
      <w:r>
        <w:rPr>
          <w:rFonts w:ascii="Noto Sans Mono" w:cs="Noto Sans Mono" w:hAnsi="Noto Sans Mono"/>
          <w:color w:val="000000"/>
          <w:sz w:val="20"/>
          <w:szCs w:val="20"/>
        </w:rPr>
        <w:t xml:space="preserve">v3 = v0 - ic2eq</w:t>
      </w:r>
    </w:p>
    <w:p>
      <w:pPr>
        <w:spacing w:after="0" w:line="240"/>
        <w:ind w:left="360"/>
      </w:pPr>
      <w:r>
        <w:rPr>
          <w:rFonts w:ascii="Noto Sans Mono" w:cs="Noto Sans Mono" w:hAnsi="Noto Sans Mono"/>
          <w:color w:val="000000"/>
          <w:sz w:val="20"/>
          <w:szCs w:val="20"/>
        </w:rPr>
        <w:t xml:space="preserve">v1 = a1*ic1eq + a2*v3          // bandpass</w:t>
      </w:r>
    </w:p>
    <w:p>
      <w:pPr>
        <w:spacing w:after="0" w:line="240"/>
        <w:ind w:left="360"/>
      </w:pPr>
      <w:r>
        <w:rPr>
          <w:rFonts w:ascii="Noto Sans Mono" w:cs="Noto Sans Mono" w:hAnsi="Noto Sans Mono"/>
          <w:color w:val="000000"/>
          <w:sz w:val="20"/>
          <w:szCs w:val="20"/>
        </w:rPr>
        <w:t xml:space="preserve">v2 = ic2eq + a2*ic1eq + a3*v3  // lowpass</w:t>
      </w:r>
    </w:p>
    <w:p>
      <w:pPr>
        <w:spacing w:after="0" w:line="240"/>
        <w:ind w:left="360"/>
      </w:pPr>
      <w:r>
        <w:rPr>
          <w:rFonts w:ascii="Noto Sans Mono" w:cs="Noto Sans Mono" w:hAnsi="Noto Sans Mono"/>
          <w:color w:val="000000"/>
          <w:sz w:val="20"/>
          <w:szCs w:val="20"/>
        </w:rPr>
        <w:t xml:space="preserve">ic1eq = 2*v1 - ic1eq</w:t>
      </w:r>
    </w:p>
    <w:p>
      <w:pPr>
        <w:spacing w:after="0" w:line="240"/>
        <w:ind w:left="360"/>
      </w:pPr>
      <w:r>
        <w:rPr>
          <w:rFonts w:ascii="Noto Sans Mono" w:cs="Noto Sans Mono" w:hAnsi="Noto Sans Mono"/>
          <w:color w:val="000000"/>
          <w:sz w:val="20"/>
          <w:szCs w:val="20"/>
        </w:rPr>
        <w:t xml:space="preserve">ic2eq = 2*v2 - ic2eq</w:t>
      </w:r>
    </w:p>
    <w:p>
      <w:pPr>
        <w:spacing w:after="160" w:line="240"/>
        <w:ind w:left="360"/>
      </w:pPr>
      <w:r>
        <w:rPr>
          <w:rFonts w:ascii="Noto Sans Mono" w:cs="Noto Sans Mono" w:hAnsi="Noto Sans Mono"/>
          <w:color w:val="000000"/>
          <w:sz w:val="20"/>
          <w:szCs w:val="20"/>
        </w:rPr>
        <w:t xml:space="preserve">out = m0*v0 + m1*v1 + m2*v2</w:t>
      </w:r>
    </w:p>
    <w:p>
      <w:pPr>
        <w:spacing w:after="14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Guard rails (non-negotiable):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Clamp fc ∈ [10 Hz, 0.45·fs], Q ∈ [0.5, 30] always — after modulation summing, before coefficient math.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Self-osc mode: allow k→~0 only with a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tanh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soft clip inside the resonance feedback path (bounds amplitude, analog-like compression) plus a post-stage DC blocker. Never expose raw k=0 linear.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Noto Sans Mono" w:cs="Noto Sans Mono" w:hAnsi="Noto Sans Mono"/>
          <w:color w:val="000000"/>
          <w:sz w:val="20"/>
          <w:szCs w:val="20"/>
        </w:rPr>
        <w:t xml:space="preserve">juce::ScopedNoDenormals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on the audio callback + flush states below ~1e-20; double for coefficient calc.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Nonlinearity iteration counts are fixed (1–2), deterministic — no convergence loops on the audio thread.</w:t>
      </w:r>
    </w:p>
    <w:p>
      <w:pPr>
        <w:spacing w:after="14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Slope staging: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6 dB = one-pole; 12 dB = single SVF; 24 dB = two SVFs at same fc with Butterworth staging Q₁ = 0.5412, Q₂ = 1.3065 (Q = 0.7071 on both is wrong — gives −6 dB droop at fc); 48 dB = four stages from the standard Butterworth Q table (Q_k = 1 / (2 cos(π(2k + N − 1) / 2N))). Resonant cascades share fc and Q across stages; Butterworth staging applies to non-resonant steep slopes only.</w:t>
      </w:r>
    </w:p>
    <w:p>
      <w:pPr>
        <w:pBdr>
          <w:bottom w:val="single" w:color="808080" w:sz="6" w:space="1"/>
        </w:pBdr>
        <w:spacing w:after="200" w:before="120"/>
      </w:pPr>
    </w:p>
    <w:p>
      <w:pPr>
        <w:pStyle w:val="Heading2"/>
        <w:spacing w:after="140" w:before="280"/>
      </w:pPr>
      <w:r>
        <w:rPr>
          <w:rFonts w:ascii="Carlito" w:cs="Carlito" w:hAnsi="Carlito"/>
          <w:b/>
          <w:bCs/>
          <w:color w:val="4F81BD"/>
          <w:sz w:val="28"/>
          <w:szCs w:val="28"/>
        </w:rPr>
        <w:t xml:space="preserve">3. Multi-slot engine architecture</w:t>
      </w:r>
    </w:p>
    <w:p>
      <w:pPr>
        <w:spacing w:after="14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Pattern: clone </w:t>
      </w:r>
      <w:r>
        <w:rPr>
          <w:rFonts w:ascii="Noto Sans Mono" w:cs="Noto Sans Mono" w:hAnsi="Noto Sans Mono"/>
          <w:b/>
          <w:bCs/>
          <w:color w:val="000000"/>
          <w:sz w:val="20"/>
          <w:szCs w:val="20"/>
        </w:rPr>
        <w:t xml:space="preserve">XlethParametricEQ</w:t>
      </w: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 (</w:t>
      </w:r>
      <w:r>
        <w:rPr>
          <w:rFonts w:ascii="Noto Sans Mono" w:cs="Noto Sans Mono" w:hAnsi="Noto Sans Mono"/>
          <w:b/>
          <w:bCs/>
          <w:color w:val="000000"/>
          <w:sz w:val="20"/>
          <w:szCs w:val="20"/>
        </w:rPr>
        <w:t xml:space="preserve">XlethEQEffect.h</w:t>
      </w: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), smooth like </w:t>
      </w:r>
      <w:r>
        <w:rPr>
          <w:rFonts w:ascii="Noto Sans Mono" w:cs="Noto Sans Mono" w:hAnsi="Noto Sans Mono"/>
          <w:b/>
          <w:bCs/>
          <w:color w:val="000000"/>
          <w:sz w:val="20"/>
          <w:szCs w:val="20"/>
        </w:rPr>
        <w:t xml:space="preserve">XlethPhaserEffect.h</w:t>
      </w: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.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This is the proven in-tree multi-slot design — do not invent a new one.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Fixed slot array.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kMaxSlots = 8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SlotState slots_[kMaxSlots]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preallocated in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prepareEffect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;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std::atomic&lt;int&gt; slotCount_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read once per block.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addSlot()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/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removeSlot()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main-thread only, swap-with-last on remove, count serialized as an XML attribute alongside APVTS state (EQ's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getStateInformation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override is the template).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Param namespacing.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All slot params declared upfront in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createLayout()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: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s{i}_enabled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s{i}_type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s{i}_cutoff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s{i}_q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s{i}_gain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s{i}_morph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s{i}_slope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s{i}_drive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s{i}_mix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plus modulation params below. Same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paramId(i, suffix)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convention as the EQ.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Serial chain.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Slots run in series, each pure-wet with per-slot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enabled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bypass and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mix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(additive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dry + mix·wet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per slot, the phaser's phase-safe pattern). Watch cumulative resonance gain across a resonant series — per-slot output soft clip is the safety net.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Smoothing.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Cutoff/Q: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registerSmoothedParam(id, SmoothType::Multiplicative, 15–30 ms)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— exponential-ish glide, musically correct. Mix/gain: Linear 20 ms. Coefficients recomputed per 32-sample control block from smoothed values with the base class's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peekAfter()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block-rate trick and per-sample lerp — never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tan()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per sample in v1.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Tail.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getTailLengthSeconds()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≈ 0.2 s so resonant state decays across clip chops.</w:t>
      </w:r>
    </w:p>
    <w:p>
      <w:pPr>
        <w:spacing w:after="14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Custom RPCs (all four layers, mirroring the EQ's five):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audio_filterAddSlot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audio_filterRemoveSlot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audio_filterSetSlotParam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audio_filterGetSlots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audio_filterGetResponseCurve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. Each requires: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ui/rpc-manifest.js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entry →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bridge/src/XlethRpcExports.inc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export →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engine/src/XlethRpcDispatch.inc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mapping → handler in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XlethEngineService.cpp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. Verify with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cd ui &amp;&amp; npx vitest run rpcManifest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. Plain per-param writes go through the existing generic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audio_setEffectParameter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path and need no new RPC.</w:t>
      </w:r>
    </w:p>
    <w:p>
      <w:pPr>
        <w:pBdr>
          <w:bottom w:val="single" w:color="808080" w:sz="6" w:space="1"/>
        </w:pBdr>
        <w:spacing w:after="200" w:before="120"/>
      </w:pPr>
    </w:p>
    <w:p>
      <w:pPr>
        <w:pStyle w:val="Heading2"/>
        <w:spacing w:after="140" w:before="280"/>
      </w:pPr>
      <w:r>
        <w:rPr>
          <w:rFonts w:ascii="Carlito" w:cs="Carlito" w:hAnsi="Carlito"/>
          <w:b/>
          <w:bCs/>
          <w:color w:val="4F81BD"/>
          <w:sz w:val="28"/>
          <w:szCs w:val="28"/>
        </w:rPr>
        <w:t xml:space="preserve">4. Modulation architecture — the hybrid</w:t>
      </w:r>
    </w:p>
    <w:p>
      <w:pPr>
        <w:spacing w:after="14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What the audit found: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XLETH already has a production-grade envelope + LFO → effect-parameter engine (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xleth::envmod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xleth::lfomod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) with bounded mapping, bezier curves, per-sample downstream smoothing, and multi-slot addressing by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effectInstanceId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+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parameterId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. The only missing piece is an audio-driven dynamics follower.</w:t>
      </w:r>
    </w:p>
    <w:p>
      <w:pPr>
        <w:pStyle w:val="Heading3"/>
        <w:spacing w:after="120" w:before="220"/>
      </w:pPr>
      <w:r>
        <w:rPr>
          <w:rFonts w:ascii="Carlito" w:cs="Carlito" w:hAnsi="Carlito"/>
          <w:b/>
          <w:bCs/>
          <w:color w:val="000000"/>
          <w:sz w:val="24"/>
          <w:szCs w:val="24"/>
        </w:rPr>
        <w:t xml:space="preserve">4.1 Envelope &amp; LFO — reuse the graph engine, zero new engine code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Every APVTS slot param (cutoff, Q, morph, mix, drive) is automatically an FX-graph modulation target. Envelope and LFO nodes drive it via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ModulationMapping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: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value = clamp(base + depth · shaped(env))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— base+depth bipolar is mathematically the user's min/max pair in normalized domain; env = 0 yields exactly base, so idle modulators are inert.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The cutoff param's log-skewed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NormalisableRange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means normalized-domain modulation sweeps in approximately-octave space — the perceptually correct behavior for acid sweeps — for free.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Evaluation is block-rate into atomic mailboxes, applied by a helper thread, smoothed per-sample inside the effect. Zipper-safe for musical-rate sweeps. Never push this path to per-sample rate; never touch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chainsMutex_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from the audio thread.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Trap to avoid: the Sampler's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advanceLfo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tempo-sync formula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(bpm/60)·(4/division)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is confirmed backwards (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LfoParameterModulation.h:39-48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). Use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lfomod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's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evaluateLfoAtPosition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which is a stateless pure function of absolute transport position — correct across seek and loop-wrap.</w:t>
      </w:r>
    </w:p>
    <w:p>
      <w:pPr>
        <w:pStyle w:val="Heading3"/>
        <w:spacing w:after="120" w:before="220"/>
      </w:pPr>
      <w:r>
        <w:rPr>
          <w:rFonts w:ascii="Carlito" w:cs="Carlito" w:hAnsi="Carlito"/>
          <w:b/>
          <w:bCs/>
          <w:color w:val="000000"/>
          <w:sz w:val="24"/>
          <w:szCs w:val="24"/>
        </w:rPr>
        <w:t xml:space="preserve">4.2 Dynamics follower — small in-effect mod engine (the auto-wah / 303 path)</w:t>
      </w:r>
    </w:p>
    <w:p>
      <w:pPr>
        <w:spacing w:after="14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The graph path structurally cannot see the audio stream, so the signal-driven follower lives inside the effect, one per slot: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Detector.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Reuse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xleth_apex::EnvelopeFollower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(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ApexDsp.h:509-554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): branching attack/release with sustain-hold + RMS pre-stage. Coefficients per block via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onePoleCoeff(ms, sr)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— never per-sample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exp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(the Compressor's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XlethCompressorEffect.h:339-342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pattern is an anti-example).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Mapping.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Follower output e ∈ [0,1] → exponential frequency map: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hz = minHz · (maxHz/minHz)^e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with user min/max as ordinary APVTS params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s{i}_cut_min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/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s{i}_cut_max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. Compose with the smoothed base cutoff </w:t>
      </w: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multiplicatively in log domain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, then clamp to [10 Hz, 0.45·fs]. Clamp the sum, never individual sources.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303 authenticity features (worth the bytes):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accent-style transient boost with a stateful leaky-integrator lag (~47–150 ms RC) that does not fully discharge between quick accents — the rising "distressed cry" of an acid run; optional detector high-pass so sub-bass doesn't pin the envelope; optional threshold-triggered AR mode (Polyverse-style) for rhythmic retriggering.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Sidechain source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requires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withSidechainInput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on the base ctor — v1 is self-input only; sidechain is a deliberate later increment.</w:t>
      </w:r>
    </w:p>
    <w:p>
      <w:pPr>
        <w:pStyle w:val="Heading3"/>
        <w:spacing w:after="120" w:before="220"/>
      </w:pPr>
      <w:r>
        <w:rPr>
          <w:rFonts w:ascii="Carlito" w:cs="Carlito" w:hAnsi="Carlito"/>
          <w:b/>
          <w:bCs/>
          <w:color w:val="000000"/>
          <w:sz w:val="24"/>
          <w:szCs w:val="24"/>
        </w:rPr>
        <w:t xml:space="preserve">4.3 The TB-303 acid reference patch (acceptance test for the whole system)</w:t>
      </w:r>
    </w:p>
    <w:p>
      <w:pPr>
        <w:spacing w:after="14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303 slot → diode ladder type (or SVF BP/LP until Prompt 4), cutoff parked 200–800 Hz, resonance 70–90%, dynamics follower depth high with min/max = 300 Hz–3 kHz, attack ~1–3 ms, decay 30–300 ms, plus a shallow second route onto Q. If that patch squelches, the architecture is right.</w:t>
      </w:r>
    </w:p>
    <w:p>
      <w:pPr>
        <w:pBdr>
          <w:bottom w:val="single" w:color="808080" w:sz="6" w:space="1"/>
        </w:pBdr>
        <w:spacing w:after="200" w:before="120"/>
      </w:pPr>
    </w:p>
    <w:p>
      <w:pPr>
        <w:pStyle w:val="Heading2"/>
        <w:spacing w:after="140" w:before="280"/>
      </w:pPr>
      <w:r>
        <w:rPr>
          <w:rFonts w:ascii="Carlito" w:cs="Carlito" w:hAnsi="Carlito"/>
          <w:b/>
          <w:bCs/>
          <w:color w:val="4F81BD"/>
          <w:sz w:val="28"/>
          <w:szCs w:val="28"/>
        </w:rPr>
        <w:t xml:space="preserve">5. Implementation sequence — four prompts, in order</w:t>
      </w:r>
    </w:p>
    <w:p>
      <w:pPr>
        <w:spacing w:after="14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One logical unit per prompt. Build + commit between each. Full paste-ready text in the companion files.</w:t>
      </w:r>
    </w:p>
    <w:p>
      <w:pPr>
        <w:spacing w:after="40" w:line="40"/>
      </w:pPr>
      <w:r>
        <w:rPr>
          <w:sz w:val="2"/>
          <w:szCs w:val="2"/>
        </w:rPr>
        <w:t xml:space="preserve"> </w:t>
      </w:r>
    </w:p>
    <w:tbl>
      <w:tblPr>
        <w:tblW w:type="pct" w:w="100%"/>
        <w:tblBorders>
          <w:top w:val="single" w:color="000000" w:sz="4"/>
          <w:left w:val="none" w:color="000000" w:sz="0"/>
          <w:bottom w:val="single" w:color="000000" w:sz="4"/>
          <w:right w:val="none" w:color="000000" w:sz="0"/>
          <w:insideH w:val="none" w:color="000000" w:sz="0"/>
          <w:insideV w:val="none" w:color="000000" w:sz="0"/>
        </w:tblBorders>
      </w:tblPr>
      <w:tblGrid>
        <w:gridCol w:w="560"/>
        <w:gridCol w:w="2700"/>
        <w:gridCol w:w="4600"/>
        <w:gridCol w:w="1500"/>
      </w:tblGrid>
      <w:tr>
        <w:trPr>
          <w:tblHeader/>
        </w:trPr>
        <w:tc>
          <w:tcPr>
            <w:tcW w:type="dxa" w:w="560"/>
            <w:tcBorders>
              <w:bottom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2700"/>
            <w:tcBorders>
              <w:bottom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b/>
                <w:bCs/>
                <w:color w:val="000000"/>
                <w:sz w:val="22"/>
                <w:szCs w:val="22"/>
              </w:rPr>
              <w:t xml:space="preserve">File</w:t>
            </w:r>
          </w:p>
        </w:tc>
        <w:tc>
          <w:tcPr>
            <w:tcW w:type="dxa" w:w="4600"/>
            <w:tcBorders>
              <w:bottom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b/>
                <w:bCs/>
                <w:color w:val="000000"/>
                <w:sz w:val="22"/>
                <w:szCs w:val="22"/>
              </w:rPr>
              <w:t xml:space="preserve">Scope</w:t>
            </w:r>
          </w:p>
        </w:tc>
        <w:tc>
          <w:tcPr>
            <w:tcW w:type="dxa" w:w="1500"/>
            <w:tcBorders>
              <w:bottom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b/>
                <w:bCs/>
                <w:color w:val="000000"/>
                <w:sz w:val="22"/>
                <w:szCs w:val="22"/>
              </w:rPr>
              <w:t xml:space="preserve">Model + effort</w:t>
            </w: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Noto Sans Mono" w:cs="Noto Sans Mono" w:hAnsi="Noto Sans Mono"/>
                <w:color w:val="000000"/>
                <w:sz w:val="20"/>
                <w:szCs w:val="20"/>
              </w:rPr>
              <w:t xml:space="preserve">xleth-filter-prompt-1-dsp-core.md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SVF core + slot types (LP/HP/BP/notch/allpass/peak/shelves/morph) + slopes + drive/self-osc + multi-slot engine + APVTS layout + engine tests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Opus, High</w:t>
            </w: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Noto Sans Mono" w:cs="Noto Sans Mono" w:hAnsi="Noto Sans Mono"/>
                <w:color w:val="000000"/>
                <w:sz w:val="20"/>
                <w:szCs w:val="20"/>
              </w:rPr>
              <w:t xml:space="preserve">xleth-filter-prompt-2-modulation.md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In-effect dynamics follower + cut min/max clamp + 303 accent lag + graph-port wiring check + modulation tests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Opus, High</w:t>
            </w: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Noto Sans Mono" w:cs="Noto Sans Mono" w:hAnsi="Noto Sans Mono"/>
                <w:color w:val="000000"/>
                <w:sz w:val="20"/>
                <w:szCs w:val="20"/>
              </w:rPr>
              <w:t xml:space="preserve">xleth-filter-prompt-3-ui-panel.md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FilterPanel.jsx + store + editor registry + custom RPCs (4 layers) + response-curve canvas + design-system compliance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Sonnet, High</w:t>
            </w: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Noto Sans Mono" w:cs="Noto Sans Mono" w:hAnsi="Noto Sans Mono"/>
                <w:color w:val="000000"/>
                <w:sz w:val="20"/>
                <w:szCs w:val="20"/>
              </w:rPr>
              <w:t xml:space="preserve">xleth-filter-prompt-4-analog-character-pack.md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Moog ladder, Open303 diode-ladder port (MIT), Sallen-Key, Steiner injection modes, comb, formant, tilt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DejaVu Serif" w:cs="DejaVu Serif" w:hAnsi="DejaVu Serif"/>
                <w:color w:val="000000"/>
                <w:sz w:val="22"/>
                <w:szCs w:val="22"/>
              </w:rPr>
              <w:t xml:space="preserve">Opus, High</w:t>
            </w:r>
          </w:p>
        </w:tc>
      </w:tr>
    </w:tbl>
    <w:p>
      <w:pPr>
        <w:spacing w:after="120" w:line="40"/>
      </w:pPr>
      <w:r>
        <w:rPr>
          <w:sz w:val="2"/>
          <w:szCs w:val="2"/>
        </w:rPr>
        <w:t xml:space="preserve"> </w:t>
      </w:r>
    </w:p>
    <w:p>
      <w:pPr>
        <w:spacing w:after="14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Dependencies: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2 depends on 1 (needs slots + params). 3 depends on 1 (needs the param contract) and is more useful after 2. 4 depends on 1 (extends the slot-type enum and adds cores). Do not parallelize 1 with anything.</w:t>
      </w:r>
    </w:p>
    <w:p>
      <w:pPr>
        <w:spacing w:after="14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Verification per prompt: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build.bat bridge-clean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after any C++ change (stale binaries cause false "still broken" reports), focused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ctest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on the new/updated test exe,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cd ui &amp;&amp; npx vitest run rpcManifest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after any custom RPC, commit after each green build.</w:t>
      </w:r>
    </w:p>
    <w:p>
      <w:pPr>
        <w:spacing w:after="140" w:line="276"/>
      </w:pPr>
      <w:r>
        <w:rPr>
          <w:rFonts w:ascii="DejaVu Serif" w:cs="DejaVu Serif" w:hAnsi="DejaVu Serif"/>
          <w:b/>
          <w:bCs/>
          <w:color w:val="000000"/>
          <w:sz w:val="22"/>
          <w:szCs w:val="22"/>
        </w:rPr>
        <w:t xml:space="preserve">Licensing note: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the SVF core derives from the public Cytomic paper (clean); the 303 ladder ports Robin Schmidt's Open303 engine — MIT, keep the license header; JUCE's own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LadderFilter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/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StateVariableTPTFilter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are usable as test oracles. Surge XT's sst-filters is GPLv3 — architecture reference only, no code.</w:t>
      </w:r>
    </w:p>
    <w:p>
      <w:pPr>
        <w:pBdr>
          <w:bottom w:val="single" w:color="808080" w:sz="6" w:space="1"/>
        </w:pBdr>
        <w:spacing w:after="200" w:before="120"/>
      </w:pPr>
    </w:p>
    <w:p>
      <w:pPr>
        <w:pStyle w:val="Heading2"/>
        <w:spacing w:after="140" w:before="280"/>
      </w:pPr>
      <w:r>
        <w:rPr>
          <w:rFonts w:ascii="Carlito" w:cs="Carlito" w:hAnsi="Carlito"/>
          <w:b/>
          <w:bCs/>
          <w:color w:val="4F81BD"/>
          <w:sz w:val="28"/>
          <w:szCs w:val="28"/>
        </w:rPr>
        <w:t xml:space="preserve">6. Key research sources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Zavalishin, </w:t>
      </w:r>
      <w:r>
        <w:rPr>
          <w:rFonts w:ascii="DejaVu Serif" w:cs="DejaVu Serif" w:hAnsi="DejaVu Serif"/>
          <w:i/>
          <w:iCs/>
          <w:color w:val="000000"/>
          <w:sz w:val="22"/>
          <w:szCs w:val="22"/>
        </w:rPr>
        <w:t xml:space="preserve">The Art of VA Filter Design* (free NI PDF, v2.1.2) — TPT/ZDF framework, ladder, SK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Cytomic/Simper, </w:t>
      </w:r>
      <w:r>
        <w:rPr>
          <w:rFonts w:ascii="Noto Sans Mono" w:cs="Noto Sans Mono" w:hAnsi="Noto Sans Mono"/>
          <w:color w:val="000000"/>
          <w:sz w:val="20"/>
          <w:szCs w:val="20"/>
        </w:rPr>
        <w:t xml:space="preserve">SvfLinearTrapOptimised2.pdf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 (public domain) + hollance's C++ port (all mix coefficients)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Vicanek — </w:t>
      </w:r>
      <w:r>
        <w:rPr>
          <w:rFonts w:ascii="DejaVu Serif" w:cs="DejaVu Serif" w:hAnsi="DejaVu Serif"/>
          <w:i/>
          <w:iCs/>
          <w:color w:val="000000"/>
          <w:sz w:val="22"/>
          <w:szCs w:val="22"/>
        </w:rPr>
        <w:t xml:space="preserve">Matched Second Order Digital Filters</w:t>
      </w:r>
      <w:r>
        <w:rPr>
          <w:rFonts w:ascii="DejaVu Serif" w:cs="DejaVu Serif" w:hAnsi="DejaVu Serif"/>
          <w:color w:val="000000"/>
          <w:sz w:val="22"/>
          <w:szCs w:val="22"/>
        </w:rPr>
        <w:t xml:space="preserve">; </w:t>
      </w:r>
      <w:r>
        <w:rPr>
          <w:rFonts w:ascii="DejaVu Serif" w:cs="DejaVu Serif" w:hAnsi="DejaVu Serif"/>
          <w:i/>
          <w:iCs/>
          <w:color w:val="000000"/>
          <w:sz w:val="22"/>
          <w:szCs w:val="22"/>
        </w:rPr>
        <w:t xml:space="preserve">Fast Modulation of Filter Parameters*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Robin Schmidt, Open303 (MIT) — TPT diode ladder + accent behavior; Tim Stinchcombe's TB-303 diode ladder analysis (validation reference); Robin Whittle's 303 MEG/accent-sweep analysis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RBJ Audio EQ Cookbook (baseline EQ coefficient bank); EarLevel Engineering (biquad structures, Chamberlin instability)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GeoFex (R.G. Keen) — auto-wah/envelope-filter mapping; AAS Multiphonics CV-2 manual (peak vs RMS detection); Fractal Audio wiki (start/stop freq, sweep shape)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Huovilainen &amp; Välimäki — improved Moog ladder VA model; Pirkle — ZDF Moog/Korg35 app notes, self-oscillation control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Peterson &amp; Barney (1952) — canonical formant frequency table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Dattorro (JAES 1997) — allpass interpolation for modulated delay lines (comb)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DejaVu Serif" w:cs="DejaVu Serif" w:hAnsi="DejaVu Serif"/>
          <w:color w:val="000000"/>
          <w:sz w:val="22"/>
          <w:szCs w:val="22"/>
        </w:rPr>
        <w:t xml:space="preserve">Butterworth/Linkwitz-Riley Q staging tables (Hypex/RANE); JUCE docs/forums — TPT filter, denormal prevention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2026-08-10T13:02:54.697Z</dcterms:created>
  <dcterms:modified xsi:type="dcterms:W3CDTF">2026-08-10T13:02:54.697Z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