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60"/>
        <w:jc w:val="center"/>
      </w:pPr>
      <w:r>
        <w:rPr>
          <w:rFonts w:ascii="Arial" w:cs="Arial" w:eastAsia="Arial" w:hAnsi="Arial"/>
          <w:b/>
          <w:bCs/>
          <w:color w:val="E8550A"/>
          <w:spacing w:val="200"/>
          <w:sz w:val="24"/>
          <w:szCs w:val="24"/>
        </w:rPr>
        <w:t xml:space="preserve">PALO ALTO NETWORKS</w:t>
      </w:r>
    </w:p>
    <w:p>
      <w:pPr>
        <w:pBdr>
          <w:bottom w:val="single" w:color="E8550A" w:sz="6" w:space="12"/>
        </w:pBdr>
        <w:spacing w:before="0" w:after="480"/>
        <w:jc w:val="center"/>
      </w:pPr>
      <w:r>
        <w:rPr>
          <w:rFonts w:ascii="Arial" w:cs="Arial" w:eastAsia="Arial" w:hAnsi="Arial"/>
          <w:color w:val="64748B"/>
          <w:sz w:val="22"/>
          <w:szCs w:val="22"/>
        </w:rPr>
        <w:t xml:space="preserve">HR Analytics &amp; Workforce Intelligence Division</w:t>
      </w:r>
    </w:p>
    <w:p>
      <w:pPr>
        <w:spacing w:before="0" w:after="240"/>
      </w:pPr>
      <w:r>
        <w:t xml:space="preserve"/>
      </w:r>
    </w:p>
    <w:p>
      <w:pPr>
        <w:spacing w:before="0" w:after="120"/>
        <w:jc w:val="center"/>
      </w:pPr>
      <w:r>
        <w:rPr>
          <w:rFonts w:ascii="Arial" w:cs="Arial" w:eastAsia="Arial" w:hAnsi="Arial"/>
          <w:b/>
          <w:bCs/>
          <w:color w:val="0D2347"/>
          <w:sz w:val="52"/>
          <w:szCs w:val="52"/>
        </w:rPr>
        <w:t xml:space="preserve">Machine Learning–Based Employee</w:t>
      </w:r>
    </w:p>
    <w:p>
      <w:pPr>
        <w:spacing w:before="0" w:after="120"/>
        <w:jc w:val="center"/>
      </w:pPr>
      <w:r>
        <w:rPr>
          <w:rFonts w:ascii="Arial" w:cs="Arial" w:eastAsia="Arial" w:hAnsi="Arial"/>
          <w:b/>
          <w:bCs/>
          <w:color w:val="0D2347"/>
          <w:sz w:val="52"/>
          <w:szCs w:val="52"/>
        </w:rPr>
        <w:t xml:space="preserve">Attrition Prediction and</w:t>
      </w:r>
    </w:p>
    <w:p>
      <w:pPr>
        <w:spacing w:before="0" w:after="480"/>
        <w:jc w:val="center"/>
      </w:pPr>
      <w:r>
        <w:rPr>
          <w:rFonts w:ascii="Arial" w:cs="Arial" w:eastAsia="Arial" w:hAnsi="Arial"/>
          <w:b/>
          <w:bCs/>
          <w:color w:val="E8550A"/>
          <w:sz w:val="52"/>
          <w:szCs w:val="52"/>
        </w:rPr>
        <w:t xml:space="preserve">Risk Scoring System</w:t>
      </w:r>
    </w:p>
    <w:p>
      <w:pPr>
        <w:spacing w:before="0" w:after="120"/>
        <w:jc w:val="center"/>
      </w:pPr>
      <w:r>
        <w:rPr>
          <w:rFonts w:ascii="Arial" w:cs="Arial" w:eastAsia="Arial" w:hAnsi="Arial"/>
          <w:i/>
          <w:iCs/>
          <w:color w:val="64748B"/>
          <w:sz w:val="26"/>
          <w:szCs w:val="26"/>
        </w:rPr>
        <w:t xml:space="preserve">Research Paper &amp; Technical Report</w:t>
      </w:r>
    </w:p>
    <w:p>
      <w:pPr>
        <w:spacing w:before="0" w:after="600"/>
      </w:pPr>
      <w:r>
        <w:t xml:space="preserve"/>
      </w:r>
    </w:p>
    <w:p>
      <w:pPr>
        <w:spacing w:before="0" w:after="80"/>
        <w:jc w:val="center"/>
      </w:pPr>
      <w:r>
        <w:rPr>
          <w:rFonts w:ascii="Arial" w:cs="Arial" w:eastAsia="Arial" w:hAnsi="Arial"/>
          <w:color w:val="94A3B8"/>
          <w:sz w:val="22"/>
          <w:szCs w:val="22"/>
        </w:rPr>
        <w:t xml:space="preserve">HR Analytics Internship Project  |  2025</w:t>
      </w:r>
    </w:p>
    <w:p>
      <w:pPr>
        <w:spacing w:before="0" w:after="80"/>
        <w:jc w:val="center"/>
      </w:pPr>
      <w:r>
        <w:rPr>
          <w:rFonts w:ascii="Arial" w:cs="Arial" w:eastAsia="Arial" w:hAnsi="Arial"/>
          <w:color w:val="94A3B8"/>
          <w:sz w:val="22"/>
          <w:szCs w:val="22"/>
        </w:rPr>
        <w:t xml:space="preserve">Dataset: 1,470 Employee Records  |  31 Features  |  4 ML Models</w:t>
      </w:r>
    </w:p>
    <w:p>
      <w:r>
        <w:br w:type="page"/>
      </w:r>
    </w:p>
    <w:p>
      <w:pPr>
        <w:pStyle w:val="Heading1"/>
        <w:pBdr>
          <w:bottom w:val="single" w:color="E8550A" w:sz="4" w:space="6"/>
        </w:pBdr>
        <w:spacing w:before="360" w:after="180"/>
      </w:pPr>
      <w:r>
        <w:rPr>
          <w:rFonts w:ascii="Arial" w:cs="Arial" w:eastAsia="Arial" w:hAnsi="Arial"/>
          <w:b/>
          <w:bCs/>
          <w:color w:val="0D2347"/>
          <w:sz w:val="32"/>
          <w:szCs w:val="32"/>
        </w:rPr>
        <w:t xml:space="preserve">Abstract</w:t>
      </w:r>
    </w:p>
    <w:p>
      <w:pPr>
        <w:spacing w:before="80" w:after="120" w:line="336"/>
        <w:jc w:val="both"/>
      </w:pPr>
      <w:r>
        <w:rPr>
          <w:rFonts w:ascii="Arial" w:cs="Arial" w:eastAsia="Arial" w:hAnsi="Arial"/>
          <w:color w:val="1A1A2E"/>
          <w:sz w:val="22"/>
          <w:szCs w:val="22"/>
        </w:rPr>
        <w:t xml:space="preserve">Employee attrition remains one of the most significant operational challenges facing modern organizations. At Palo Alto Networks, HR leadership has identified a critical gap: the inability to proactively identify employees at risk of voluntarily leaving the organization before they submit their resignation. This reactive posture results in costly talent losses, knowledge drain, and disrupted team productivity.</w:t>
      </w:r>
    </w:p>
    <w:p>
      <w:pPr>
        <w:spacing w:before="0" w:after="120"/>
      </w:pPr>
      <w:r>
        <w:t xml:space="preserve"/>
      </w:r>
    </w:p>
    <w:p>
      <w:pPr>
        <w:spacing w:before="80" w:after="120" w:line="336"/>
        <w:jc w:val="both"/>
      </w:pPr>
      <w:r>
        <w:rPr>
          <w:rFonts w:ascii="Arial" w:cs="Arial" w:eastAsia="Arial" w:hAnsi="Arial"/>
          <w:color w:val="1A1A2E"/>
          <w:sz w:val="22"/>
          <w:szCs w:val="22"/>
        </w:rPr>
        <w:t xml:space="preserve">This research paper presents a comprehensive machine learning–based Employee Attrition Prediction and Risk Scoring System developed using a dataset of 1,470 employee records across 31 feature dimensions. The study employs four classification algorithms — Logistic Regression, Random Forest, Gradient Boosting, and XGBoost — with class imbalance handled via SMOTE oversampling. The best-performing model achieves a ROC-AUC of 0.87+, enabling reliable identification of at-risk employees.</w:t>
      </w:r>
    </w:p>
    <w:p>
      <w:pPr>
        <w:spacing w:before="0" w:after="120"/>
      </w:pPr>
      <w:r>
        <w:t xml:space="preserve"/>
      </w:r>
    </w:p>
    <w:p>
      <w:pPr>
        <w:spacing w:before="80" w:after="120" w:line="336"/>
        <w:jc w:val="both"/>
      </w:pPr>
      <w:r>
        <w:rPr>
          <w:rFonts w:ascii="Arial" w:cs="Arial" w:eastAsia="Arial" w:hAnsi="Arial"/>
          <w:color w:val="1A1A2E"/>
          <w:sz w:val="22"/>
          <w:szCs w:val="22"/>
        </w:rPr>
        <w:t xml:space="preserve">Each employee is assigned a quantitative attrition probability score (0–100%) and categorized into Low, Medium, or High risk tiers. SHAP-based explainability provides human-readable reason codes for HR decision-making. Findings indicate that overtime status, job satisfaction, monthly income, years since last promotion, and work-life balance are the most influential attrition drivers. The system is deployed as a live Streamlit web application enabling HR managers to conduct individual employee profiling, department-level risk reviews, and what-if intervention simulations.</w:t>
      </w:r>
    </w:p>
    <w:p>
      <w:pPr>
        <w:spacing w:before="0" w:after="120"/>
      </w:pPr>
      <w:r>
        <w:t xml:space="preserve"/>
      </w:r>
    </w:p>
    <w:p>
      <w:pPr>
        <w:spacing w:before="80" w:after="120" w:line="336"/>
        <w:jc w:val="both"/>
      </w:pPr>
      <w:r>
        <w:rPr>
          <w:rFonts w:ascii="Arial" w:cs="Arial" w:eastAsia="Arial" w:hAnsi="Arial"/>
          <w:i/>
          <w:iCs/>
          <w:color w:val="1A1A2E"/>
          <w:sz w:val="22"/>
          <w:szCs w:val="22"/>
        </w:rPr>
        <w:t xml:space="preserve">Keywords: Employee Attrition, Machine Learning, Risk Scoring, SHAP Explainability, HR Analytics, XGBoost, SMOTE, Workforce Intelligence</w:t>
      </w:r>
    </w:p>
    <w:p>
      <w:r>
        <w:br w:type="page"/>
      </w:r>
    </w:p>
    <w:p>
      <w:pPr>
        <w:pStyle w:val="Heading1"/>
        <w:pBdr>
          <w:bottom w:val="single" w:color="E8550A" w:sz="4" w:space="6"/>
        </w:pBdr>
        <w:spacing w:before="360" w:after="180"/>
      </w:pPr>
      <w:r>
        <w:rPr>
          <w:rFonts w:ascii="Arial" w:cs="Arial" w:eastAsia="Arial" w:hAnsi="Arial"/>
          <w:b/>
          <w:bCs/>
          <w:color w:val="0D2347"/>
          <w:sz w:val="32"/>
          <w:szCs w:val="32"/>
        </w:rPr>
        <w:t xml:space="preserve">Table of Contents</w:t>
      </w:r>
    </w:p>
    <w:p>
      <w:pPr>
        <w:tabs>
          <w:tab w:val="right" w:pos="9000"/>
        </w:tabs>
        <w:spacing w:before="80" w:after="80"/>
      </w:pPr>
      <w:r>
        <w:rPr>
          <w:rFonts w:ascii="Arial" w:cs="Arial" w:eastAsia="Arial" w:hAnsi="Arial"/>
          <w:color w:val="1A1A2E"/>
          <w:sz w:val="22"/>
          <w:szCs w:val="22"/>
        </w:rPr>
        <w:t xml:space="preserve">1. Introduction</w:t>
      </w:r>
      <w:r>
        <w:rPr>
          <w:rFonts w:ascii="Arial" w:cs="Arial" w:eastAsia="Arial" w:hAnsi="Arial"/>
          <w:color w:val="64748B"/>
          <w:sz w:val="22"/>
          <w:szCs w:val="22"/>
        </w:rPr>
        <w:t xml:space="preserve">	4</w:t>
      </w:r>
    </w:p>
    <w:p>
      <w:pPr>
        <w:tabs>
          <w:tab w:val="right" w:pos="9000"/>
        </w:tabs>
        <w:spacing w:before="80" w:after="80"/>
      </w:pPr>
      <w:r>
        <w:rPr>
          <w:rFonts w:ascii="Arial" w:cs="Arial" w:eastAsia="Arial" w:hAnsi="Arial"/>
          <w:color w:val="1A1A2E"/>
          <w:sz w:val="22"/>
          <w:szCs w:val="22"/>
        </w:rPr>
        <w:t xml:space="preserve">2. Problem Statement &amp; Objectives</w:t>
      </w:r>
      <w:r>
        <w:rPr>
          <w:rFonts w:ascii="Arial" w:cs="Arial" w:eastAsia="Arial" w:hAnsi="Arial"/>
          <w:color w:val="64748B"/>
          <w:sz w:val="22"/>
          <w:szCs w:val="22"/>
        </w:rPr>
        <w:t xml:space="preserve">	5</w:t>
      </w:r>
    </w:p>
    <w:p>
      <w:pPr>
        <w:tabs>
          <w:tab w:val="right" w:pos="9000"/>
        </w:tabs>
        <w:spacing w:before="80" w:after="80"/>
      </w:pPr>
      <w:r>
        <w:rPr>
          <w:rFonts w:ascii="Arial" w:cs="Arial" w:eastAsia="Arial" w:hAnsi="Arial"/>
          <w:color w:val="1A1A2E"/>
          <w:sz w:val="22"/>
          <w:szCs w:val="22"/>
        </w:rPr>
        <w:t xml:space="preserve">3. Literature Review</w:t>
      </w:r>
      <w:r>
        <w:rPr>
          <w:rFonts w:ascii="Arial" w:cs="Arial" w:eastAsia="Arial" w:hAnsi="Arial"/>
          <w:color w:val="64748B"/>
          <w:sz w:val="22"/>
          <w:szCs w:val="22"/>
        </w:rPr>
        <w:t xml:space="preserve">	5</w:t>
      </w:r>
    </w:p>
    <w:p>
      <w:pPr>
        <w:tabs>
          <w:tab w:val="right" w:pos="9000"/>
        </w:tabs>
        <w:spacing w:before="80" w:after="80"/>
      </w:pPr>
      <w:r>
        <w:rPr>
          <w:rFonts w:ascii="Arial" w:cs="Arial" w:eastAsia="Arial" w:hAnsi="Arial"/>
          <w:color w:val="1A1A2E"/>
          <w:sz w:val="22"/>
          <w:szCs w:val="22"/>
        </w:rPr>
        <w:t xml:space="preserve">4. Dataset Description &amp; EDA</w:t>
      </w:r>
      <w:r>
        <w:rPr>
          <w:rFonts w:ascii="Arial" w:cs="Arial" w:eastAsia="Arial" w:hAnsi="Arial"/>
          <w:color w:val="64748B"/>
          <w:sz w:val="22"/>
          <w:szCs w:val="22"/>
        </w:rPr>
        <w:t xml:space="preserve">	6</w:t>
      </w:r>
    </w:p>
    <w:p>
      <w:pPr>
        <w:tabs>
          <w:tab w:val="right" w:pos="9000"/>
        </w:tabs>
        <w:spacing w:before="80" w:after="80"/>
      </w:pPr>
      <w:r>
        <w:rPr>
          <w:rFonts w:ascii="Arial" w:cs="Arial" w:eastAsia="Arial" w:hAnsi="Arial"/>
          <w:color w:val="1A1A2E"/>
          <w:sz w:val="22"/>
          <w:szCs w:val="22"/>
        </w:rPr>
        <w:t xml:space="preserve">5. Data Preprocessing</w:t>
      </w:r>
      <w:r>
        <w:rPr>
          <w:rFonts w:ascii="Arial" w:cs="Arial" w:eastAsia="Arial" w:hAnsi="Arial"/>
          <w:color w:val="64748B"/>
          <w:sz w:val="22"/>
          <w:szCs w:val="22"/>
        </w:rPr>
        <w:t xml:space="preserve">	8</w:t>
      </w:r>
    </w:p>
    <w:p>
      <w:pPr>
        <w:tabs>
          <w:tab w:val="right" w:pos="9000"/>
        </w:tabs>
        <w:spacing w:before="80" w:after="80"/>
      </w:pPr>
      <w:r>
        <w:rPr>
          <w:rFonts w:ascii="Arial" w:cs="Arial" w:eastAsia="Arial" w:hAnsi="Arial"/>
          <w:color w:val="1A1A2E"/>
          <w:sz w:val="22"/>
          <w:szCs w:val="22"/>
        </w:rPr>
        <w:t xml:space="preserve">6. Feature Engineering</w:t>
      </w:r>
      <w:r>
        <w:rPr>
          <w:rFonts w:ascii="Arial" w:cs="Arial" w:eastAsia="Arial" w:hAnsi="Arial"/>
          <w:color w:val="64748B"/>
          <w:sz w:val="22"/>
          <w:szCs w:val="22"/>
        </w:rPr>
        <w:t xml:space="preserve">	9</w:t>
      </w:r>
    </w:p>
    <w:p>
      <w:pPr>
        <w:tabs>
          <w:tab w:val="right" w:pos="9000"/>
        </w:tabs>
        <w:spacing w:before="80" w:after="80"/>
      </w:pPr>
      <w:r>
        <w:rPr>
          <w:rFonts w:ascii="Arial" w:cs="Arial" w:eastAsia="Arial" w:hAnsi="Arial"/>
          <w:color w:val="1A1A2E"/>
          <w:sz w:val="22"/>
          <w:szCs w:val="22"/>
        </w:rPr>
        <w:t xml:space="preserve">7. Model Development</w:t>
      </w:r>
      <w:r>
        <w:rPr>
          <w:rFonts w:ascii="Arial" w:cs="Arial" w:eastAsia="Arial" w:hAnsi="Arial"/>
          <w:color w:val="64748B"/>
          <w:sz w:val="22"/>
          <w:szCs w:val="22"/>
        </w:rPr>
        <w:t xml:space="preserve">	10</w:t>
      </w:r>
    </w:p>
    <w:p>
      <w:pPr>
        <w:tabs>
          <w:tab w:val="right" w:pos="9000"/>
        </w:tabs>
        <w:spacing w:before="80" w:after="80"/>
      </w:pPr>
      <w:r>
        <w:rPr>
          <w:rFonts w:ascii="Arial" w:cs="Arial" w:eastAsia="Arial" w:hAnsi="Arial"/>
          <w:color w:val="1A1A2E"/>
          <w:sz w:val="22"/>
          <w:szCs w:val="22"/>
        </w:rPr>
        <w:t xml:space="preserve">8. Model Evaluation &amp; Results</w:t>
      </w:r>
      <w:r>
        <w:rPr>
          <w:rFonts w:ascii="Arial" w:cs="Arial" w:eastAsia="Arial" w:hAnsi="Arial"/>
          <w:color w:val="64748B"/>
          <w:sz w:val="22"/>
          <w:szCs w:val="22"/>
        </w:rPr>
        <w:t xml:space="preserve">	11</w:t>
      </w:r>
    </w:p>
    <w:p>
      <w:pPr>
        <w:tabs>
          <w:tab w:val="right" w:pos="9000"/>
        </w:tabs>
        <w:spacing w:before="80" w:after="80"/>
      </w:pPr>
      <w:r>
        <w:rPr>
          <w:rFonts w:ascii="Arial" w:cs="Arial" w:eastAsia="Arial" w:hAnsi="Arial"/>
          <w:color w:val="1A1A2E"/>
          <w:sz w:val="22"/>
          <w:szCs w:val="22"/>
        </w:rPr>
        <w:t xml:space="preserve">9. Risk Scoring Framework</w:t>
      </w:r>
      <w:r>
        <w:rPr>
          <w:rFonts w:ascii="Arial" w:cs="Arial" w:eastAsia="Arial" w:hAnsi="Arial"/>
          <w:color w:val="64748B"/>
          <w:sz w:val="22"/>
          <w:szCs w:val="22"/>
        </w:rPr>
        <w:t xml:space="preserve">	13</w:t>
      </w:r>
    </w:p>
    <w:p>
      <w:pPr>
        <w:tabs>
          <w:tab w:val="right" w:pos="9000"/>
        </w:tabs>
        <w:spacing w:before="80" w:after="80"/>
      </w:pPr>
      <w:r>
        <w:rPr>
          <w:rFonts w:ascii="Arial" w:cs="Arial" w:eastAsia="Arial" w:hAnsi="Arial"/>
          <w:color w:val="1A1A2E"/>
          <w:sz w:val="22"/>
          <w:szCs w:val="22"/>
        </w:rPr>
        <w:t xml:space="preserve">10. Model Explainability</w:t>
      </w:r>
      <w:r>
        <w:rPr>
          <w:rFonts w:ascii="Arial" w:cs="Arial" w:eastAsia="Arial" w:hAnsi="Arial"/>
          <w:color w:val="64748B"/>
          <w:sz w:val="22"/>
          <w:szCs w:val="22"/>
        </w:rPr>
        <w:t xml:space="preserve">	14</w:t>
      </w:r>
    </w:p>
    <w:p>
      <w:pPr>
        <w:tabs>
          <w:tab w:val="right" w:pos="9000"/>
        </w:tabs>
        <w:spacing w:before="80" w:after="80"/>
      </w:pPr>
      <w:r>
        <w:rPr>
          <w:rFonts w:ascii="Arial" w:cs="Arial" w:eastAsia="Arial" w:hAnsi="Arial"/>
          <w:color w:val="1A1A2E"/>
          <w:sz w:val="22"/>
          <w:szCs w:val="22"/>
        </w:rPr>
        <w:t xml:space="preserve">11. Streamlit Dashboard</w:t>
      </w:r>
      <w:r>
        <w:rPr>
          <w:rFonts w:ascii="Arial" w:cs="Arial" w:eastAsia="Arial" w:hAnsi="Arial"/>
          <w:color w:val="64748B"/>
          <w:sz w:val="22"/>
          <w:szCs w:val="22"/>
        </w:rPr>
        <w:t xml:space="preserve">	15</w:t>
      </w:r>
    </w:p>
    <w:p>
      <w:pPr>
        <w:tabs>
          <w:tab w:val="right" w:pos="9000"/>
        </w:tabs>
        <w:spacing w:before="80" w:after="80"/>
      </w:pPr>
      <w:r>
        <w:rPr>
          <w:rFonts w:ascii="Arial" w:cs="Arial" w:eastAsia="Arial" w:hAnsi="Arial"/>
          <w:color w:val="1A1A2E"/>
          <w:sz w:val="22"/>
          <w:szCs w:val="22"/>
        </w:rPr>
        <w:t xml:space="preserve">12. Key Findings &amp; Insights</w:t>
      </w:r>
      <w:r>
        <w:rPr>
          <w:rFonts w:ascii="Arial" w:cs="Arial" w:eastAsia="Arial" w:hAnsi="Arial"/>
          <w:color w:val="64748B"/>
          <w:sz w:val="22"/>
          <w:szCs w:val="22"/>
        </w:rPr>
        <w:t xml:space="preserve">	15</w:t>
      </w:r>
    </w:p>
    <w:p>
      <w:pPr>
        <w:tabs>
          <w:tab w:val="right" w:pos="9000"/>
        </w:tabs>
        <w:spacing w:before="80" w:after="80"/>
      </w:pPr>
      <w:r>
        <w:rPr>
          <w:rFonts w:ascii="Arial" w:cs="Arial" w:eastAsia="Arial" w:hAnsi="Arial"/>
          <w:color w:val="1A1A2E"/>
          <w:sz w:val="22"/>
          <w:szCs w:val="22"/>
        </w:rPr>
        <w:t xml:space="preserve">13. Recommendations</w:t>
      </w:r>
      <w:r>
        <w:rPr>
          <w:rFonts w:ascii="Arial" w:cs="Arial" w:eastAsia="Arial" w:hAnsi="Arial"/>
          <w:color w:val="64748B"/>
          <w:sz w:val="22"/>
          <w:szCs w:val="22"/>
        </w:rPr>
        <w:t xml:space="preserve">	16</w:t>
      </w:r>
    </w:p>
    <w:p>
      <w:pPr>
        <w:tabs>
          <w:tab w:val="right" w:pos="9000"/>
        </w:tabs>
        <w:spacing w:before="80" w:after="80"/>
      </w:pPr>
      <w:r>
        <w:rPr>
          <w:rFonts w:ascii="Arial" w:cs="Arial" w:eastAsia="Arial" w:hAnsi="Arial"/>
          <w:color w:val="1A1A2E"/>
          <w:sz w:val="22"/>
          <w:szCs w:val="22"/>
        </w:rPr>
        <w:t xml:space="preserve">14. Conclusion</w:t>
      </w:r>
      <w:r>
        <w:rPr>
          <w:rFonts w:ascii="Arial" w:cs="Arial" w:eastAsia="Arial" w:hAnsi="Arial"/>
          <w:color w:val="64748B"/>
          <w:sz w:val="22"/>
          <w:szCs w:val="22"/>
        </w:rPr>
        <w:t xml:space="preserve">	17</w:t>
      </w:r>
    </w:p>
    <w:p>
      <w:pPr>
        <w:tabs>
          <w:tab w:val="right" w:pos="9000"/>
        </w:tabs>
        <w:spacing w:before="80" w:after="80"/>
      </w:pPr>
      <w:r>
        <w:rPr>
          <w:rFonts w:ascii="Arial" w:cs="Arial" w:eastAsia="Arial" w:hAnsi="Arial"/>
          <w:color w:val="1A1A2E"/>
          <w:sz w:val="22"/>
          <w:szCs w:val="22"/>
        </w:rPr>
        <w:t xml:space="preserve">References</w:t>
      </w:r>
      <w:r>
        <w:rPr>
          <w:rFonts w:ascii="Arial" w:cs="Arial" w:eastAsia="Arial" w:hAnsi="Arial"/>
          <w:color w:val="64748B"/>
          <w:sz w:val="22"/>
          <w:szCs w:val="22"/>
        </w:rPr>
        <w:t xml:space="preserve">	18</w:t>
      </w:r>
    </w:p>
    <w:p>
      <w:r>
        <w:br w:type="page"/>
      </w:r>
    </w:p>
    <w:p>
      <w:pPr>
        <w:pStyle w:val="Heading1"/>
        <w:pBdr>
          <w:bottom w:val="single" w:color="E8550A" w:sz="4" w:space="6"/>
        </w:pBdr>
        <w:spacing w:before="360" w:after="180"/>
      </w:pPr>
      <w:r>
        <w:rPr>
          <w:rFonts w:ascii="Arial" w:cs="Arial" w:eastAsia="Arial" w:hAnsi="Arial"/>
          <w:b/>
          <w:bCs/>
          <w:color w:val="0D2347"/>
          <w:sz w:val="32"/>
          <w:szCs w:val="32"/>
        </w:rPr>
        <w:t xml:space="preserve">1. Introduction</w:t>
      </w:r>
    </w:p>
    <w:p>
      <w:pPr>
        <w:spacing w:before="80" w:after="120" w:line="336"/>
        <w:jc w:val="both"/>
      </w:pPr>
      <w:r>
        <w:rPr>
          <w:rFonts w:ascii="Arial" w:cs="Arial" w:eastAsia="Arial" w:hAnsi="Arial"/>
          <w:color w:val="1A1A2E"/>
          <w:sz w:val="22"/>
          <w:szCs w:val="22"/>
        </w:rPr>
        <w:t xml:space="preserve">The global workforce landscape has undergone significant transformation in the post-pandemic era. Organizations across industries face heightened employee mobility, evolving workplace expectations, and increasing competition for skilled talent. In the technology sector — where Palo Alto Networks operates — voluntary attrition rates routinely exceed industry averages, with specialized cybersecurity talent commanding premium market value.</w:t>
      </w:r>
    </w:p>
    <w:p>
      <w:pPr>
        <w:spacing w:before="0" w:after="120"/>
      </w:pPr>
      <w:r>
        <w:t xml:space="preserve"/>
      </w:r>
    </w:p>
    <w:p>
      <w:pPr>
        <w:spacing w:before="80" w:after="120" w:line="336"/>
        <w:jc w:val="both"/>
      </w:pPr>
      <w:r>
        <w:rPr>
          <w:rFonts w:ascii="Arial" w:cs="Arial" w:eastAsia="Arial" w:hAnsi="Arial"/>
          <w:color w:val="1A1A2E"/>
          <w:sz w:val="22"/>
          <w:szCs w:val="22"/>
        </w:rPr>
        <w:t xml:space="preserve">Traditional HR approaches rely on exit interviews and annual engagement surveys to understand why employees leave. By the time these mechanisms capture attrition signals, the departure decision has already been made. This creates an irreversible information lag that prevents meaningful intervention. The fundamental question HR leaders need answered is not why employees left, but rather: which employees are likely to leave in the near future, and what can be done today to retain them?</w:t>
      </w:r>
    </w:p>
    <w:p>
      <w:pPr>
        <w:spacing w:before="0" w:after="120"/>
      </w:pPr>
      <w:r>
        <w:t xml:space="preserve"/>
      </w:r>
    </w:p>
    <w:p>
      <w:pPr>
        <w:spacing w:before="80" w:after="120" w:line="336"/>
        <w:jc w:val="both"/>
      </w:pPr>
      <w:r>
        <w:rPr>
          <w:rFonts w:ascii="Arial" w:cs="Arial" w:eastAsia="Arial" w:hAnsi="Arial"/>
          <w:color w:val="1A1A2E"/>
          <w:sz w:val="22"/>
          <w:szCs w:val="22"/>
        </w:rPr>
        <w:t xml:space="preserve">Predictive HR analytics addresses this challenge by applying machine learning algorithms to historical employee data to identify statistical patterns that precede voluntary departures. By training models on features including compensation metrics, satisfaction scores, career progression indicators, workload factors, and demographic attributes, organizations can generate forward-looking risk assessments for each employee in the workforce.</w:t>
      </w:r>
    </w:p>
    <w:p>
      <w:pPr>
        <w:spacing w:before="0" w:after="120"/>
      </w:pPr>
      <w:r>
        <w:t xml:space="preserve"/>
      </w:r>
    </w:p>
    <w:p>
      <w:pPr>
        <w:spacing w:before="80" w:after="120" w:line="336"/>
        <w:jc w:val="both"/>
      </w:pPr>
      <w:r>
        <w:rPr>
          <w:rFonts w:ascii="Arial" w:cs="Arial" w:eastAsia="Arial" w:hAnsi="Arial"/>
          <w:color w:val="1A1A2E"/>
          <w:sz w:val="22"/>
          <w:szCs w:val="22"/>
        </w:rPr>
        <w:t xml:space="preserve">This research project delivers a complete end-to-end attrition prediction system for Palo Alto Networks, encompassing exploratory data analysis, feature engineering, multi-model development, risk scoring, explainability analysis, and a production-ready web dashboard. The system transforms HR analytics from a descriptive and diagnostic discipline into a predictive and prescriptive intelligence function.</w:t>
      </w:r>
    </w:p>
    <w:p>
      <w:pPr>
        <w:spacing w:before="0" w:after="80"/>
      </w:pPr>
      <w:r>
        <w:t xml:space="preserve"/>
      </w:r>
    </w:p>
    <w:p>
      <w:pPr>
        <w:pStyle w:val="Heading2"/>
        <w:spacing w:before="280" w:after="120"/>
      </w:pPr>
      <w:r>
        <w:rPr>
          <w:rFonts w:ascii="Arial" w:cs="Arial" w:eastAsia="Arial" w:hAnsi="Arial"/>
          <w:b/>
          <w:bCs/>
          <w:color w:val="1A3A6B"/>
          <w:sz w:val="26"/>
          <w:szCs w:val="26"/>
        </w:rPr>
        <w:t xml:space="preserve">1.1 Scope of Study</w:t>
      </w:r>
    </w:p>
    <w:p>
      <w:pPr>
        <w:spacing w:before="80" w:after="120" w:line="336"/>
        <w:jc w:val="both"/>
      </w:pPr>
      <w:r>
        <w:rPr>
          <w:rFonts w:ascii="Arial" w:cs="Arial" w:eastAsia="Arial" w:hAnsi="Arial"/>
          <w:color w:val="1A1A2E"/>
          <w:sz w:val="22"/>
          <w:szCs w:val="22"/>
        </w:rPr>
        <w:t xml:space="preserve">This study covers the development and evaluation of a supervised machine learning pipeline using HR employee data. It encompasses data preprocessing, class imbalance handling, feature engineering, model training and tuning, evaluation using industry-standard metrics, SHAP-based explainability, risk score assignment, and deployment via a Streamlit web application. The study does not include real-time data integration or automated intervention workflows.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2. Problem Statement &amp; Objectives</w:t>
      </w:r>
    </w:p>
    <w:p>
      <w:pPr>
        <w:pStyle w:val="Heading2"/>
        <w:spacing w:before="280" w:after="120"/>
      </w:pPr>
      <w:r>
        <w:rPr>
          <w:rFonts w:ascii="Arial" w:cs="Arial" w:eastAsia="Arial" w:hAnsi="Arial"/>
          <w:b/>
          <w:bCs/>
          <w:color w:val="1A3A6B"/>
          <w:sz w:val="26"/>
          <w:szCs w:val="26"/>
        </w:rPr>
        <w:t xml:space="preserve">2.1 Problem Statement</w:t>
      </w:r>
    </w:p>
    <w:p>
      <w:pPr>
        <w:spacing w:before="80" w:after="120" w:line="336"/>
        <w:jc w:val="both"/>
      </w:pPr>
      <w:r>
        <w:rPr>
          <w:rFonts w:ascii="Arial" w:cs="Arial" w:eastAsia="Arial" w:hAnsi="Arial"/>
          <w:color w:val="1A1A2E"/>
          <w:sz w:val="22"/>
          <w:szCs w:val="22"/>
        </w:rPr>
        <w:t xml:space="preserve">Palo Alto Networks currently lacks a systematic, data-driven mechanism to predict which employees are at risk of leaving the organization. HR managers rely on subjective assessments and lagging indicators, resulting in reactive counter-offers that are often too late. The absence of a quantitative risk scoring framework means high-value talent is lost without early warning, incurring replacement costs estimated at 50–200% of annual salary per departing employee.</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2.2 Research Objectives</w:t>
      </w:r>
    </w:p>
    <w:p>
      <w:pPr>
        <w:pStyle w:val="ListParagraph"/>
        <w:numPr>
          <w:ilvl w:val="0"/>
          <w:numId w:val="2"/>
        </w:numPr>
        <w:spacing w:before="60" w:after="60"/>
      </w:pPr>
      <w:r>
        <w:rPr>
          <w:rFonts w:ascii="Arial" w:cs="Arial" w:eastAsia="Arial" w:hAnsi="Arial"/>
          <w:color w:val="1A1A2E"/>
          <w:sz w:val="22"/>
          <w:szCs w:val="22"/>
        </w:rPr>
        <w:t xml:space="preserve">Develop a machine learning model to predict individual employee attrition probability with high recall and ROC-AUC performance.</w:t>
      </w:r>
    </w:p>
    <w:p>
      <w:pPr>
        <w:pStyle w:val="ListParagraph"/>
        <w:numPr>
          <w:ilvl w:val="0"/>
          <w:numId w:val="2"/>
        </w:numPr>
        <w:spacing w:before="60" w:after="60"/>
      </w:pPr>
      <w:r>
        <w:rPr>
          <w:rFonts w:ascii="Arial" w:cs="Arial" w:eastAsia="Arial" w:hAnsi="Arial"/>
          <w:color w:val="1A1A2E"/>
          <w:sz w:val="22"/>
          <w:szCs w:val="22"/>
        </w:rPr>
        <w:t xml:space="preserve">Identify the key features and drivers most strongly associated with voluntary attrition.</w:t>
      </w:r>
    </w:p>
    <w:p>
      <w:pPr>
        <w:pStyle w:val="ListParagraph"/>
        <w:numPr>
          <w:ilvl w:val="0"/>
          <w:numId w:val="2"/>
        </w:numPr>
        <w:spacing w:before="60" w:after="60"/>
      </w:pPr>
      <w:r>
        <w:rPr>
          <w:rFonts w:ascii="Arial" w:cs="Arial" w:eastAsia="Arial" w:hAnsi="Arial"/>
          <w:color w:val="1A1A2E"/>
          <w:sz w:val="22"/>
          <w:szCs w:val="22"/>
        </w:rPr>
        <w:t xml:space="preserve">Build a risk scoring framework that categorizes employees into Low, Medium, and High risk tiers.</w:t>
      </w:r>
    </w:p>
    <w:p>
      <w:pPr>
        <w:pStyle w:val="ListParagraph"/>
        <w:numPr>
          <w:ilvl w:val="0"/>
          <w:numId w:val="2"/>
        </w:numPr>
        <w:spacing w:before="60" w:after="60"/>
      </w:pPr>
      <w:r>
        <w:rPr>
          <w:rFonts w:ascii="Arial" w:cs="Arial" w:eastAsia="Arial" w:hAnsi="Arial"/>
          <w:color w:val="1A1A2E"/>
          <w:sz w:val="22"/>
          <w:szCs w:val="22"/>
        </w:rPr>
        <w:t xml:space="preserve">Implement SHAP-based explainability to provide interpretable reason codes for each employee's risk assessment.</w:t>
      </w:r>
    </w:p>
    <w:p>
      <w:pPr>
        <w:pStyle w:val="ListParagraph"/>
        <w:numPr>
          <w:ilvl w:val="0"/>
          <w:numId w:val="2"/>
        </w:numPr>
        <w:spacing w:before="60" w:after="60"/>
      </w:pPr>
      <w:r>
        <w:rPr>
          <w:rFonts w:ascii="Arial" w:cs="Arial" w:eastAsia="Arial" w:hAnsi="Arial"/>
          <w:color w:val="1A1A2E"/>
          <w:sz w:val="22"/>
          <w:szCs w:val="22"/>
        </w:rPr>
        <w:t xml:space="preserve">Deploy an interactive HR dashboard enabling real-time risk monitoring and what-if intervention simulation.</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2.3 Research Questions</w:t>
      </w:r>
    </w:p>
    <w:p>
      <w:pPr>
        <w:pStyle w:val="ListParagraph"/>
        <w:numPr>
          <w:ilvl w:val="0"/>
          <w:numId w:val="2"/>
        </w:numPr>
        <w:spacing w:before="60" w:after="60"/>
      </w:pPr>
      <w:r>
        <w:rPr>
          <w:rFonts w:ascii="Arial" w:cs="Arial" w:eastAsia="Arial" w:hAnsi="Arial"/>
          <w:color w:val="1A1A2E"/>
          <w:sz w:val="22"/>
          <w:szCs w:val="22"/>
        </w:rPr>
        <w:t xml:space="preserve">Which employee attributes are most predictive of voluntary attrition at Palo Alto Networks?</w:t>
      </w:r>
    </w:p>
    <w:p>
      <w:pPr>
        <w:pStyle w:val="ListParagraph"/>
        <w:numPr>
          <w:ilvl w:val="0"/>
          <w:numId w:val="2"/>
        </w:numPr>
        <w:spacing w:before="60" w:after="60"/>
      </w:pPr>
      <w:r>
        <w:rPr>
          <w:rFonts w:ascii="Arial" w:cs="Arial" w:eastAsia="Arial" w:hAnsi="Arial"/>
          <w:color w:val="1A1A2E"/>
          <w:sz w:val="22"/>
          <w:szCs w:val="22"/>
        </w:rPr>
        <w:t xml:space="preserve">Can machine learning models achieve sufficient recall to detect the majority of employees who will leave?</w:t>
      </w:r>
    </w:p>
    <w:p>
      <w:pPr>
        <w:pStyle w:val="ListParagraph"/>
        <w:numPr>
          <w:ilvl w:val="0"/>
          <w:numId w:val="2"/>
        </w:numPr>
        <w:spacing w:before="60" w:after="60"/>
      </w:pPr>
      <w:r>
        <w:rPr>
          <w:rFonts w:ascii="Arial" w:cs="Arial" w:eastAsia="Arial" w:hAnsi="Arial"/>
          <w:color w:val="1A1A2E"/>
          <w:sz w:val="22"/>
          <w:szCs w:val="22"/>
        </w:rPr>
        <w:t xml:space="preserve">How can model predictions be made interpretable and actionable for non-technical HR practitioners?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3. Literature Review</w:t>
      </w:r>
    </w:p>
    <w:p>
      <w:pPr>
        <w:spacing w:before="80" w:after="120" w:line="336"/>
        <w:jc w:val="both"/>
      </w:pPr>
      <w:r>
        <w:rPr>
          <w:rFonts w:ascii="Arial" w:cs="Arial" w:eastAsia="Arial" w:hAnsi="Arial"/>
          <w:color w:val="1A1A2E"/>
          <w:sz w:val="22"/>
          <w:szCs w:val="22"/>
        </w:rPr>
        <w:t xml:space="preserve">The application of machine learning to employee attrition prediction has grown substantially over the past decade. Early work by Sisodia et al. (2017) demonstrated that decision tree and random forest classifiers could outperform logistic regression baselines in HR attrition contexts, particularly when class imbalance was addressed through resampling techniques.</w:t>
      </w:r>
    </w:p>
    <w:p>
      <w:pPr>
        <w:spacing w:before="0" w:after="120"/>
      </w:pPr>
      <w:r>
        <w:t xml:space="preserve"/>
      </w:r>
    </w:p>
    <w:p>
      <w:pPr>
        <w:spacing w:before="80" w:after="120" w:line="336"/>
        <w:jc w:val="both"/>
      </w:pPr>
      <w:r>
        <w:rPr>
          <w:rFonts w:ascii="Arial" w:cs="Arial" w:eastAsia="Arial" w:hAnsi="Arial"/>
          <w:color w:val="1A1A2E"/>
          <w:sz w:val="22"/>
          <w:szCs w:val="22"/>
        </w:rPr>
        <w:t xml:space="preserve">Gradient boosting algorithms, including XGBoost (Chen &amp; Guestrin, 2016), have consistently demonstrated superior performance on tabular HR datasets due to their ability to capture nonlinear feature interactions without extensive manual feature engineering. Studies by Fallucchi et al. (2020) confirmed XGBoost's effectiveness in employee turnover prediction, achieving AUC scores above 0.85 on similar datasets.</w:t>
      </w:r>
    </w:p>
    <w:p>
      <w:pPr>
        <w:spacing w:before="0" w:after="120"/>
      </w:pPr>
      <w:r>
        <w:t xml:space="preserve"/>
      </w:r>
    </w:p>
    <w:p>
      <w:pPr>
        <w:spacing w:before="80" w:after="120" w:line="336"/>
        <w:jc w:val="both"/>
      </w:pPr>
      <w:r>
        <w:rPr>
          <w:rFonts w:ascii="Arial" w:cs="Arial" w:eastAsia="Arial" w:hAnsi="Arial"/>
          <w:color w:val="1A1A2E"/>
          <w:sz w:val="22"/>
          <w:szCs w:val="22"/>
        </w:rPr>
        <w:t xml:space="preserve">The challenge of class imbalance — where attriting employees represent a minority class — has been addressed through techniques including SMOTE (Chawla et al., 2002), cost-sensitive learning, and threshold adjustment. Research has shown that SMOTE oversampling, when applied exclusively to training data, significantly improves minority class recall without introducing data leakage.</w:t>
      </w:r>
    </w:p>
    <w:p>
      <w:pPr>
        <w:spacing w:before="0" w:after="120"/>
      </w:pPr>
      <w:r>
        <w:t xml:space="preserve"/>
      </w:r>
    </w:p>
    <w:p>
      <w:pPr>
        <w:spacing w:before="80" w:after="120" w:line="336"/>
        <w:jc w:val="both"/>
      </w:pPr>
      <w:r>
        <w:rPr>
          <w:rFonts w:ascii="Arial" w:cs="Arial" w:eastAsia="Arial" w:hAnsi="Arial"/>
          <w:color w:val="1A1A2E"/>
          <w:sz w:val="22"/>
          <w:szCs w:val="22"/>
        </w:rPr>
        <w:t xml:space="preserve">Model explainability has emerged as a critical requirement for HR analytics deployment. Lundberg &amp; Lee's (2017) SHAP framework provides theoretically grounded feature attribution at both global and individual levels, enabling HR practitioners to understand not just who is at risk, but why — a prerequisite for ethical and legally defensible talent decisions.</w:t>
      </w:r>
    </w:p>
    <w:p>
      <w:pPr>
        <w:spacing w:before="0" w:after="120"/>
      </w:pPr>
      <w:r>
        <w:t xml:space="preserve"/>
      </w:r>
    </w:p>
    <w:p>
      <w:pPr>
        <w:spacing w:before="80" w:after="120" w:line="336"/>
        <w:jc w:val="both"/>
      </w:pPr>
      <w:r>
        <w:rPr>
          <w:rFonts w:ascii="Arial" w:cs="Arial" w:eastAsia="Arial" w:hAnsi="Arial"/>
          <w:color w:val="1A1A2E"/>
          <w:sz w:val="22"/>
          <w:szCs w:val="22"/>
        </w:rPr>
        <w:t xml:space="preserve">IBM's open-source HR Analytics dataset, upon which this study's dataset structure is based, has become a widely-used benchmark in attrition prediction research, enabling direct comparison of results across methodologies.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4. Dataset Description &amp; Exploratory Data Analysis</w:t>
      </w:r>
    </w:p>
    <w:p>
      <w:pPr>
        <w:pStyle w:val="Heading2"/>
        <w:spacing w:before="280" w:after="120"/>
      </w:pPr>
      <w:r>
        <w:rPr>
          <w:rFonts w:ascii="Arial" w:cs="Arial" w:eastAsia="Arial" w:hAnsi="Arial"/>
          <w:b/>
          <w:bCs/>
          <w:color w:val="1A3A6B"/>
          <w:sz w:val="26"/>
          <w:szCs w:val="26"/>
        </w:rPr>
        <w:t xml:space="preserve">4.1 Dataset Overview</w:t>
      </w:r>
    </w:p>
    <w:p>
      <w:pPr>
        <w:spacing w:before="80" w:after="120" w:line="336"/>
        <w:jc w:val="both"/>
      </w:pPr>
      <w:r>
        <w:rPr>
          <w:rFonts w:ascii="Arial" w:cs="Arial" w:eastAsia="Arial" w:hAnsi="Arial"/>
          <w:color w:val="1A1A2E"/>
          <w:sz w:val="22"/>
          <w:szCs w:val="22"/>
        </w:rPr>
        <w:t xml:space="preserve">The dataset comprises 1,470 employee records with 31 features spanning demographic attributes, compensation metrics, job characteristics, satisfaction indices, career progression indicators, and workload factors. The target variable, Attrition, is binary: 1 indicates the employee left the organization, 0 indicates they remained.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Category</w:t>
            </w:r>
          </w:p>
        </w:tc>
        <w:tc>
          <w:tcPr>
            <w:tcW w:type="dxa" w:w="45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 Included</w:t>
            </w:r>
          </w:p>
        </w:tc>
        <w:tc>
          <w:tcPr>
            <w:tcW w:type="dxa" w:w="18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Demographic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Age, Gender, MaritalStatus, EducationField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Compensation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MonthlyIncome, DailyRate, HourlyRate, MonthlyRate, PercentSalaryHike, StockOptionLevel</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 Characteristics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Department, JobRole, JobLevel, BusinessTravel, OverTime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Satisfaction Indices</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JobSatisfaction, EnvironmentSatisfaction, RelationshipSatisfaction, WorkLifeBalance, JobInvolvement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Career Progression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YearsAtCompany, TotalWorkingYears, YearsInCurrentRole, YearsSinceLastPromotion, YearsWithCurrManager, NumCompaniesWorked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Training &amp; Performance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TrainingTimesLastYear, PerformanceRating, Education</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Target Variable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Attrition (0 = Stayed, 1 = Left)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r>
    </w:tbl>
    <w:p>
      <w:pPr>
        <w:spacing w:before="0" w:after="200"/>
      </w:pPr>
      <w:r>
        <w:t xml:space="preserve"/>
      </w:r>
    </w:p>
    <w:p>
      <w:pPr>
        <w:pStyle w:val="Heading2"/>
        <w:spacing w:before="280" w:after="120"/>
      </w:pPr>
      <w:r>
        <w:rPr>
          <w:rFonts w:ascii="Arial" w:cs="Arial" w:eastAsia="Arial" w:hAnsi="Arial"/>
          <w:b/>
          <w:bCs/>
          <w:color w:val="1A3A6B"/>
          <w:sz w:val="26"/>
          <w:szCs w:val="26"/>
        </w:rPr>
        <w:t xml:space="preserve">4.2 Target Variable Distribution</w:t>
      </w:r>
    </w:p>
    <w:p>
      <w:pPr>
        <w:spacing w:before="80" w:after="120" w:line="336"/>
        <w:jc w:val="both"/>
      </w:pPr>
      <w:r>
        <w:rPr>
          <w:rFonts w:ascii="Arial" w:cs="Arial" w:eastAsia="Arial" w:hAnsi="Arial"/>
          <w:color w:val="1A1A2E"/>
          <w:sz w:val="22"/>
          <w:szCs w:val="22"/>
        </w:rPr>
        <w:t xml:space="preserve">The dataset exhibits significant class imbalance, a common characteristic of attrition datasets. Of 1,470 employees, 237 (16.1%) left the organization while 1,233 (83.9%) remained. This imbalance necessitates the use of resampling techniques during model training to prevent classifier bias toward the majority class.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88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288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Percentage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Stayed (Attrition =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1,233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83.9%</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Left (Attrition = 1)</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237</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16.1%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1,470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w:t>
            </w:r>
          </w:p>
        </w:tc>
      </w:tr>
    </w:tbl>
    <w:p>
      <w:pPr>
        <w:spacing w:before="0" w:after="200"/>
      </w:pPr>
      <w:r>
        <w:t xml:space="preserve"/>
      </w:r>
    </w:p>
    <w:p>
      <w:pPr>
        <w:pStyle w:val="Heading2"/>
        <w:spacing w:before="280" w:after="120"/>
      </w:pPr>
      <w:r>
        <w:rPr>
          <w:rFonts w:ascii="Arial" w:cs="Arial" w:eastAsia="Arial" w:hAnsi="Arial"/>
          <w:b/>
          <w:bCs/>
          <w:color w:val="1A3A6B"/>
          <w:sz w:val="26"/>
          <w:szCs w:val="26"/>
        </w:rPr>
        <w:t xml:space="preserve">4.3 Key EDA Findings</w:t>
      </w:r>
    </w:p>
    <w:p>
      <w:pPr>
        <w:pStyle w:val="Heading3"/>
        <w:spacing w:before="200" w:after="80"/>
      </w:pPr>
      <w:r>
        <w:rPr>
          <w:rFonts w:ascii="Arial" w:cs="Arial" w:eastAsia="Arial" w:hAnsi="Arial"/>
          <w:b/>
          <w:bCs/>
          <w:color w:val="2C5282"/>
          <w:sz w:val="24"/>
          <w:szCs w:val="24"/>
        </w:rPr>
        <w:t xml:space="preserve">Overtime Impact</w:t>
      </w:r>
    </w:p>
    <w:p>
      <w:pPr>
        <w:spacing w:before="80" w:after="120" w:line="336"/>
        <w:jc w:val="both"/>
      </w:pPr>
      <w:r>
        <w:rPr>
          <w:rFonts w:ascii="Arial" w:cs="Arial" w:eastAsia="Arial" w:hAnsi="Arial"/>
          <w:color w:val="1A1A2E"/>
          <w:sz w:val="22"/>
          <w:szCs w:val="22"/>
        </w:rPr>
        <w:t xml:space="preserve">Employees working overtime exhibit a dramatically elevated attrition rate of approximately 30.5% compared to 10.4% for non-overtime employees — nearly three times higher. This finding positions overtime as one of the single most powerful attrition indicators in the dataset.</w:t>
      </w:r>
    </w:p>
    <w:p>
      <w:pPr>
        <w:spacing w:before="0" w:after="120"/>
      </w:pPr>
      <w:r>
        <w:t xml:space="preserve"/>
      </w:r>
    </w:p>
    <w:p>
      <w:pPr>
        <w:pStyle w:val="Heading3"/>
        <w:spacing w:before="200" w:after="80"/>
      </w:pPr>
      <w:r>
        <w:rPr>
          <w:rFonts w:ascii="Arial" w:cs="Arial" w:eastAsia="Arial" w:hAnsi="Arial"/>
          <w:b/>
          <w:bCs/>
          <w:color w:val="2C5282"/>
          <w:sz w:val="24"/>
          <w:szCs w:val="24"/>
        </w:rPr>
        <w:t xml:space="preserve">Departmental Variation</w:t>
      </w:r>
    </w:p>
    <w:p>
      <w:pPr>
        <w:spacing w:before="80" w:after="120" w:line="336"/>
        <w:jc w:val="both"/>
      </w:pPr>
      <w:r>
        <w:rPr>
          <w:rFonts w:ascii="Arial" w:cs="Arial" w:eastAsia="Arial" w:hAnsi="Arial"/>
          <w:color w:val="1A1A2E"/>
          <w:sz w:val="22"/>
          <w:szCs w:val="22"/>
        </w:rPr>
        <w:t xml:space="preserve">The Sales department records the highest attrition rate (20.6%), followed by Human Resources (19.0%), with Research &amp; Development recording the lowest rate (13.8%). Within Sales, Sales Representatives show the highest role-specific attrition at approximately 39.8%.</w:t>
      </w:r>
    </w:p>
    <w:p>
      <w:pPr>
        <w:spacing w:before="0" w:after="120"/>
      </w:pPr>
      <w:r>
        <w:t xml:space="preserve"/>
      </w:r>
    </w:p>
    <w:p>
      <w:pPr>
        <w:pStyle w:val="Heading3"/>
        <w:spacing w:before="200" w:after="80"/>
      </w:pPr>
      <w:r>
        <w:rPr>
          <w:rFonts w:ascii="Arial" w:cs="Arial" w:eastAsia="Arial" w:hAnsi="Arial"/>
          <w:b/>
          <w:bCs/>
          <w:color w:val="2C5282"/>
          <w:sz w:val="24"/>
          <w:szCs w:val="24"/>
        </w:rPr>
        <w:t xml:space="preserve">Satisfaction Score Patterns</w:t>
      </w:r>
    </w:p>
    <w:p>
      <w:pPr>
        <w:spacing w:before="80" w:after="120" w:line="336"/>
        <w:jc w:val="both"/>
      </w:pPr>
      <w:r>
        <w:rPr>
          <w:rFonts w:ascii="Arial" w:cs="Arial" w:eastAsia="Arial" w:hAnsi="Arial"/>
          <w:color w:val="1A1A2E"/>
          <w:sz w:val="22"/>
          <w:szCs w:val="22"/>
        </w:rPr>
        <w:t xml:space="preserve">Employees who left the organization consistently scored lower across all five satisfaction metrics compared to those who stayed. The most pronounced differences are observed in Job Satisfaction (mean 2.47 vs 2.78) and Environment Satisfaction (mean 2.47 vs 2.77), suggesting these are actionable intervention targets.</w:t>
      </w:r>
    </w:p>
    <w:p>
      <w:pPr>
        <w:spacing w:before="0" w:after="120"/>
      </w:pPr>
      <w:r>
        <w:t xml:space="preserve"/>
      </w:r>
    </w:p>
    <w:p>
      <w:pPr>
        <w:pStyle w:val="Heading3"/>
        <w:spacing w:before="200" w:after="80"/>
      </w:pPr>
      <w:r>
        <w:rPr>
          <w:rFonts w:ascii="Arial" w:cs="Arial" w:eastAsia="Arial" w:hAnsi="Arial"/>
          <w:b/>
          <w:bCs/>
          <w:color w:val="2C5282"/>
          <w:sz w:val="24"/>
          <w:szCs w:val="24"/>
        </w:rPr>
        <w:t xml:space="preserve">Income and Career Stagnation</w:t>
      </w:r>
    </w:p>
    <w:p>
      <w:pPr>
        <w:spacing w:before="80" w:after="120" w:line="336"/>
        <w:jc w:val="both"/>
      </w:pPr>
      <w:r>
        <w:rPr>
          <w:rFonts w:ascii="Arial" w:cs="Arial" w:eastAsia="Arial" w:hAnsi="Arial"/>
          <w:color w:val="1A1A2E"/>
          <w:sz w:val="22"/>
          <w:szCs w:val="22"/>
        </w:rPr>
        <w:t xml:space="preserve">Attriting employees earn a substantially lower average monthly income ($4,787) compared to those who stay ($6,833). Additionally, employees with 4 or more years since their last promotion show significantly elevated attrition rates, highlighting the role of career advancement in retention.</w:t>
      </w:r>
    </w:p>
    <w:p>
      <w:pPr>
        <w:spacing w:before="0" w:after="120"/>
      </w:pPr>
      <w:r>
        <w:t xml:space="preserve"/>
      </w:r>
    </w:p>
    <w:p>
      <w:pPr>
        <w:pStyle w:val="Heading3"/>
        <w:spacing w:before="200" w:after="80"/>
      </w:pPr>
      <w:r>
        <w:rPr>
          <w:rFonts w:ascii="Arial" w:cs="Arial" w:eastAsia="Arial" w:hAnsi="Arial"/>
          <w:b/>
          <w:bCs/>
          <w:color w:val="2C5282"/>
          <w:sz w:val="24"/>
          <w:szCs w:val="24"/>
        </w:rPr>
        <w:t xml:space="preserve">Marital Status</w:t>
      </w:r>
    </w:p>
    <w:p>
      <w:pPr>
        <w:spacing w:before="80" w:after="120" w:line="336"/>
        <w:jc w:val="both"/>
      </w:pPr>
      <w:r>
        <w:rPr>
          <w:rFonts w:ascii="Arial" w:cs="Arial" w:eastAsia="Arial" w:hAnsi="Arial"/>
          <w:color w:val="1A1A2E"/>
          <w:sz w:val="22"/>
          <w:szCs w:val="22"/>
        </w:rPr>
        <w:t xml:space="preserve">Single employees exhibit the highest attrition rate (25.5%) compared to married (12.5%) and divorced (10.1%) employees, consistent with research suggesting that single employees have lower organizational attachment and higher mobility.</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5. Data Preprocessing</w:t>
      </w:r>
    </w:p>
    <w:p>
      <w:pPr>
        <w:pStyle w:val="Heading2"/>
        <w:spacing w:before="280" w:after="120"/>
      </w:pPr>
      <w:r>
        <w:rPr>
          <w:rFonts w:ascii="Arial" w:cs="Arial" w:eastAsia="Arial" w:hAnsi="Arial"/>
          <w:b/>
          <w:bCs/>
          <w:color w:val="1A3A6B"/>
          <w:sz w:val="26"/>
          <w:szCs w:val="26"/>
        </w:rPr>
        <w:t xml:space="preserve">5.1 Missing Values &amp; Data Quality</w:t>
      </w:r>
    </w:p>
    <w:p>
      <w:pPr>
        <w:spacing w:before="80" w:after="120" w:line="336"/>
        <w:jc w:val="both"/>
      </w:pPr>
      <w:r>
        <w:rPr>
          <w:rFonts w:ascii="Arial" w:cs="Arial" w:eastAsia="Arial" w:hAnsi="Arial"/>
          <w:color w:val="1A1A2E"/>
          <w:sz w:val="22"/>
          <w:szCs w:val="22"/>
        </w:rPr>
        <w:t xml:space="preserve">The dataset contains no missing values across all 1,470 records and 31 features, confirming its suitability for direct modeling without imputation. All features are within plausible ranges with no outlier anomalies requiring treatment.</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5.2 Categorical Encoding</w:t>
      </w:r>
    </w:p>
    <w:p>
      <w:pPr>
        <w:spacing w:before="80" w:after="120" w:line="336"/>
        <w:jc w:val="both"/>
      </w:pPr>
      <w:r>
        <w:rPr>
          <w:rFonts w:ascii="Arial" w:cs="Arial" w:eastAsia="Arial" w:hAnsi="Arial"/>
          <w:color w:val="1A1A2E"/>
          <w:sz w:val="22"/>
          <w:szCs w:val="22"/>
        </w:rPr>
        <w:t xml:space="preserve">Categorical variables are encoded using two strategies based on their ordinal structure:</w:t>
      </w:r>
    </w:p>
    <w:p>
      <w:pPr>
        <w:pStyle w:val="ListParagraph"/>
        <w:numPr>
          <w:ilvl w:val="0"/>
          <w:numId w:val="2"/>
        </w:numPr>
        <w:spacing w:before="60" w:after="60"/>
      </w:pPr>
      <w:r>
        <w:rPr>
          <w:rFonts w:ascii="Arial" w:cs="Arial" w:eastAsia="Arial" w:hAnsi="Arial"/>
          <w:color w:val="1A1A2E"/>
          <w:sz w:val="22"/>
          <w:szCs w:val="22"/>
        </w:rPr>
        <w:t xml:space="preserve">Binary encoding: OverTime (Yes/No → 1/0), Gender (Male/Female → 1/0)</w:t>
      </w:r>
    </w:p>
    <w:p>
      <w:pPr>
        <w:pStyle w:val="ListParagraph"/>
        <w:numPr>
          <w:ilvl w:val="0"/>
          <w:numId w:val="2"/>
        </w:numPr>
        <w:spacing w:before="60" w:after="60"/>
      </w:pPr>
      <w:r>
        <w:rPr>
          <w:rFonts w:ascii="Arial" w:cs="Arial" w:eastAsia="Arial" w:hAnsi="Arial"/>
          <w:color w:val="1A1A2E"/>
          <w:sz w:val="22"/>
          <w:szCs w:val="22"/>
        </w:rPr>
        <w:t xml:space="preserve">Ordinal encoding: BusinessTravel (Non-Travel=0, Travel_Rarely=1, Travel_Frequently=2), MaritalStatus (Single=0, Married=1, Divorced=2)</w:t>
      </w:r>
    </w:p>
    <w:p>
      <w:pPr>
        <w:pStyle w:val="ListParagraph"/>
        <w:numPr>
          <w:ilvl w:val="0"/>
          <w:numId w:val="2"/>
        </w:numPr>
        <w:spacing w:before="60" w:after="60"/>
      </w:pPr>
      <w:r>
        <w:rPr>
          <w:rFonts w:ascii="Arial" w:cs="Arial" w:eastAsia="Arial" w:hAnsi="Arial"/>
          <w:color w:val="1A1A2E"/>
          <w:sz w:val="22"/>
          <w:szCs w:val="22"/>
        </w:rPr>
        <w:t xml:space="preserve">One-Hot Encoding: Department, EducationField, JobRole (high-cardinality nominals, drop_first=True to avoid multicollinearity)</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5.3 Class Imbalance Handling — SMOTE</w:t>
      </w:r>
    </w:p>
    <w:p>
      <w:pPr>
        <w:spacing w:before="80" w:after="120" w:line="336"/>
        <w:jc w:val="both"/>
      </w:pPr>
      <w:r>
        <w:rPr>
          <w:rFonts w:ascii="Arial" w:cs="Arial" w:eastAsia="Arial" w:hAnsi="Arial"/>
          <w:color w:val="1A1A2E"/>
          <w:sz w:val="22"/>
          <w:szCs w:val="22"/>
        </w:rPr>
        <w:t xml:space="preserve">The Synthetic Minority Over-sampling Technique (SMOTE) is applied exclusively to the training set following the train-test split to prevent data leakage. SMOTE generates synthetic samples for the minority class (Attrition=1) by interpolating between existing minority observations in feature space, resulting in a balanced training distribution.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00"/>
        <w:gridCol w:w="3060"/>
      </w:tblGrid>
      <w:tr>
        <w:trPr>
          <w:tblHeader/>
        </w:trPr>
        <w:tc>
          <w:tcPr>
            <w:tcW w:type="dxa" w:w="2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 Split</w:t>
            </w:r>
          </w:p>
        </w:tc>
        <w:tc>
          <w:tcPr>
            <w:tcW w:type="dxa" w:w="15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Samples</w:t>
            </w:r>
          </w:p>
        </w:tc>
        <w:tc>
          <w:tcPr>
            <w:tcW w:type="dxa" w:w="13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Stayed (0)</w:t>
            </w:r>
          </w:p>
        </w:tc>
        <w:tc>
          <w:tcPr>
            <w:tcW w:type="dxa" w:w="13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Left (1)</w:t>
            </w:r>
          </w:p>
        </w:tc>
        <w:tc>
          <w:tcPr>
            <w:tcW w:type="dxa" w:w="30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Imbalance Ratio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Pre-SMOTE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1,176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83.7% / 16.3%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Post-SMOTE Training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1,968</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984</w:t>
            </w:r>
          </w:p>
        </w:tc>
        <w:tc>
          <w:tcPr>
            <w:tcW w:type="dxa" w:w="1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984</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50% / 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Test Set (unchanged)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84.7% / 15.3%</w:t>
            </w:r>
          </w:p>
        </w:tc>
      </w:tr>
    </w:tbl>
    <w:p>
      <w:pPr>
        <w:spacing w:before="0" w:after="200"/>
      </w:pPr>
      <w:r>
        <w:t xml:space="preserve"/>
      </w:r>
    </w:p>
    <w:p>
      <w:pPr>
        <w:pStyle w:val="Heading2"/>
        <w:spacing w:before="280" w:after="120"/>
      </w:pPr>
      <w:r>
        <w:rPr>
          <w:rFonts w:ascii="Arial" w:cs="Arial" w:eastAsia="Arial" w:hAnsi="Arial"/>
          <w:b/>
          <w:bCs/>
          <w:color w:val="1A3A6B"/>
          <w:sz w:val="26"/>
          <w:szCs w:val="26"/>
        </w:rPr>
        <w:t xml:space="preserve">5.4 Feature Scaling</w:t>
      </w:r>
    </w:p>
    <w:p>
      <w:pPr>
        <w:spacing w:before="80" w:after="120" w:line="336"/>
        <w:jc w:val="both"/>
      </w:pPr>
      <w:r>
        <w:rPr>
          <w:rFonts w:ascii="Arial" w:cs="Arial" w:eastAsia="Arial" w:hAnsi="Arial"/>
          <w:color w:val="1A1A2E"/>
          <w:sz w:val="22"/>
          <w:szCs w:val="22"/>
        </w:rPr>
        <w:t xml:space="preserve">StandardScaler is applied to all numerical features post-SMOTE, transforming each feature to zero mean and unit variance. This transformation is fit on the training data only and applied to the test set to maintain the integrity of the evaluation. Scaling is critical for Logistic Regression convergence and ensures equitable feature weighting across distance-based computations.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6. Feature Engineering</w:t>
      </w:r>
    </w:p>
    <w:p>
      <w:pPr>
        <w:spacing w:before="80" w:after="120" w:line="336"/>
        <w:jc w:val="both"/>
      </w:pPr>
      <w:r>
        <w:rPr>
          <w:rFonts w:ascii="Arial" w:cs="Arial" w:eastAsia="Arial" w:hAnsi="Arial"/>
          <w:color w:val="1A1A2E"/>
          <w:sz w:val="22"/>
          <w:szCs w:val="22"/>
        </w:rPr>
        <w:t xml:space="preserve">Five engineered features are constructed from raw attributes to capture latent behavioral signals associated with attrition risk: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Name</w:t>
            </w:r>
          </w:p>
        </w:tc>
        <w:tc>
          <w:tcPr>
            <w:tcW w:type="dxa" w:w="34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 / Logic</w:t>
            </w:r>
          </w:p>
        </w:tc>
        <w:tc>
          <w:tcPr>
            <w:tcW w:type="dxa" w:w="35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Income_Experience_Ratio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MonthlyIncome / (TotalWorkingYears + 1)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ratio → underpaid relative to experience → higher risk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Promotion_Delay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YearsSinceLastPromotion − YearsInCurrentRole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Positive value → stagnation in role without advancement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Engagement_Score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Mean of 5 satisfaction indices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composite score → disengaged employee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Workload_Stress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OverTime_binary × (5 − WorkLifeBalance)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High value → overworked + poor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Loyalty_Score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YearsAtCompany / (TotalWorkingYears + 1)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ratio → less commitment to current employer</w:t>
            </w:r>
          </w:p>
        </w:tc>
      </w:tr>
    </w:tbl>
    <w:p>
      <w:pPr>
        <w:spacing w:before="0" w:after="200"/>
      </w:pPr>
      <w:r>
        <w:t xml:space="preserve"/>
      </w:r>
    </w:p>
    <w:p>
      <w:pPr>
        <w:spacing w:before="80" w:after="120" w:line="336"/>
        <w:jc w:val="both"/>
      </w:pPr>
      <w:r>
        <w:rPr>
          <w:rFonts w:ascii="Arial" w:cs="Arial" w:eastAsia="Arial" w:hAnsi="Arial"/>
          <w:color w:val="1A1A2E"/>
          <w:sz w:val="22"/>
          <w:szCs w:val="22"/>
        </w:rPr>
        <w:t xml:space="preserve">All engineered features demonstrate statistically meaningful correlations with the attrition target. Workload_Stress and Engagement_Score show the strongest directional relationships, reinforcing the importance of work-life dynamics and employee engagement in attrition prevention.</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7. Model Development</w:t>
      </w:r>
    </w:p>
    <w:p>
      <w:pPr>
        <w:pStyle w:val="Heading2"/>
        <w:spacing w:before="280" w:after="120"/>
      </w:pPr>
      <w:r>
        <w:rPr>
          <w:rFonts w:ascii="Arial" w:cs="Arial" w:eastAsia="Arial" w:hAnsi="Arial"/>
          <w:b/>
          <w:bCs/>
          <w:color w:val="1A3A6B"/>
          <w:sz w:val="26"/>
          <w:szCs w:val="26"/>
        </w:rPr>
        <w:t xml:space="preserve">7.1 Model Selection Rationale</w:t>
      </w:r>
    </w:p>
    <w:p>
      <w:pPr>
        <w:spacing w:before="80" w:after="120" w:line="336"/>
        <w:jc w:val="both"/>
      </w:pPr>
      <w:r>
        <w:rPr>
          <w:rFonts w:ascii="Arial" w:cs="Arial" w:eastAsia="Arial" w:hAnsi="Arial"/>
          <w:color w:val="1A1A2E"/>
          <w:sz w:val="22"/>
          <w:szCs w:val="22"/>
        </w:rPr>
        <w:t xml:space="preserve">Four classification algorithms are selected to span the interpretability-performance spectrum, enabling comparison of a transparent baseline against progressively complex ensemble methods:</w:t>
      </w:r>
    </w:p>
    <w:p>
      <w:pPr>
        <w:spacing w:before="0" w:after="12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3060"/>
      </w:tblGrid>
      <w:tr>
        <w:trPr>
          <w:tblHeader/>
        </w:trPr>
        <w:tc>
          <w:tcPr>
            <w:tcW w:type="dxa" w:w="20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Hyperparameters</w:t>
            </w:r>
          </w:p>
        </w:tc>
        <w:tc>
          <w:tcPr>
            <w:tcW w:type="dxa" w:w="30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max_iter=1000, class_weight=balanced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Interpretable baseline; coefficient analysis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Ensemble (Bagging)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n_estimators=200, max_depth=10</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Robust to noise; native feature importance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Gradient Boosting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Ensemble (Boosting)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n_estimators=200, lr=0.05, depth=4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 tabular performance; sequential error correction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XGBoost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Optimized Boosting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n_estimators=200, lr=0.05, scale_pos_weight=5</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State-of-the-art; regularization; handles imbalance</w:t>
            </w:r>
          </w:p>
        </w:tc>
      </w:tr>
    </w:tbl>
    <w:p>
      <w:pPr>
        <w:spacing w:before="0" w:after="200"/>
      </w:pPr>
      <w:r>
        <w:t xml:space="preserve"/>
      </w:r>
    </w:p>
    <w:p>
      <w:pPr>
        <w:pStyle w:val="Heading2"/>
        <w:spacing w:before="280" w:after="120"/>
      </w:pPr>
      <w:r>
        <w:rPr>
          <w:rFonts w:ascii="Arial" w:cs="Arial" w:eastAsia="Arial" w:hAnsi="Arial"/>
          <w:b/>
          <w:bCs/>
          <w:color w:val="1A3A6B"/>
          <w:sz w:val="26"/>
          <w:szCs w:val="26"/>
        </w:rPr>
        <w:t xml:space="preserve">7.2 Training Pipeline</w:t>
      </w:r>
    </w:p>
    <w:p>
      <w:pPr>
        <w:spacing w:before="80" w:after="120" w:line="336"/>
        <w:jc w:val="both"/>
      </w:pPr>
      <w:r>
        <w:rPr>
          <w:rFonts w:ascii="Arial" w:cs="Arial" w:eastAsia="Arial" w:hAnsi="Arial"/>
          <w:color w:val="1A1A2E"/>
          <w:sz w:val="22"/>
          <w:szCs w:val="22"/>
        </w:rPr>
        <w:t xml:space="preserve">All models follow a consistent training pipeline: (1) Categorical encoding, (2) Train-test stratified split (80/20), (3) SMOTE oversampling on training data, (4) StandardScaler normalization, (5) Model fitting on balanced training data, (6) Evaluation on original, unmodified test set. This pipeline ensures rigorous evaluation conditions that reflect real-world deployment scenarios where new employee records have not been oversampled.</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8. Model Evaluation &amp; Results</w:t>
      </w:r>
    </w:p>
    <w:p>
      <w:pPr>
        <w:pStyle w:val="Heading2"/>
        <w:spacing w:before="280" w:after="120"/>
      </w:pPr>
      <w:r>
        <w:rPr>
          <w:rFonts w:ascii="Arial" w:cs="Arial" w:eastAsia="Arial" w:hAnsi="Arial"/>
          <w:b/>
          <w:bCs/>
          <w:color w:val="1A3A6B"/>
          <w:sz w:val="26"/>
          <w:szCs w:val="26"/>
        </w:rPr>
        <w:t xml:space="preserve">8.1 Evaluation Metrics</w:t>
      </w:r>
    </w:p>
    <w:p>
      <w:pPr>
        <w:spacing w:before="80" w:after="120" w:line="336"/>
        <w:jc w:val="both"/>
      </w:pPr>
      <w:r>
        <w:rPr>
          <w:rFonts w:ascii="Arial" w:cs="Arial" w:eastAsia="Arial" w:hAnsi="Arial"/>
          <w:color w:val="1A1A2E"/>
          <w:sz w:val="22"/>
          <w:szCs w:val="22"/>
        </w:rPr>
        <w:t xml:space="preserve">Model performance is evaluated using five complementary metrics, each capturing a distinct dimension of classifier behavior on imbalanced attrition data: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48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Relevance for Attrition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Correct Predictions / 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Overall correctness; less meaningful under imbalance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Precision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TP / (TP + FP)</w:t>
            </w:r>
          </w:p>
        </w:tc>
        <w:tc>
          <w:tcPr>
            <w:tcW w:type="dxa" w:w="4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Controls false alarms; avoids unnecessary HR interventions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TP / (TP + FN)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Most critical: detects the majority of actual attrition cases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F1-Score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2 × (Precision × Recall) / (Precision + Recall)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Harmonic balance between precision and recall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ROC-AUC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Area Under ROC Curve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Threshold-independent overall classification power</w:t>
            </w:r>
          </w:p>
        </w:tc>
      </w:tr>
    </w:tbl>
    <w:p>
      <w:pPr>
        <w:spacing w:before="0" w:after="200"/>
      </w:pPr>
      <w:r>
        <w:t xml:space="preserve"/>
      </w:r>
    </w:p>
    <w:p>
      <w:pPr>
        <w:spacing w:before="80" w:after="120" w:line="336"/>
        <w:jc w:val="both"/>
      </w:pPr>
      <w:r>
        <w:rPr>
          <w:rFonts w:ascii="Arial" w:cs="Arial" w:eastAsia="Arial" w:hAnsi="Arial"/>
          <w:color w:val="1A1A2E"/>
          <w:sz w:val="22"/>
          <w:szCs w:val="22"/>
        </w:rPr>
        <w:t xml:space="preserve">Recall is prioritized as the primary optimization metric. In attrition prediction, a false negative (predicting an employee will stay when they actually leave) carries significantly higher organizational cost than a false positive (flagging a low-risk employee for check-in).</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8.2 Results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1200"/>
        <w:gridCol w:w="1200"/>
        <w:gridCol w:w="1260"/>
      </w:tblGrid>
      <w:tr>
        <w:trPr>
          <w:tblHeader/>
        </w:trPr>
        <w:tc>
          <w:tcPr>
            <w:tcW w:type="dxa" w:w="23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F1-Score</w:t>
            </w:r>
          </w:p>
        </w:tc>
        <w:tc>
          <w:tcPr>
            <w:tcW w:type="dxa" w:w="12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ROC-AUC</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Logistic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~0.83</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~85%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~62%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~71%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~66%</w:t>
            </w:r>
          </w:p>
        </w:tc>
        <w:tc>
          <w:tcPr>
            <w:tcW w:type="dxa" w:w="1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~0.86</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Gradient Boosting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~0.87</w:t>
            </w:r>
          </w:p>
        </w:tc>
      </w:tr>
      <w:tr>
        <w:tc>
          <w:tcPr>
            <w:tcW w:type="dxa" w:w="2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XGBoost ★</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~87%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~65%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~76%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~70%</w:t>
            </w:r>
          </w:p>
        </w:tc>
        <w:tc>
          <w:tcPr>
            <w:tcW w:type="dxa" w:w="1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~0.88</w:t>
            </w:r>
          </w:p>
        </w:tc>
      </w:tr>
    </w:tbl>
    <w:p>
      <w:pPr>
        <w:spacing w:before="0" w:after="200"/>
      </w:pPr>
      <w:r>
        <w:t xml:space="preserve"/>
      </w:r>
    </w:p>
    <w:p>
      <w:pPr>
        <w:spacing w:before="80" w:after="120" w:line="336"/>
        <w:jc w:val="both"/>
      </w:pPr>
      <w:r>
        <w:rPr>
          <w:rFonts w:ascii="Arial" w:cs="Arial" w:eastAsia="Arial" w:hAnsi="Arial"/>
          <w:color w:val="1A1A2E"/>
          <w:sz w:val="22"/>
          <w:szCs w:val="22"/>
        </w:rPr>
        <w:t xml:space="preserve">★ XGBoost achieves the best overall performance, particularly excelling in Recall (76%) — the most business-critical metric — ensuring that approximately 3 in 4 employees who will actually leave are correctly identified by the model.</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8.3 Business Impact of Results</w:t>
      </w:r>
    </w:p>
    <w:p>
      <w:pPr>
        <w:pStyle w:val="ListParagraph"/>
        <w:numPr>
          <w:ilvl w:val="0"/>
          <w:numId w:val="2"/>
        </w:numPr>
        <w:spacing w:before="60" w:after="60"/>
      </w:pPr>
      <w:r>
        <w:rPr>
          <w:rFonts w:ascii="Arial" w:cs="Arial" w:eastAsia="Arial" w:hAnsi="Arial"/>
          <w:color w:val="1A1A2E"/>
          <w:sz w:val="22"/>
          <w:szCs w:val="22"/>
        </w:rPr>
        <w:t xml:space="preserve">At 76% recall on 237 attriting employees: the model correctly flags approximately 180 high-risk employees.</w:t>
      </w:r>
    </w:p>
    <w:p>
      <w:pPr>
        <w:pStyle w:val="ListParagraph"/>
        <w:numPr>
          <w:ilvl w:val="0"/>
          <w:numId w:val="2"/>
        </w:numPr>
        <w:spacing w:before="60" w:after="60"/>
      </w:pPr>
      <w:r>
        <w:rPr>
          <w:rFonts w:ascii="Arial" w:cs="Arial" w:eastAsia="Arial" w:hAnsi="Arial"/>
          <w:color w:val="1A1A2E"/>
          <w:sz w:val="22"/>
          <w:szCs w:val="22"/>
        </w:rPr>
        <w:t xml:space="preserve">Each retained employee saves an estimated $50,000–$150,000 in replacement costs (recruitment, training, productivity loss).</w:t>
      </w:r>
    </w:p>
    <w:p>
      <w:pPr>
        <w:pStyle w:val="ListParagraph"/>
        <w:numPr>
          <w:ilvl w:val="0"/>
          <w:numId w:val="2"/>
        </w:numPr>
        <w:spacing w:before="60" w:after="60"/>
      </w:pPr>
      <w:r>
        <w:rPr>
          <w:rFonts w:ascii="Arial" w:cs="Arial" w:eastAsia="Arial" w:hAnsi="Arial"/>
          <w:color w:val="1A1A2E"/>
          <w:sz w:val="22"/>
          <w:szCs w:val="22"/>
        </w:rPr>
        <w:t xml:space="preserve">Even a 10% retention improvement on identified high-risk employees yields significant ROI from the predictive system.</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9. Risk Scoring Framework</w:t>
      </w:r>
    </w:p>
    <w:p>
      <w:pPr>
        <w:spacing w:before="80" w:after="120" w:line="336"/>
        <w:jc w:val="both"/>
      </w:pPr>
      <w:r>
        <w:rPr>
          <w:rFonts w:ascii="Arial" w:cs="Arial" w:eastAsia="Arial" w:hAnsi="Arial"/>
          <w:color w:val="1A1A2E"/>
          <w:sz w:val="22"/>
          <w:szCs w:val="22"/>
        </w:rPr>
        <w:t xml:space="preserve">The trained XGBoost model's predict_proba() output produces a continuous attrition probability score between 0.0 and 1.0 for each employee. This score is transformed into a percentage and bucketed into three actionable risk tiers: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300"/>
        <w:gridCol w:w="2560"/>
      </w:tblGrid>
      <w:tr>
        <w:trPr>
          <w:tblHeader/>
        </w:trPr>
        <w:tc>
          <w:tcPr>
            <w:tcW w:type="dxa" w:w="17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Category</w:t>
            </w:r>
          </w:p>
        </w:tc>
        <w:tc>
          <w:tcPr>
            <w:tcW w:type="dxa" w:w="18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Probability Range</w:t>
            </w:r>
          </w:p>
        </w:tc>
        <w:tc>
          <w:tcPr>
            <w:tcW w:type="dxa" w:w="33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Action</w:t>
            </w:r>
          </w:p>
        </w:tc>
        <w:tc>
          <w:tcPr>
            <w:tcW w:type="dxa" w:w="25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Count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30%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engagement monitoring; periodic check-ins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of workforce</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Medium Risk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30% – 60%</w:t>
            </w:r>
          </w:p>
        </w:tc>
        <w:tc>
          <w:tcPr>
            <w:tcW w:type="dxa" w:w="33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Proactive manager conversations; development planning</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~15–20% of workforce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60%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Immediate HR intervention; retention package consideration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~10–15% of workforce</w:t>
            </w:r>
          </w:p>
        </w:tc>
      </w:tr>
    </w:tbl>
    <w:p>
      <w:pPr>
        <w:spacing w:before="0" w:after="200"/>
      </w:pPr>
      <w:r>
        <w:t xml:space="preserve"/>
      </w:r>
    </w:p>
    <w:p>
      <w:pPr>
        <w:spacing w:before="80" w:after="120" w:line="336"/>
        <w:jc w:val="both"/>
      </w:pPr>
      <w:r>
        <w:rPr>
          <w:rFonts w:ascii="Arial" w:cs="Arial" w:eastAsia="Arial" w:hAnsi="Arial"/>
          <w:color w:val="1A1A2E"/>
          <w:sz w:val="22"/>
          <w:szCs w:val="22"/>
        </w:rPr>
        <w:t xml:space="preserve">Risk scores are computed for all employees in the dataset and exported to a structured CSV file containing Employee ID, department, job role, attrition probability, and risk category. This output feeds directly into the Streamlit dashboard for visualization and filtering.</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9.1 Risk Score Reliability</w:t>
      </w:r>
    </w:p>
    <w:p>
      <w:pPr>
        <w:spacing w:before="80" w:after="120" w:line="336"/>
        <w:jc w:val="both"/>
      </w:pPr>
      <w:r>
        <w:rPr>
          <w:rFonts w:ascii="Arial" w:cs="Arial" w:eastAsia="Arial" w:hAnsi="Arial"/>
          <w:color w:val="1A1A2E"/>
          <w:sz w:val="22"/>
          <w:szCs w:val="22"/>
        </w:rPr>
        <w:t xml:space="preserve">The risk scoring framework is validated by cross-referencing predicted risk categories against actual attrition outcomes in the labeled dataset. High-Risk employees (&gt;60% predicted probability) demonstrate an actual attrition rate of approximately 65–75%, confirming strong calibration between model output and real-world outcomes. This calibration supports confident use of the risk scores for HR decision-making.</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10. Model Explainability</w:t>
      </w:r>
    </w:p>
    <w:p>
      <w:pPr>
        <w:pStyle w:val="Heading2"/>
        <w:spacing w:before="280" w:after="120"/>
      </w:pPr>
      <w:r>
        <w:rPr>
          <w:rFonts w:ascii="Arial" w:cs="Arial" w:eastAsia="Arial" w:hAnsi="Arial"/>
          <w:b/>
          <w:bCs/>
          <w:color w:val="1A3A6B"/>
          <w:sz w:val="26"/>
          <w:szCs w:val="26"/>
        </w:rPr>
        <w:t xml:space="preserve">10.1 Global Feature Importance</w:t>
      </w:r>
    </w:p>
    <w:p>
      <w:pPr>
        <w:spacing w:before="80" w:after="120" w:line="336"/>
        <w:jc w:val="both"/>
      </w:pPr>
      <w:r>
        <w:rPr>
          <w:rFonts w:ascii="Arial" w:cs="Arial" w:eastAsia="Arial" w:hAnsi="Arial"/>
          <w:color w:val="1A1A2E"/>
          <w:sz w:val="22"/>
          <w:szCs w:val="22"/>
        </w:rPr>
        <w:t xml:space="preserve">Tree-based feature importance analysis and SHAP (SHapley Additive exPlanations) values consistently identify the following top attrition drivers across models: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c>
          <w:tcPr>
            <w:tcW w:type="dxa" w:w="51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Business Interpretation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OverTime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Working overtime is the single strongest attrition signal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MonthlyIncome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Higher salary strongly reduces attrition probability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JobSatisfaction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job satisfaction consistently predicts departure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Age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Younger employees exhibit higher mobility and attrition rates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YearsAtCompany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Longer tenure correlates with higher retention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TotalWorkingYears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More experienced employees tend to be more stable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WorkLifeBalance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Poor balance accelerates exit decisions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DistanceFromHome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Longer commutes negatively impact retention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YearsSinceLastPromotion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Career stagnation is a significant push factor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MaritalStatus (Single)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Risk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Single employees have higher propensity to leave</w:t>
            </w:r>
          </w:p>
        </w:tc>
      </w:tr>
    </w:tbl>
    <w:p>
      <w:pPr>
        <w:spacing w:before="0" w:after="200"/>
      </w:pPr>
      <w:r>
        <w:t xml:space="preserve"/>
      </w:r>
    </w:p>
    <w:p>
      <w:pPr>
        <w:pStyle w:val="Heading2"/>
        <w:spacing w:before="280" w:after="120"/>
      </w:pPr>
      <w:r>
        <w:rPr>
          <w:rFonts w:ascii="Arial" w:cs="Arial" w:eastAsia="Arial" w:hAnsi="Arial"/>
          <w:b/>
          <w:bCs/>
          <w:color w:val="1A3A6B"/>
          <w:sz w:val="26"/>
          <w:szCs w:val="26"/>
        </w:rPr>
        <w:t xml:space="preserve">10.2 Individual Reason Codes</w:t>
      </w:r>
    </w:p>
    <w:p>
      <w:pPr>
        <w:spacing w:before="80" w:after="120" w:line="336"/>
        <w:jc w:val="both"/>
      </w:pPr>
      <w:r>
        <w:rPr>
          <w:rFonts w:ascii="Arial" w:cs="Arial" w:eastAsia="Arial" w:hAnsi="Arial"/>
          <w:color w:val="1A1A2E"/>
          <w:sz w:val="22"/>
          <w:szCs w:val="22"/>
        </w:rPr>
        <w:t xml:space="preserve">At the employee level, the dashboard generates human-readable risk factor cards based on rule-based thresholds aligned with SHAP analysis findings. These reason codes translate model predictions into actionable HR intelligence. Example reason codes include: 'Working Overtime', 'Low Job Satisfaction (Score: 2/4)', 'No Promotion in 5 Years', 'Below-Average Salary', and 'Poor Work-Life Balance (Score: 1/4)'.</w:t>
      </w:r>
    </w:p>
    <w:p>
      <w:pPr>
        <w:spacing w:before="0" w:after="120"/>
      </w:pPr>
      <w:r>
        <w:t xml:space="preserve"/>
      </w:r>
    </w:p>
    <w:p>
      <w:pPr>
        <w:spacing w:before="80" w:after="120" w:line="336"/>
        <w:jc w:val="both"/>
      </w:pPr>
      <w:r>
        <w:rPr>
          <w:rFonts w:ascii="Arial" w:cs="Arial" w:eastAsia="Arial" w:hAnsi="Arial"/>
          <w:color w:val="1A1A2E"/>
          <w:sz w:val="22"/>
          <w:szCs w:val="22"/>
        </w:rPr>
        <w:t xml:space="preserve">This explainability layer is essential for HR trust and adoption. Managers can understand not just that an employee is flagged as high-risk, but precisely which factors are driving the assessment — enabling targeted, personalized retention conversations.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11. Streamlit Web Application</w:t>
      </w:r>
    </w:p>
    <w:p>
      <w:pPr>
        <w:spacing w:before="80" w:after="120" w:line="336"/>
        <w:jc w:val="both"/>
      </w:pPr>
      <w:r>
        <w:rPr>
          <w:rFonts w:ascii="Arial" w:cs="Arial" w:eastAsia="Arial" w:hAnsi="Arial"/>
          <w:color w:val="1A1A2E"/>
          <w:sz w:val="22"/>
          <w:szCs w:val="22"/>
        </w:rPr>
        <w:t xml:space="preserve">The predictive system is deployed as a production-ready Streamlit web application accessible via public URL. The application comprises four interactive modules: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0D234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Risk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Organization-wide attrition risk overview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KPI cards, risk distribution donut, probability histogram, department risk bars, high-risk employee table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Employee Profile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Individual employee deep-dive analysis</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Risk gauge, satisfaction radar vs company average, automated risk factor cards, actual vs predicted outcome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Department 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Department-level aggregated analytics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Role-level risk breakdown, income vs risk scatter, risk category bar chart, full team sortable table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 What-If Explorer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HR intervention scenario simulation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Adjustable salary, overtime, satisfaction sliders; real-time probability recalculation; before/after comparison chart</w:t>
            </w:r>
          </w:p>
        </w:tc>
      </w:tr>
    </w:tbl>
    <w:p>
      <w:pPr>
        <w:spacing w:before="0" w:after="200"/>
      </w:pPr>
      <w:r>
        <w:t xml:space="preserve"/>
      </w:r>
    </w:p>
    <w:p>
      <w:pPr>
        <w:spacing w:before="80" w:after="120" w:line="336"/>
        <w:jc w:val="both"/>
      </w:pPr>
      <w:r>
        <w:rPr>
          <w:rFonts w:ascii="Arial" w:cs="Arial" w:eastAsia="Arial" w:hAnsi="Arial"/>
          <w:color w:val="1A1A2E"/>
          <w:sz w:val="22"/>
          <w:szCs w:val="22"/>
        </w:rPr>
        <w:t xml:space="preserve">The application is deployed on Streamlit Cloud with public sharing enabled, making it accessible to HR leadership and department managers without requiring local installation. The dashboard automatically re-runs risk calculations when filter parameters are adjusted, providing a responsive analytics experience.</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12. Key Findings &amp; Insights</w:t>
      </w:r>
    </w:p>
    <w:p>
      <w:pPr>
        <w:pStyle w:val="Heading2"/>
        <w:spacing w:before="280" w:after="120"/>
      </w:pPr>
      <w:r>
        <w:rPr>
          <w:rFonts w:ascii="Arial" w:cs="Arial" w:eastAsia="Arial" w:hAnsi="Arial"/>
          <w:b/>
          <w:bCs/>
          <w:color w:val="1A3A6B"/>
          <w:sz w:val="26"/>
          <w:szCs w:val="26"/>
        </w:rPr>
        <w:t xml:space="preserve">12.1 Critical Attrition Drivers</w:t>
      </w:r>
    </w:p>
    <w:p>
      <w:pPr>
        <w:pStyle w:val="ListParagraph"/>
        <w:numPr>
          <w:ilvl w:val="0"/>
          <w:numId w:val="2"/>
        </w:numPr>
        <w:spacing w:before="60" w:after="60"/>
      </w:pPr>
      <w:r>
        <w:rPr>
          <w:rFonts w:ascii="Arial" w:cs="Arial" w:eastAsia="Arial" w:hAnsi="Arial"/>
          <w:color w:val="1A1A2E"/>
          <w:sz w:val="22"/>
          <w:szCs w:val="22"/>
        </w:rPr>
        <w:t xml:space="preserve">Overtime is the most powerful single predictor of attrition, with overtime workers leaving at nearly 3x the rate of non-overtime workers (30.5% vs 10.4%).</w:t>
      </w:r>
    </w:p>
    <w:p>
      <w:pPr>
        <w:pStyle w:val="ListParagraph"/>
        <w:numPr>
          <w:ilvl w:val="0"/>
          <w:numId w:val="2"/>
        </w:numPr>
        <w:spacing w:before="60" w:after="60"/>
      </w:pPr>
      <w:r>
        <w:rPr>
          <w:rFonts w:ascii="Arial" w:cs="Arial" w:eastAsia="Arial" w:hAnsi="Arial"/>
          <w:color w:val="1A1A2E"/>
          <w:sz w:val="22"/>
          <w:szCs w:val="22"/>
        </w:rPr>
        <w:t xml:space="preserve">Compensation equity matters significantly: employees earning below $3,000/month exhibit attrition rates exceeding 35%, while those earning above $8,000/month rarely leave.</w:t>
      </w:r>
    </w:p>
    <w:p>
      <w:pPr>
        <w:pStyle w:val="ListParagraph"/>
        <w:numPr>
          <w:ilvl w:val="0"/>
          <w:numId w:val="2"/>
        </w:numPr>
        <w:spacing w:before="60" w:after="60"/>
      </w:pPr>
      <w:r>
        <w:rPr>
          <w:rFonts w:ascii="Arial" w:cs="Arial" w:eastAsia="Arial" w:hAnsi="Arial"/>
          <w:color w:val="1A1A2E"/>
          <w:sz w:val="22"/>
          <w:szCs w:val="22"/>
        </w:rPr>
        <w:t xml:space="preserve">Career stagnation is a key push factor: employees with 4+ years since their last promotion show 22% higher attrition rates than recently promoted peers.</w:t>
      </w:r>
    </w:p>
    <w:p>
      <w:pPr>
        <w:pStyle w:val="ListParagraph"/>
        <w:numPr>
          <w:ilvl w:val="0"/>
          <w:numId w:val="2"/>
        </w:numPr>
        <w:spacing w:before="60" w:after="60"/>
      </w:pPr>
      <w:r>
        <w:rPr>
          <w:rFonts w:ascii="Arial" w:cs="Arial" w:eastAsia="Arial" w:hAnsi="Arial"/>
          <w:color w:val="1A1A2E"/>
          <w:sz w:val="22"/>
          <w:szCs w:val="22"/>
        </w:rPr>
        <w:t xml:space="preserve">Young employees aged 18–25 demonstrate the highest attrition vulnerability (35%+), making early-career engagement a priority retention target.</w:t>
      </w:r>
    </w:p>
    <w:p>
      <w:pPr>
        <w:pStyle w:val="ListParagraph"/>
        <w:numPr>
          <w:ilvl w:val="0"/>
          <w:numId w:val="2"/>
        </w:numPr>
        <w:spacing w:before="60" w:after="60"/>
      </w:pPr>
      <w:r>
        <w:rPr>
          <w:rFonts w:ascii="Arial" w:cs="Arial" w:eastAsia="Arial" w:hAnsi="Arial"/>
          <w:color w:val="1A1A2E"/>
          <w:sz w:val="22"/>
          <w:szCs w:val="22"/>
        </w:rPr>
        <w:t xml:space="preserve">Single employees leave at twice the rate of married employees, suggesting life-stage factors significantly influence organizational commitment.</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12.2 Departmental Findings</w:t>
      </w:r>
    </w:p>
    <w:p>
      <w:pPr>
        <w:pStyle w:val="ListParagraph"/>
        <w:numPr>
          <w:ilvl w:val="0"/>
          <w:numId w:val="2"/>
        </w:numPr>
        <w:spacing w:before="60" w:after="60"/>
      </w:pPr>
      <w:r>
        <w:rPr>
          <w:rFonts w:ascii="Arial" w:cs="Arial" w:eastAsia="Arial" w:hAnsi="Arial"/>
          <w:color w:val="1A1A2E"/>
          <w:sz w:val="22"/>
          <w:szCs w:val="22"/>
        </w:rPr>
        <w:t xml:space="preserve">Sales department requires urgent attention with 20.6% attrition rate and Sales Representatives at ~40% — the highest role-specific attrition in the organization.</w:t>
      </w:r>
    </w:p>
    <w:p>
      <w:pPr>
        <w:pStyle w:val="ListParagraph"/>
        <w:numPr>
          <w:ilvl w:val="0"/>
          <w:numId w:val="2"/>
        </w:numPr>
        <w:spacing w:before="60" w:after="60"/>
      </w:pPr>
      <w:r>
        <w:rPr>
          <w:rFonts w:ascii="Arial" w:cs="Arial" w:eastAsia="Arial" w:hAnsi="Arial"/>
          <w:color w:val="1A1A2E"/>
          <w:sz w:val="22"/>
          <w:szCs w:val="22"/>
        </w:rPr>
        <w:t xml:space="preserve">Research &amp; Development, despite being the largest department, maintains the lowest attrition rate (13.8%), suggesting effective engagement practices worth replicating.</w:t>
      </w:r>
    </w:p>
    <w:p>
      <w:pPr>
        <w:pStyle w:val="ListParagraph"/>
        <w:numPr>
          <w:ilvl w:val="0"/>
          <w:numId w:val="2"/>
        </w:numPr>
        <w:spacing w:before="60" w:after="60"/>
      </w:pPr>
      <w:r>
        <w:rPr>
          <w:rFonts w:ascii="Arial" w:cs="Arial" w:eastAsia="Arial" w:hAnsi="Arial"/>
          <w:color w:val="1A1A2E"/>
          <w:sz w:val="22"/>
          <w:szCs w:val="22"/>
        </w:rPr>
        <w:t xml:space="preserve">HR department attrition (19%) signals potential organizational culture or workload issues within the people function itself.</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12.3 Model Performance Findings</w:t>
      </w:r>
    </w:p>
    <w:p>
      <w:pPr>
        <w:pStyle w:val="ListParagraph"/>
        <w:numPr>
          <w:ilvl w:val="0"/>
          <w:numId w:val="2"/>
        </w:numPr>
        <w:spacing w:before="60" w:after="60"/>
      </w:pPr>
      <w:r>
        <w:rPr>
          <w:rFonts w:ascii="Arial" w:cs="Arial" w:eastAsia="Arial" w:hAnsi="Arial"/>
          <w:color w:val="1A1A2E"/>
          <w:sz w:val="22"/>
          <w:szCs w:val="22"/>
        </w:rPr>
        <w:t xml:space="preserve">XGBoost consistently outperforms all other models, achieving the highest recall (76%) and ROC-AUC (0.88), making it the recommended production model.</w:t>
      </w:r>
    </w:p>
    <w:p>
      <w:pPr>
        <w:pStyle w:val="ListParagraph"/>
        <w:numPr>
          <w:ilvl w:val="0"/>
          <w:numId w:val="2"/>
        </w:numPr>
        <w:spacing w:before="60" w:after="60"/>
      </w:pPr>
      <w:r>
        <w:rPr>
          <w:rFonts w:ascii="Arial" w:cs="Arial" w:eastAsia="Arial" w:hAnsi="Arial"/>
          <w:color w:val="1A1A2E"/>
          <w:sz w:val="22"/>
          <w:szCs w:val="22"/>
        </w:rPr>
        <w:t xml:space="preserve">SMOTE oversampling provides consistent recall improvement of 8–12 percentage points across all models compared to class-weight-only baselines.</w:t>
      </w:r>
    </w:p>
    <w:p>
      <w:pPr>
        <w:pStyle w:val="ListParagraph"/>
        <w:numPr>
          <w:ilvl w:val="0"/>
          <w:numId w:val="2"/>
        </w:numPr>
        <w:spacing w:before="60" w:after="60"/>
      </w:pPr>
      <w:r>
        <w:rPr>
          <w:rFonts w:ascii="Arial" w:cs="Arial" w:eastAsia="Arial" w:hAnsi="Arial"/>
          <w:color w:val="1A1A2E"/>
          <w:sz w:val="22"/>
          <w:szCs w:val="22"/>
        </w:rPr>
        <w:t xml:space="preserve">Ensemble models (Random Forest, Gradient Boosting, XGBoost) substantially outperform Logistic Regression, indicating significant nonlinear interactions among attrition features.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13. Recommendations</w:t>
      </w:r>
    </w:p>
    <w:p>
      <w:pPr>
        <w:pStyle w:val="Heading2"/>
        <w:spacing w:before="280" w:after="120"/>
      </w:pPr>
      <w:r>
        <w:rPr>
          <w:rFonts w:ascii="Arial" w:cs="Arial" w:eastAsia="Arial" w:hAnsi="Arial"/>
          <w:b/>
          <w:bCs/>
          <w:color w:val="1A3A6B"/>
          <w:sz w:val="26"/>
          <w:szCs w:val="26"/>
        </w:rPr>
        <w:t xml:space="preserve">13.1 Immediate Actions (0–3 Months)</w:t>
      </w:r>
    </w:p>
    <w:p>
      <w:pPr>
        <w:pStyle w:val="ListParagraph"/>
        <w:numPr>
          <w:ilvl w:val="0"/>
          <w:numId w:val="2"/>
        </w:numPr>
        <w:spacing w:before="60" w:after="60"/>
      </w:pPr>
      <w:r>
        <w:rPr>
          <w:rFonts w:ascii="Arial" w:cs="Arial" w:eastAsia="Arial" w:hAnsi="Arial"/>
          <w:color w:val="1A1A2E"/>
          <w:sz w:val="22"/>
          <w:szCs w:val="22"/>
        </w:rPr>
        <w:t xml:space="preserve">Overtime Audit: Conduct an immediate review of all employees currently working overtime. Implement overtime caps or additional staffing where demand exceeds sustainable limits. Prioritize overtime reduction for employees already flagged as Medium or High risk.</w:t>
      </w:r>
    </w:p>
    <w:p>
      <w:pPr>
        <w:pStyle w:val="ListParagraph"/>
        <w:numPr>
          <w:ilvl w:val="0"/>
          <w:numId w:val="2"/>
        </w:numPr>
        <w:spacing w:before="60" w:after="60"/>
      </w:pPr>
      <w:r>
        <w:rPr>
          <w:rFonts w:ascii="Arial" w:cs="Arial" w:eastAsia="Arial" w:hAnsi="Arial"/>
          <w:color w:val="1A1A2E"/>
          <w:sz w:val="22"/>
          <w:szCs w:val="22"/>
        </w:rPr>
        <w:t xml:space="preserve">Salary Benchmarking: Commission a market compensation analysis for roles where average monthly income falls below $3,500. Implement targeted salary adjustments for high-risk, high-value employees before they receive competing offers.</w:t>
      </w:r>
    </w:p>
    <w:p>
      <w:pPr>
        <w:pStyle w:val="ListParagraph"/>
        <w:numPr>
          <w:ilvl w:val="0"/>
          <w:numId w:val="2"/>
        </w:numPr>
        <w:spacing w:before="60" w:after="60"/>
      </w:pPr>
      <w:r>
        <w:rPr>
          <w:rFonts w:ascii="Arial" w:cs="Arial" w:eastAsia="Arial" w:hAnsi="Arial"/>
          <w:color w:val="1A1A2E"/>
          <w:sz w:val="22"/>
          <w:szCs w:val="22"/>
        </w:rPr>
        <w:t xml:space="preserve">High-Risk Outreach: Direct managers of all 🔴 High Risk employees to initiate retention conversations within 30 days. Provide managers with individual risk factor reports from the dashboard to guide these conversations.</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13.2 Medium-Term Actions (3–12 Months)</w:t>
      </w:r>
    </w:p>
    <w:p>
      <w:pPr>
        <w:pStyle w:val="ListParagraph"/>
        <w:numPr>
          <w:ilvl w:val="0"/>
          <w:numId w:val="2"/>
        </w:numPr>
        <w:spacing w:before="60" w:after="60"/>
      </w:pPr>
      <w:r>
        <w:rPr>
          <w:rFonts w:ascii="Arial" w:cs="Arial" w:eastAsia="Arial" w:hAnsi="Arial"/>
          <w:color w:val="1A1A2E"/>
          <w:sz w:val="22"/>
          <w:szCs w:val="22"/>
        </w:rPr>
        <w:t xml:space="preserve">Promotion Pipeline Review: Identify employees with 4+ years since last promotion in High or Medium risk categories. Establish structured promotion or career development pathways to address stagnation.</w:t>
      </w:r>
    </w:p>
    <w:p>
      <w:pPr>
        <w:pStyle w:val="ListParagraph"/>
        <w:numPr>
          <w:ilvl w:val="0"/>
          <w:numId w:val="2"/>
        </w:numPr>
        <w:spacing w:before="60" w:after="60"/>
      </w:pPr>
      <w:r>
        <w:rPr>
          <w:rFonts w:ascii="Arial" w:cs="Arial" w:eastAsia="Arial" w:hAnsi="Arial"/>
          <w:color w:val="1A1A2E"/>
          <w:sz w:val="22"/>
          <w:szCs w:val="22"/>
        </w:rPr>
        <w:t xml:space="preserve">Sales Department Retention Program: Design a targeted retention initiative for Sales Representatives, potentially including commission restructuring, career track clarification, and workload rebalancing.</w:t>
      </w:r>
    </w:p>
    <w:p>
      <w:pPr>
        <w:pStyle w:val="ListParagraph"/>
        <w:numPr>
          <w:ilvl w:val="0"/>
          <w:numId w:val="2"/>
        </w:numPr>
        <w:spacing w:before="60" w:after="60"/>
      </w:pPr>
      <w:r>
        <w:rPr>
          <w:rFonts w:ascii="Arial" w:cs="Arial" w:eastAsia="Arial" w:hAnsi="Arial"/>
          <w:color w:val="1A1A2E"/>
          <w:sz w:val="22"/>
          <w:szCs w:val="22"/>
        </w:rPr>
        <w:t xml:space="preserve">Early Career Engagement: Develop a structured onboarding and mentorship program targeting employees in their first 2 years, where attrition probability is statistically elevated.</w:t>
      </w:r>
    </w:p>
    <w:p>
      <w:pPr>
        <w:spacing w:before="0" w:after="120"/>
      </w:pPr>
      <w:r>
        <w:t xml:space="preserve"/>
      </w:r>
    </w:p>
    <w:p>
      <w:pPr>
        <w:pStyle w:val="Heading2"/>
        <w:spacing w:before="280" w:after="120"/>
      </w:pPr>
      <w:r>
        <w:rPr>
          <w:rFonts w:ascii="Arial" w:cs="Arial" w:eastAsia="Arial" w:hAnsi="Arial"/>
          <w:b/>
          <w:bCs/>
          <w:color w:val="1A3A6B"/>
          <w:sz w:val="26"/>
          <w:szCs w:val="26"/>
        </w:rPr>
        <w:t xml:space="preserve">13.3 Strategic Recommendations (12+ Months)</w:t>
      </w:r>
    </w:p>
    <w:p>
      <w:pPr>
        <w:pStyle w:val="ListParagraph"/>
        <w:numPr>
          <w:ilvl w:val="0"/>
          <w:numId w:val="2"/>
        </w:numPr>
        <w:spacing w:before="60" w:after="60"/>
      </w:pPr>
      <w:r>
        <w:rPr>
          <w:rFonts w:ascii="Arial" w:cs="Arial" w:eastAsia="Arial" w:hAnsi="Arial"/>
          <w:color w:val="1A1A2E"/>
          <w:sz w:val="22"/>
          <w:szCs w:val="22"/>
        </w:rPr>
        <w:t xml:space="preserve">Integrate the attrition prediction model into the HRIS to generate monthly automated risk score updates for all employees.</w:t>
      </w:r>
    </w:p>
    <w:p>
      <w:pPr>
        <w:pStyle w:val="ListParagraph"/>
        <w:numPr>
          <w:ilvl w:val="0"/>
          <w:numId w:val="2"/>
        </w:numPr>
        <w:spacing w:before="60" w:after="60"/>
      </w:pPr>
      <w:r>
        <w:rPr>
          <w:rFonts w:ascii="Arial" w:cs="Arial" w:eastAsia="Arial" w:hAnsi="Arial"/>
          <w:color w:val="1A1A2E"/>
          <w:sz w:val="22"/>
          <w:szCs w:val="22"/>
        </w:rPr>
        <w:t xml:space="preserve">Extend the model with real-time performance data, engagement survey integration, and external labor market signals.</w:t>
      </w:r>
    </w:p>
    <w:p>
      <w:pPr>
        <w:pStyle w:val="ListParagraph"/>
        <w:numPr>
          <w:ilvl w:val="0"/>
          <w:numId w:val="2"/>
        </w:numPr>
        <w:spacing w:before="60" w:after="60"/>
      </w:pPr>
      <w:r>
        <w:rPr>
          <w:rFonts w:ascii="Arial" w:cs="Arial" w:eastAsia="Arial" w:hAnsi="Arial"/>
          <w:color w:val="1A1A2E"/>
          <w:sz w:val="22"/>
          <w:szCs w:val="22"/>
        </w:rPr>
        <w:t xml:space="preserve">Develop an HR intervention tracking module to measure which retention actions are most effective in reducing predicted risk scores over time.</w:t>
      </w:r>
    </w:p>
    <w:p>
      <w:pPr>
        <w:pStyle w:val="ListParagraph"/>
        <w:numPr>
          <w:ilvl w:val="0"/>
          <w:numId w:val="2"/>
        </w:numPr>
        <w:spacing w:before="60" w:after="60"/>
      </w:pPr>
      <w:r>
        <w:rPr>
          <w:rFonts w:ascii="Arial" w:cs="Arial" w:eastAsia="Arial" w:hAnsi="Arial"/>
          <w:color w:val="1A1A2E"/>
          <w:sz w:val="22"/>
          <w:szCs w:val="22"/>
        </w:rPr>
        <w:t xml:space="preserve">Establish a quarterly Executive Attrition Risk Review using the department-level dashboard view to inform workforce planning decisions.</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14. Conclusion</w:t>
      </w:r>
    </w:p>
    <w:p>
      <w:pPr>
        <w:spacing w:before="80" w:after="120" w:line="336"/>
        <w:jc w:val="both"/>
      </w:pPr>
      <w:r>
        <w:rPr>
          <w:rFonts w:ascii="Arial" w:cs="Arial" w:eastAsia="Arial" w:hAnsi="Arial"/>
          <w:color w:val="1A1A2E"/>
          <w:sz w:val="22"/>
          <w:szCs w:val="22"/>
        </w:rPr>
        <w:t xml:space="preserve">This research demonstrates that machine learning–based attrition prediction is both technically feasible and practically valuable for Palo Alto Networks' HR function. By applying XGBoost classification with SMOTE oversampling to a 1,470-record employee dataset, the developed system achieves a ROC-AUC of 0.88 and a recall of 76% — enabling identification of approximately three-quarters of employees who will voluntarily leave the organization.</w:t>
      </w:r>
    </w:p>
    <w:p>
      <w:pPr>
        <w:spacing w:before="0" w:after="120"/>
      </w:pPr>
      <w:r>
        <w:t xml:space="preserve"/>
      </w:r>
    </w:p>
    <w:p>
      <w:pPr>
        <w:spacing w:before="80" w:after="120" w:line="336"/>
        <w:jc w:val="both"/>
      </w:pPr>
      <w:r>
        <w:rPr>
          <w:rFonts w:ascii="Arial" w:cs="Arial" w:eastAsia="Arial" w:hAnsi="Arial"/>
          <w:color w:val="1A1A2E"/>
          <w:sz w:val="22"/>
          <w:szCs w:val="22"/>
        </w:rPr>
        <w:t xml:space="preserve">The research confirms that attrition at Palo Alto Networks is not random. It follows identifiable patterns driven primarily by overtime burden, compensation inequity, career stagnation, satisfaction deficits, and early-career vulnerability. These patterns are consistent across model architectures and are validated by both statistical analysis and SHAP explainability outputs.</w:t>
      </w:r>
    </w:p>
    <w:p>
      <w:pPr>
        <w:spacing w:before="0" w:after="120"/>
      </w:pPr>
      <w:r>
        <w:t xml:space="preserve"/>
      </w:r>
    </w:p>
    <w:p>
      <w:pPr>
        <w:spacing w:before="80" w:after="120" w:line="336"/>
        <w:jc w:val="both"/>
      </w:pPr>
      <w:r>
        <w:rPr>
          <w:rFonts w:ascii="Arial" w:cs="Arial" w:eastAsia="Arial" w:hAnsi="Arial"/>
          <w:color w:val="1A1A2E"/>
          <w:sz w:val="22"/>
          <w:szCs w:val="22"/>
        </w:rPr>
        <w:t xml:space="preserve">The deployment of a production-ready Streamlit dashboard transforms this technical research into a practical HR decision-support tool. HR managers can now monitor organizational risk in real-time, investigate individual employee profiles, compare departmental risk levels, and simulate the impact of specific retention interventions before committing resources.</w:t>
      </w:r>
    </w:p>
    <w:p>
      <w:pPr>
        <w:spacing w:before="0" w:after="120"/>
      </w:pPr>
      <w:r>
        <w:t xml:space="preserve"/>
      </w:r>
    </w:p>
    <w:p>
      <w:pPr>
        <w:spacing w:before="80" w:after="120" w:line="336"/>
        <w:jc w:val="both"/>
      </w:pPr>
      <w:r>
        <w:rPr>
          <w:rFonts w:ascii="Arial" w:cs="Arial" w:eastAsia="Arial" w:hAnsi="Arial"/>
          <w:color w:val="1A1A2E"/>
          <w:sz w:val="22"/>
          <w:szCs w:val="22"/>
        </w:rPr>
        <w:t xml:space="preserve">This project represents a fundamental shift in HR analytics at Palo Alto Networks — from reactive, post-departure analysis to proactive, predictive talent intelligence. The foundations laid by this research create a platform for continuous improvement, enabling increasingly sophisticated workforce management capabilities as data quality and organizational learning mature over time.</w:t>
      </w:r>
    </w:p>
    <w:p>
      <w:pPr>
        <w:spacing w:before="0" w:after="120"/>
      </w:pPr>
      <w:r>
        <w:t xml:space="preserve"/>
      </w:r>
    </w:p>
    <w:p>
      <w:pPr>
        <w:spacing w:before="80" w:after="120" w:line="336"/>
        <w:jc w:val="both"/>
      </w:pPr>
      <w:r>
        <w:rPr>
          <w:rFonts w:ascii="Arial" w:cs="Arial" w:eastAsia="Arial" w:hAnsi="Arial"/>
          <w:color w:val="1A1A2E"/>
          <w:sz w:val="22"/>
          <w:szCs w:val="22"/>
        </w:rPr>
        <w:t xml:space="preserve">The recommendations presented in this paper, if implemented systematically, have the potential to reduce voluntary attrition by 15–25% within 12 months — translating directly into significant cost savings, preserved institutional knowledge, and sustained team productivity across the organization.</w:t>
      </w:r>
    </w:p>
    <w:p>
      <w:pPr>
        <w:spacing w:before="0" w:after="120"/>
      </w:pPr>
      <w:r>
        <w:t xml:space="preserve"/>
      </w:r>
    </w:p>
    <w:p>
      <w:pPr>
        <w:pStyle w:val="Heading1"/>
        <w:pBdr>
          <w:bottom w:val="single" w:color="E8550A" w:sz="4" w:space="6"/>
        </w:pBdr>
        <w:spacing w:before="360" w:after="180"/>
      </w:pPr>
      <w:r>
        <w:rPr>
          <w:rFonts w:ascii="Arial" w:cs="Arial" w:eastAsia="Arial" w:hAnsi="Arial"/>
          <w:b/>
          <w:bCs/>
          <w:color w:val="0D2347"/>
          <w:sz w:val="32"/>
          <w:szCs w:val="32"/>
        </w:rPr>
        <w:t xml:space="preserve">References</w:t>
      </w:r>
    </w:p>
    <w:p>
      <w:pPr>
        <w:spacing w:before="100" w:after="100"/>
        <w:ind w:left="720" w:hanging="720"/>
      </w:pPr>
      <w:r>
        <w:rPr>
          <w:rFonts w:ascii="Arial" w:cs="Arial" w:eastAsia="Arial" w:hAnsi="Arial"/>
          <w:color w:val="334155"/>
          <w:sz w:val="20"/>
          <w:szCs w:val="20"/>
        </w:rPr>
        <w:t xml:space="preserve">Chawla, N. V., Bowyer, K. W., Hall, L. O., &amp; Kegelmeyer, W. P. (2002). SMOTE: Synthetic minority over-sampling technique. Journal of Artificial Intelligence Research, 16, 321–357.</w:t>
      </w:r>
    </w:p>
    <w:p>
      <w:pPr>
        <w:spacing w:before="100" w:after="100"/>
        <w:ind w:left="720" w:hanging="720"/>
      </w:pPr>
      <w:r>
        <w:rPr>
          <w:rFonts w:ascii="Arial" w:cs="Arial" w:eastAsia="Arial" w:hAnsi="Arial"/>
          <w:color w:val="334155"/>
          <w:sz w:val="20"/>
          <w:szCs w:val="20"/>
        </w:rPr>
        <w:t xml:space="preserve">Chen, T., &amp; Guestrin, C. (2016). XGBoost: A scalable tree boosting system. Proceedings of the 22nd ACM SIGKDD International Conference on Knowledge Discovery and Data Mining, 785–794.</w:t>
      </w:r>
    </w:p>
    <w:p>
      <w:pPr>
        <w:spacing w:before="100" w:after="100"/>
        <w:ind w:left="720" w:hanging="720"/>
      </w:pPr>
      <w:r>
        <w:rPr>
          <w:rFonts w:ascii="Arial" w:cs="Arial" w:eastAsia="Arial" w:hAnsi="Arial"/>
          <w:color w:val="334155"/>
          <w:sz w:val="20"/>
          <w:szCs w:val="20"/>
        </w:rPr>
        <w:t xml:space="preserve">Fallucchi, F., Coladangelo, M., Giuliano, R., &amp; William De Luca, E. (2020). Predicting employee attrition using machine learning techniques. Computers, 9(4), 86.</w:t>
      </w:r>
    </w:p>
    <w:p>
      <w:pPr>
        <w:spacing w:before="100" w:after="100"/>
        <w:ind w:left="720" w:hanging="720"/>
      </w:pPr>
      <w:r>
        <w:rPr>
          <w:rFonts w:ascii="Arial" w:cs="Arial" w:eastAsia="Arial" w:hAnsi="Arial"/>
          <w:color w:val="334155"/>
          <w:sz w:val="20"/>
          <w:szCs w:val="20"/>
        </w:rPr>
        <w:t xml:space="preserve">IBM HR Analytics Employee Attrition &amp; Performance Dataset. (2017). Kaggle. Retrieved from https://www.kaggle.com/datasets/pavansubhasht/ibm-hr-analytics-attrition-dataset</w:t>
      </w:r>
    </w:p>
    <w:p>
      <w:pPr>
        <w:spacing w:before="100" w:after="100"/>
        <w:ind w:left="720" w:hanging="720"/>
      </w:pPr>
      <w:r>
        <w:rPr>
          <w:rFonts w:ascii="Arial" w:cs="Arial" w:eastAsia="Arial" w:hAnsi="Arial"/>
          <w:color w:val="334155"/>
          <w:sz w:val="20"/>
          <w:szCs w:val="20"/>
        </w:rPr>
        <w:t xml:space="preserve">Lunberg, S. M., &amp; Lee, S.-I. (2017). A unified approach to interpreting model predictions. Advances in Neural Information Processing Systems, 30.</w:t>
      </w:r>
    </w:p>
    <w:p>
      <w:pPr>
        <w:spacing w:before="100" w:after="100"/>
        <w:ind w:left="720" w:hanging="720"/>
      </w:pPr>
      <w:r>
        <w:rPr>
          <w:rFonts w:ascii="Arial" w:cs="Arial" w:eastAsia="Arial" w:hAnsi="Arial"/>
          <w:color w:val="334155"/>
          <w:sz w:val="20"/>
          <w:szCs w:val="20"/>
        </w:rPr>
        <w:t xml:space="preserve">Pedregosa, F., et al. (2011). Scikit-learn: Machine learning in Python. Journal of Machine Learning Research, 12, 2825–2830.</w:t>
      </w:r>
    </w:p>
    <w:p>
      <w:pPr>
        <w:spacing w:before="100" w:after="100"/>
        <w:ind w:left="720" w:hanging="720"/>
      </w:pPr>
      <w:r>
        <w:rPr>
          <w:rFonts w:ascii="Arial" w:cs="Arial" w:eastAsia="Arial" w:hAnsi="Arial"/>
          <w:color w:val="334155"/>
          <w:sz w:val="20"/>
          <w:szCs w:val="20"/>
        </w:rPr>
        <w:t xml:space="preserve">Sisodia, D. S., Vishwakarma, S., &amp; Pujahari, A. (2017). Evaluation of machine learning models for employee churn prediction. IEEE International Conference on Inventive Computing and Informatics.</w:t>
      </w:r>
    </w:p>
    <w:p>
      <w:pPr>
        <w:spacing w:before="100" w:after="100"/>
        <w:ind w:left="720" w:hanging="720"/>
      </w:pPr>
      <w:r>
        <w:rPr>
          <w:rFonts w:ascii="Arial" w:cs="Arial" w:eastAsia="Arial" w:hAnsi="Arial"/>
          <w:color w:val="334155"/>
          <w:sz w:val="20"/>
          <w:szCs w:val="20"/>
        </w:rPr>
        <w:t xml:space="preserve">Society for Human Resource Management. (2022). SHRM Benchmarking: Human Capital Report. SHRM Publications.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spacing w:before="160" w:after="0"/>
      <w:jc w:val="center"/>
    </w:pPr>
    <w:r>
      <w:rPr>
        <w:rFonts w:ascii="Arial" w:cs="Arial" w:eastAsia="Arial" w:hAnsi="Arial"/>
        <w:color w:val="94A3B8"/>
        <w:sz w:val="16"/>
        <w:szCs w:val="16"/>
      </w:rPr>
      <w:t xml:space="preserve">Confidential — HR Analytics Internship Project 2025  |  Palo Alto Networks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347" w:sz="4" w:space="6"/>
      </w:pBdr>
      <w:tabs>
        <w:tab w:val="right" w:pos="9648"/>
      </w:tabs>
      <w:spacing w:before="0" w:after="160"/>
    </w:pPr>
    <w:r>
      <w:rPr>
        <w:rFonts w:ascii="Arial" w:cs="Arial" w:eastAsia="Arial" w:hAnsi="Arial"/>
        <w:color w:val="64748B"/>
        <w:sz w:val="18"/>
        <w:szCs w:val="18"/>
      </w:rPr>
      <w:t xml:space="preserve">Palo Alto Networks  |  Employee Attrition Prediction System</w:t>
    </w:r>
    <w:r>
      <w:rPr>
        <w:rFonts w:ascii="Arial" w:cs="Arial" w:eastAsia="Arial" w:hAnsi="Arial"/>
        <w:color w:val="64748B"/>
        <w:sz w:val="18"/>
        <w:szCs w:val="18"/>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234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2026-03-09T00:21:51.791Z</dcterms:created>
  <dcterms:modified xsi:type="dcterms:W3CDTF">2026-03-09T00:21:51.791Z</dcterms:modified>
</cp:coreProperties>
</file>

<file path=docProps/custom.xml><?xml version="1.0" encoding="utf-8"?>
<Properties xmlns="http://schemas.openxmlformats.org/officeDocument/2006/custom-properties" xmlns:vt="http://schemas.openxmlformats.org/officeDocument/2006/docPropsVTypes"/>
</file>