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b/>
          <w:bCs/>
          <w:color w:val="1E3A52"/>
          <w:sz w:val="26"/>
          <w:szCs w:val="26"/>
        </w:rPr>
        <w:t xml:space="preserve">GUIDA ALL'USO DEL SITO WEB</w:t>
      </w:r>
    </w:p>
    <w:p>
      <w:pPr>
        <w:spacing w:after="60"/>
        <w:jc w:val="center"/>
      </w:pPr>
      <w:r>
        <w:rPr>
          <w:i/>
          <w:iCs/>
          <w:color w:val="9A6B2E"/>
          <w:sz w:val="19"/>
          <w:szCs w:val="19"/>
        </w:rPr>
        <w:t xml:space="preserve">Pannello amministratore, Area Riservata Famiglie e funzionalità principali · per il personale che gestisce il sito</w:t>
      </w:r>
    </w:p>
    <w:p>
      <w:pPr>
        <w:spacing w:after="240"/>
        <w:jc w:val="center"/>
      </w:pPr>
      <w:r>
        <w:rPr>
          <w:color w:val="444444"/>
          <w:sz w:val="18"/>
          <w:szCs w:val="18"/>
        </w:rPr>
        <w:t xml:space="preserve">Redatta dall'Educatore M. Gaggiano — luglio 2026</w:t>
      </w:r>
    </w:p>
    <w:p>
      <w:pPr>
        <w:spacing w:after="120" w:before="220"/>
      </w:pPr>
      <w:r>
        <w:rPr>
          <w:b/>
          <w:bCs/>
          <w:color w:val="1E3A52"/>
          <w:sz w:val="22"/>
          <w:szCs w:val="22"/>
        </w:rPr>
        <w:t xml:space="preserve">1. Panoramica del sito</w:t>
      </w:r>
    </w:p>
    <w:p>
      <w:pPr>
        <w:spacing w:after="140"/>
      </w:pPr>
      <w:r>
        <w:rPr>
          <w:sz w:val="20"/>
          <w:szCs w:val="20"/>
        </w:rPr>
        <w:t xml:space="preserve">Il sito è accessibile all'indirizzo https://computeaching2-cell.github.io/convitto-costaggini/ (in attesa di migrazione a convitto.alberghierorieti.edu.it). Si compone di tre livelli di accesso: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00"/>
      </w:tblGrid>
      <w:tr>
        <w:tc>
          <w:tcPr>
            <w:tcW w:type="dxa" w:w="2400"/>
            <w:shd w:fill="F0EFE9" w:val="clear"/>
          </w:tcPr>
          <w:p>
            <w:r>
              <w:rPr>
                <w:b/>
                <w:bCs/>
                <w:sz w:val="18"/>
                <w:szCs w:val="18"/>
              </w:rPr>
              <w:t xml:space="preserve">Area</w:t>
            </w:r>
          </w:p>
        </w:tc>
        <w:tc>
          <w:tcPr>
            <w:tcW w:type="dxa" w:w="3600"/>
            <w:shd w:fill="F0EFE9" w:val="clear"/>
          </w:tcPr>
          <w:p>
            <w:r>
              <w:rPr>
                <w:b/>
                <w:bCs/>
                <w:sz w:val="18"/>
                <w:szCs w:val="18"/>
              </w:rPr>
              <w:t xml:space="preserve">URL</w:t>
            </w:r>
          </w:p>
        </w:tc>
        <w:tc>
          <w:tcPr>
            <w:tcW w:type="dxa" w:w="3700"/>
            <w:shd w:fill="F0EFE9" w:val="clear"/>
          </w:tcPr>
          <w:p>
            <w:r>
              <w:rPr>
                <w:b/>
                <w:bCs/>
                <w:sz w:val="18"/>
                <w:szCs w:val="18"/>
              </w:rPr>
              <w:t xml:space="preserve">Credenziali</w:t>
            </w:r>
          </w:p>
        </w:tc>
      </w:tr>
      <w:tr>
        <w:tc>
          <w:tcPr>
            <w:tcW w:type="dxa" w:w="2400"/>
          </w:tcPr>
          <w:p>
            <w:r>
              <w:rPr>
                <w:b w:val="false"/>
                <w:bCs w:val="false"/>
                <w:sz w:val="18"/>
                <w:szCs w:val="18"/>
              </w:rPr>
              <w:t xml:space="preserve">Sito pubblico</w:t>
            </w:r>
          </w:p>
        </w:tc>
        <w:tc>
          <w:tcPr>
            <w:tcW w:type="dxa" w:w="3600"/>
          </w:tcPr>
          <w:p>
            <w:r>
              <w:rPr>
                <w:b w:val="false"/>
                <w:bCs w:val="false"/>
                <w:sz w:val="18"/>
                <w:szCs w:val="18"/>
              </w:rPr>
              <w:t xml:space="preserve">convitto-costaggini/ (homepage)</w:t>
            </w:r>
          </w:p>
        </w:tc>
        <w:tc>
          <w:tcPr>
            <w:tcW w:type="dxa" w:w="3700"/>
          </w:tcPr>
          <w:p>
            <w:r>
              <w:rPr>
                <w:b w:val="false"/>
                <w:bCs w:val="false"/>
                <w:sz w:val="18"/>
                <w:szCs w:val="18"/>
              </w:rPr>
              <w:t xml:space="preserve">Nessuna</w:t>
            </w:r>
          </w:p>
        </w:tc>
      </w:tr>
      <w:tr>
        <w:tc>
          <w:tcPr>
            <w:tcW w:type="dxa" w:w="2400"/>
          </w:tcPr>
          <w:p>
            <w:r>
              <w:rPr>
                <w:b w:val="false"/>
                <w:bCs w:val="false"/>
                <w:sz w:val="18"/>
                <w:szCs w:val="18"/>
              </w:rPr>
              <w:t xml:space="preserve">Pannello admin</w:t>
            </w:r>
          </w:p>
        </w:tc>
        <w:tc>
          <w:tcPr>
            <w:tcW w:type="dxa" w:w="3600"/>
          </w:tcPr>
          <w:p>
            <w:r>
              <w:rPr>
                <w:b w:val="false"/>
                <w:bCs w:val="false"/>
                <w:sz w:val="18"/>
                <w:szCs w:val="18"/>
              </w:rPr>
              <w:t xml:space="preserve">admin.html</w:t>
            </w:r>
          </w:p>
        </w:tc>
        <w:tc>
          <w:tcPr>
            <w:tcW w:type="dxa" w:w="3700"/>
          </w:tcPr>
          <w:p>
            <w:r>
              <w:rPr>
                <w:b w:val="false"/>
                <w:bCs w:val="false"/>
                <w:sz w:val="18"/>
                <w:szCs w:val="18"/>
              </w:rPr>
              <w:t xml:space="preserve">Password amministratore</w:t>
            </w:r>
          </w:p>
        </w:tc>
      </w:tr>
      <w:tr>
        <w:tc>
          <w:tcPr>
            <w:tcW w:type="dxa" w:w="2400"/>
          </w:tcPr>
          <w:p>
            <w:r>
              <w:rPr>
                <w:b w:val="false"/>
                <w:bCs w:val="false"/>
                <w:sz w:val="18"/>
                <w:szCs w:val="18"/>
              </w:rPr>
              <w:t xml:space="preserve">Area famiglie</w:t>
            </w:r>
          </w:p>
        </w:tc>
        <w:tc>
          <w:tcPr>
            <w:tcW w:type="dxa" w:w="3600"/>
          </w:tcPr>
          <w:p>
            <w:r>
              <w:rPr>
                <w:b w:val="false"/>
                <w:bCs w:val="false"/>
                <w:sz w:val="18"/>
                <w:szCs w:val="18"/>
              </w:rPr>
              <w:t xml:space="preserve">area-riservata.html</w:t>
            </w:r>
          </w:p>
        </w:tc>
        <w:tc>
          <w:tcPr>
            <w:tcW w:type="dxa" w:w="3700"/>
          </w:tcPr>
          <w:p>
            <w:r>
              <w:rPr>
                <w:b w:val="false"/>
                <w:bCs w:val="false"/>
                <w:sz w:val="18"/>
                <w:szCs w:val="18"/>
              </w:rPr>
              <w:t xml:space="preserve">Email e password</w:t>
            </w:r>
          </w:p>
        </w:tc>
      </w:tr>
      <w:tr>
        <w:tc>
          <w:tcPr>
            <w:tcW w:type="dxa" w:w="2400"/>
          </w:tcPr>
          <w:p>
            <w:r>
              <w:rPr>
                <w:b w:val="false"/>
                <w:bCs w:val="false"/>
                <w:sz w:val="18"/>
                <w:szCs w:val="18"/>
              </w:rPr>
              <w:t xml:space="preserve">Richiesta accesso</w:t>
            </w:r>
          </w:p>
        </w:tc>
        <w:tc>
          <w:tcPr>
            <w:tcW w:type="dxa" w:w="3600"/>
          </w:tcPr>
          <w:p>
            <w:r>
              <w:rPr>
                <w:b w:val="false"/>
                <w:bCs w:val="false"/>
                <w:sz w:val="18"/>
                <w:szCs w:val="18"/>
              </w:rPr>
              <w:t xml:space="preserve">richiesta-accesso.html</w:t>
            </w:r>
          </w:p>
        </w:tc>
        <w:tc>
          <w:tcPr>
            <w:tcW w:type="dxa" w:w="3700"/>
          </w:tcPr>
          <w:p>
            <w:r>
              <w:rPr>
                <w:b w:val="false"/>
                <w:bCs w:val="false"/>
                <w:sz w:val="18"/>
                <w:szCs w:val="18"/>
              </w:rPr>
              <w:t xml:space="preserve">Nessuna (form pubblico)</w:t>
            </w:r>
          </w:p>
        </w:tc>
      </w:tr>
    </w:tbl>
    <w:p>
      <w:pPr>
        <w:spacing w:after="120" w:before="220"/>
      </w:pPr>
      <w:r>
        <w:rPr>
          <w:b/>
          <w:bCs/>
          <w:color w:val="1E3A52"/>
          <w:sz w:val="22"/>
          <w:szCs w:val="22"/>
        </w:rPr>
        <w:t xml:space="preserve">2. Pannello amministratore (admin.html)</w:t>
      </w:r>
    </w:p>
    <w:p>
      <w:pPr>
        <w:spacing w:after="140"/>
      </w:pPr>
      <w:r>
        <w:rPr>
          <w:sz w:val="20"/>
          <w:szCs w:val="20"/>
        </w:rPr>
        <w:t xml:space="preserve">Raggiungibile dal menu desktop (« Admin » in alto a destra), dal menu mobile (« Pannello Admin ») o aggiungendo /admin.html all'URL. L'accesso è protetto da autenticazione reale con verifica del ruolo di amministratore; il sistema blocca l'accesso dopo 3 tentativi errati per 60 secondi. Non condividere le credenziali.</w:t>
      </w:r>
    </w:p>
    <w:p>
      <w:pPr>
        <w:spacing w:after="100" w:before="200"/>
      </w:pPr>
      <w:r>
        <w:rPr>
          <w:b/>
          <w:bCs/>
          <w:color w:val="9A6B2E"/>
          <w:sz w:val="20"/>
          <w:szCs w:val="20"/>
        </w:rPr>
        <w:t xml:space="preserve">TAB NOTIZIE</w:t>
      </w:r>
    </w:p>
    <w:p>
      <w:pPr>
        <w:spacing w:after="140"/>
      </w:pPr>
      <w:r>
        <w:rPr>
          <w:sz w:val="20"/>
          <w:szCs w:val="20"/>
        </w:rPr>
        <w:t xml:space="preserve">Gestisce i contenuti di notizie.html. Cliccare « + Nuova », compilare titolo, testo e categoria, quindi « Salva »: i contenuti appaiono immediatamente sul sito e restano modificabili. Le prime tre notizie pubblicate appaiono anche in homepage.</w:t>
      </w:r>
    </w:p>
    <w:p>
      <w:pPr>
        <w:spacing w:after="100" w:before="200"/>
      </w:pPr>
      <w:r>
        <w:rPr>
          <w:b/>
          <w:bCs/>
          <w:color w:val="9A6B2E"/>
          <w:sz w:val="20"/>
          <w:szCs w:val="20"/>
        </w:rPr>
        <w:t xml:space="preserve">TAB COMUNICATI</w:t>
      </w:r>
    </w:p>
    <w:p>
      <w:pPr>
        <w:spacing w:after="140"/>
      </w:pPr>
      <w:r>
        <w:rPr>
          <w:sz w:val="20"/>
          <w:szCs w:val="20"/>
        </w:rPr>
        <w:t xml:space="preserve">Gestisce gli avvisi pubblicati sul sito (il pulsante del pannello si chiama « Comunicati »; internamente il codice usa ancora il nome storico « avvisi »). Stessa logica della tab Notizie: ogni comunicato può avere categoria (informativo, urgente), essere messo in evidenza e avere una data di scadenza.</w:t>
      </w:r>
    </w:p>
    <w:p>
      <w:pPr>
        <w:spacing w:after="100" w:before="200"/>
      </w:pPr>
      <w:r>
        <w:rPr>
          <w:b/>
          <w:bCs/>
          <w:color w:val="9A6B2E"/>
          <w:sz w:val="20"/>
          <w:szCs w:val="20"/>
        </w:rPr>
        <w:t xml:space="preserve">TAB EVENTI</w:t>
      </w:r>
    </w:p>
    <w:p>
      <w:pPr>
        <w:spacing w:after="140"/>
      </w:pPr>
      <w:r>
        <w:rPr>
          <w:sz w:val="20"/>
          <w:szCs w:val="20"/>
        </w:rPr>
        <w:t xml:space="preserve">Gestisce il calendario eventi. Cliccare « + Nuovo evento », inserire data, categoria (istituzionale, Open Day, festa, musica, sport, uscita) e titolo, quindi « Salva »: l'evento appare nel calendario pubblico ed è esportabile in formato iCal.</w:t>
      </w:r>
    </w:p>
    <w:p>
      <w:pPr>
        <w:spacing w:after="100" w:before="200"/>
      </w:pPr>
      <w:r>
        <w:rPr>
          <w:b/>
          <w:bCs/>
          <w:color w:val="9A6B2E"/>
          <w:sz w:val="20"/>
          <w:szCs w:val="20"/>
        </w:rPr>
        <w:t xml:space="preserve">TAB ALUMNI — MODERAZIONE</w:t>
      </w:r>
    </w:p>
    <w:p>
      <w:pPr>
        <w:spacing w:after="140"/>
      </w:pPr>
      <w:r>
        <w:rPr>
          <w:sz w:val="20"/>
          <w:szCs w:val="20"/>
        </w:rPr>
        <w:t xml:space="preserve">Le schede inviate dal form pubblico arrivano in stato « in attesa » e non appaiono sul sito finché l'amministratore non clicca « Approva »; con « Rifiuta » la scheda viene eliminata.</w:t>
      </w:r>
    </w:p>
    <w:p>
      <w:pPr>
        <w:spacing w:after="100" w:before="200"/>
      </w:pPr>
      <w:r>
        <w:rPr>
          <w:b/>
          <w:bCs/>
          <w:color w:val="9A6B2E"/>
          <w:sz w:val="20"/>
          <w:szCs w:val="20"/>
        </w:rPr>
        <w:t xml:space="preserve">TAB RICORDI — MODERAZIONE</w:t>
      </w:r>
    </w:p>
    <w:p>
      <w:pPr>
        <w:spacing w:after="140"/>
      </w:pPr>
      <w:r>
        <w:rPr>
          <w:sz w:val="20"/>
          <w:szCs w:val="20"/>
        </w:rPr>
        <w:t xml:space="preserve">I ricordi inviati dai visitatori del Muro dei Ricordi arrivano con stato non approvato. I pulsanti « In attesa », « Approvati » e « Tutti » filtrano l'elenco; approvando, il ricordo appare sul Muro dei Ricordi pubblico.</w:t>
      </w:r>
    </w:p>
    <w:p>
      <w:pPr>
        <w:spacing w:after="100" w:before="200"/>
      </w:pPr>
      <w:r>
        <w:rPr>
          <w:b/>
          <w:bCs/>
          <w:color w:val="9A6B2E"/>
          <w:sz w:val="20"/>
          <w:szCs w:val="20"/>
        </w:rPr>
        <w:t xml:space="preserve">TAB MAPPA — MODERAZIONE SEGNAPOSTO</w:t>
      </w:r>
    </w:p>
    <w:p>
      <w:pPr>
        <w:spacing w:after="140"/>
      </w:pPr>
      <w:r>
        <w:rPr>
          <w:sz w:val="20"/>
          <w:szCs w:val="20"/>
        </w:rPr>
        <w:t xml:space="preserve">Quando un visitatore aggiunge il proprio segnaposto dalla pagina « Il Costaggini nel Mondo », la richiesta arriva qui non approvata. Approvando, il segnaposto appare sulla mappa pubblica; rifiutando viene eliminato. La sezione mostra anche l'elenco dei segnaposto già approvati.</w:t>
      </w:r>
    </w:p>
    <w:p>
      <w:pPr>
        <w:spacing w:after="100" w:before="200"/>
      </w:pPr>
      <w:r>
        <w:rPr>
          <w:b/>
          <w:bCs/>
          <w:color w:val="9A6B2E"/>
          <w:sz w:val="20"/>
          <w:szCs w:val="20"/>
        </w:rPr>
        <w:t xml:space="preserve">TAB OPEN DAY — PRENOTAZIONI</w:t>
      </w:r>
    </w:p>
    <w:p>
      <w:pPr>
        <w:spacing w:after="140"/>
      </w:pPr>
      <w:r>
        <w:rPr>
          <w:sz w:val="20"/>
          <w:szCs w:val="20"/>
        </w:rPr>
        <w:t xml:space="preserve">Raccoglie le richieste di visita guidata inviate tramite il form della pagina Open Day. I filtri « Nuove », « Confermate », « Annullate » e « Tutte » permettono di seguire lo stato di ciascuna prenotazione.</w:t>
      </w:r>
    </w:p>
    <w:p>
      <w:pPr>
        <w:spacing w:after="100" w:before="200"/>
      </w:pPr>
      <w:r>
        <w:rPr>
          <w:b/>
          <w:bCs/>
          <w:color w:val="9A6B2E"/>
          <w:sz w:val="20"/>
          <w:szCs w:val="20"/>
        </w:rPr>
        <w:t xml:space="preserve">TAB LABORATORIO MUSICALE — ISCRIZIONI</w:t>
      </w:r>
    </w:p>
    <w:p>
      <w:pPr>
        <w:spacing w:after="140"/>
      </w:pPr>
      <w:r>
        <w:rPr>
          <w:sz w:val="20"/>
          <w:szCs w:val="20"/>
        </w:rPr>
        <w:t xml:space="preserve">Raccoglie le richieste di iscrizione ricevute tramite il form della pagina Laboratorio Musicale. Il pulsante « Aggiorna » ricarica l'elenco; « Esporta CSV » scarica i dati per uso interno.</w:t>
      </w:r>
    </w:p>
    <w:p>
      <w:pPr>
        <w:spacing w:after="100" w:before="200"/>
      </w:pPr>
      <w:r>
        <w:rPr>
          <w:b/>
          <w:bCs/>
          <w:color w:val="9A6B2E"/>
          <w:sz w:val="20"/>
          <w:szCs w:val="20"/>
        </w:rPr>
        <w:t xml:space="preserve">TAB FAMIGLIE — APPROVAZIONE ACCESSI</w:t>
      </w:r>
    </w:p>
    <w:p>
      <w:pPr>
        <w:spacing w:after="140"/>
      </w:pPr>
      <w:r>
        <w:rPr>
          <w:sz w:val="20"/>
          <w:szCs w:val="20"/>
        </w:rPr>
        <w:t xml:space="preserve">È il pannello più importante per l'Area Riservata. Il badge rosso indica le richieste in attesa. Verificare nome studente, email e relazione del richiedente, inserire un'eventuale nota e cliccare « Approva »: il sistema crea l'account del genitore, collega genitore e studente e invia un'email di conferma. Verificare sempre che il nome dello studente corrisponda a un convittore realmente iscritto prima di approvare.</w:t>
      </w:r>
    </w:p>
    <w:p>
      <w:pPr>
        <w:spacing w:after="120" w:before="220"/>
      </w:pPr>
      <w:r>
        <w:rPr>
          <w:b/>
          <w:bCs/>
          <w:color w:val="1E3A52"/>
          <w:sz w:val="22"/>
          <w:szCs w:val="22"/>
        </w:rPr>
        <w:t xml:space="preserve">3. Area Riservata Famiglie</w:t>
      </w:r>
    </w:p>
    <w:p>
      <w:pPr>
        <w:spacing w:after="140"/>
      </w:pPr>
      <w:r>
        <w:rPr>
          <w:sz w:val="20"/>
          <w:szCs w:val="20"/>
        </w:rPr>
        <w:t xml:space="preserve">Il genitore richiede l'accesso da « Servizi → Per i Genitori » (o dal pulsante « Famiglie »), compilando nome studente, relazione, email e password; dopo l'approvazione riceve un'email di conferma e accede. Nella dashboard vede, per l'anno scolastico corrente: presenze ai pasti, valutazioni giornaliere (camera e studio guidato), note degli educatori, colloqui, comunicazioni formali. I dati si aggiornano automaticamente, con pochi secondi di ritardo, ogni volta che il personale salva una registrazione nel gestionale. La reimpostazione della password avviene tramite un link inviato via email, valido 60 minuti.</w:t>
      </w:r>
    </w:p>
    <w:p>
      <w:pPr>
        <w:spacing w:after="120" w:before="220"/>
      </w:pPr>
      <w:r>
        <w:rPr>
          <w:b/>
          <w:bCs/>
          <w:color w:val="1E3A52"/>
          <w:sz w:val="22"/>
          <w:szCs w:val="22"/>
        </w:rPr>
        <w:t xml:space="preserve">4. Assistente virtuale (chatbot)</w:t>
      </w:r>
    </w:p>
    <w:p>
      <w:pPr>
        <w:spacing w:after="140"/>
      </w:pPr>
      <w:r>
        <w:rPr>
          <w:sz w:val="20"/>
          <w:szCs w:val="20"/>
        </w:rPr>
        <w:t xml:space="preserve">Attivo su tutte le pagine, si apre dal pulsante in basso a destra. Funziona interamente in locale (file assistente.js): nessun dato è inviato a servizi esterni. Risponde a domande su contatti e orari, iscrizioni e rette, camere e pasti, educatori e regolamento, weekend e rientri, DSA/BES e salute, Area Riservata Famiglie. Per aggiornarlo, contattare l'Educatore M. Gaggiano.</w:t>
      </w:r>
    </w:p>
    <w:p>
      <w:pPr>
        <w:spacing w:after="120" w:before="220"/>
      </w:pPr>
      <w:r>
        <w:rPr>
          <w:b/>
          <w:bCs/>
          <w:color w:val="1E3A52"/>
          <w:sz w:val="22"/>
          <w:szCs w:val="22"/>
        </w:rPr>
        <w:t xml:space="preserve">5. Sincronizzazione gestionale → sito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100"/>
      </w:tblGrid>
      <w:tr>
        <w:tc>
          <w:tcPr>
            <w:tcW w:type="dxa" w:w="3300"/>
            <w:shd w:fill="F0EFE9" w:val="clear"/>
          </w:tcPr>
          <w:p>
            <w:r>
              <w:rPr>
                <w:b/>
                <w:bCs/>
                <w:sz w:val="18"/>
                <w:szCs w:val="18"/>
              </w:rPr>
              <w:t xml:space="preserve">Azione nel gestionale</w:t>
            </w:r>
          </w:p>
        </w:tc>
        <w:tc>
          <w:tcPr>
            <w:tcW w:type="dxa" w:w="3300"/>
            <w:shd w:fill="F0EFE9" w:val="clear"/>
          </w:tcPr>
          <w:p>
            <w:r>
              <w:rPr>
                <w:b/>
                <w:bCs/>
                <w:sz w:val="18"/>
                <w:szCs w:val="18"/>
              </w:rPr>
              <w:t xml:space="preserve">Effetto sul sito</w:t>
            </w:r>
          </w:p>
        </w:tc>
        <w:tc>
          <w:tcPr>
            <w:tcW w:type="dxa" w:w="3100"/>
            <w:shd w:fill="F0EFE9" w:val="clear"/>
          </w:tcPr>
          <w:p>
            <w:r>
              <w:rPr>
                <w:b/>
                <w:bCs/>
                <w:sz w:val="18"/>
                <w:szCs w:val="18"/>
              </w:rPr>
              <w:t xml:space="preserve">Automatico?</w:t>
            </w:r>
          </w:p>
        </w:tc>
      </w:tr>
      <w:tr>
        <w:tc>
          <w:tcPr>
            <w:tcW w:type="dxa" w:w="3300"/>
          </w:tcPr>
          <w:p>
            <w:r>
              <w:rPr>
                <w:b w:val="false"/>
                <w:bCs w:val="false"/>
                <w:sz w:val="18"/>
                <w:szCs w:val="18"/>
              </w:rPr>
              <w:t xml:space="preserve">Salvataggio presenze giornaliere</w:t>
            </w:r>
          </w:p>
        </w:tc>
        <w:tc>
          <w:tcPr>
            <w:tcW w:type="dxa" w:w="3300"/>
          </w:tcPr>
          <w:p>
            <w:r>
              <w:rPr>
                <w:b w:val="false"/>
                <w:bCs w:val="false"/>
                <w:sz w:val="18"/>
                <w:szCs w:val="18"/>
              </w:rPr>
              <w:t xml:space="preserve">Presenze pubblicate</w:t>
            </w:r>
          </w:p>
        </w:tc>
        <w:tc>
          <w:tcPr>
            <w:tcW w:type="dxa" w:w="3100"/>
          </w:tcPr>
          <w:p>
            <w:r>
              <w:rPr>
                <w:b w:val="false"/>
                <w:bCs w:val="false"/>
                <w:sz w:val="18"/>
                <w:szCs w:val="18"/>
              </w:rPr>
              <w:t xml:space="preserve">Sì</w:t>
            </w:r>
          </w:p>
        </w:tc>
      </w:tr>
      <w:tr>
        <w:tc>
          <w:tcPr>
            <w:tcW w:type="dxa" w:w="3300"/>
          </w:tcPr>
          <w:p>
            <w:r>
              <w:rPr>
                <w:b w:val="false"/>
                <w:bCs w:val="false"/>
                <w:sz w:val="18"/>
                <w:szCs w:val="18"/>
              </w:rPr>
              <w:t xml:space="preserve">Registrazione colloquio</w:t>
            </w:r>
          </w:p>
        </w:tc>
        <w:tc>
          <w:tcPr>
            <w:tcW w:type="dxa" w:w="3300"/>
          </w:tcPr>
          <w:p>
            <w:r>
              <w:rPr>
                <w:b w:val="false"/>
                <w:bCs w:val="false"/>
                <w:sz w:val="18"/>
                <w:szCs w:val="18"/>
              </w:rPr>
              <w:t xml:space="preserve">Colloquio pubblicato</w:t>
            </w:r>
          </w:p>
        </w:tc>
        <w:tc>
          <w:tcPr>
            <w:tcW w:type="dxa" w:w="3100"/>
          </w:tcPr>
          <w:p>
            <w:r>
              <w:rPr>
                <w:b w:val="false"/>
                <w:bCs w:val="false"/>
                <w:sz w:val="18"/>
                <w:szCs w:val="18"/>
              </w:rPr>
              <w:t xml:space="preserve">Sì</w:t>
            </w:r>
          </w:p>
        </w:tc>
      </w:tr>
      <w:tr>
        <w:tc>
          <w:tcPr>
            <w:tcW w:type="dxa" w:w="3300"/>
          </w:tcPr>
          <w:p>
            <w:r>
              <w:rPr>
                <w:b w:val="false"/>
                <w:bCs w:val="false"/>
                <w:sz w:val="18"/>
                <w:szCs w:val="18"/>
              </w:rPr>
              <w:t xml:space="preserve">Invio relazione disciplinare</w:t>
            </w:r>
          </w:p>
        </w:tc>
        <w:tc>
          <w:tcPr>
            <w:tcW w:type="dxa" w:w="3300"/>
          </w:tcPr>
          <w:p>
            <w:r>
              <w:rPr>
                <w:b w:val="false"/>
                <w:bCs w:val="false"/>
                <w:sz w:val="18"/>
                <w:szCs w:val="18"/>
              </w:rPr>
              <w:t xml:space="preserve">Relazione pubblicata</w:t>
            </w:r>
          </w:p>
        </w:tc>
        <w:tc>
          <w:tcPr>
            <w:tcW w:type="dxa" w:w="3100"/>
          </w:tcPr>
          <w:p>
            <w:r>
              <w:rPr>
                <w:b w:val="false"/>
                <w:bCs w:val="false"/>
                <w:sz w:val="18"/>
                <w:szCs w:val="18"/>
              </w:rPr>
              <w:t xml:space="preserve">Sì</w:t>
            </w:r>
          </w:p>
        </w:tc>
      </w:tr>
    </w:tbl>
    <w:p>
      <w:pPr>
        <w:spacing w:after="140"/>
      </w:pPr>
      <w:r>
        <w:rPr>
          <w:sz w:val="20"/>
          <w:szCs w:val="20"/>
        </w:rPr>
        <w:t xml:space="preserve">Se la sincronizzazione automatica non avvenisse, è possibile forzarla eseguendo la funzione eseguiSyncCompleto() nel file ModuloFamiglie del progetto Google Apps Script.</w:t>
      </w:r>
    </w:p>
    <w:p>
      <w:pPr>
        <w:spacing w:after="120" w:before="220"/>
      </w:pPr>
      <w:r>
        <w:rPr>
          <w:b/>
          <w:bCs/>
          <w:color w:val="1E3A52"/>
          <w:sz w:val="22"/>
          <w:szCs w:val="22"/>
        </w:rPr>
        <w:t xml:space="preserve">6. Manutenzione ordinaria</w:t>
      </w:r>
    </w:p>
    <w:p>
      <w:pPr>
        <w:spacing w:after="70"/>
        <w:ind w:left="431" w:hanging="288"/>
      </w:pPr>
      <w:r>
        <w:rPr>
          <w:sz w:val="20"/>
          <w:szCs w:val="20"/>
        </w:rPr>
        <w:t xml:space="preserve">• Settimanale/mensile: notizie e avvisi; approvazione delle richieste di accesso delle famiglie; verifica del funzionamento del chatbot.</w:t>
      </w:r>
    </w:p>
    <w:p>
      <w:pPr>
        <w:spacing w:after="70"/>
        <w:ind w:left="431" w:hanging="288"/>
      </w:pPr>
      <w:r>
        <w:rPr>
          <w:sz w:val="20"/>
          <w:szCs w:val="20"/>
        </w:rPr>
        <w:t xml:space="preserve">• Ogni settembre: eseguire puliziaAnnualeSupabase() e poi eseguiSyncCompleto(); verificare i contenuti stagionali (calendario eventi, Open Day).</w:t>
      </w:r>
    </w:p>
    <w:p>
      <w:pPr>
        <w:spacing w:after="70"/>
        <w:ind w:left="431" w:hanging="288"/>
      </w:pPr>
      <w:r>
        <w:rPr>
          <w:sz w:val="20"/>
          <w:szCs w:val="20"/>
        </w:rPr>
        <w:t xml:space="preserve">• Entro il 23 settembre: aggiornamento della Dichiarazione di Accessibilità AGID su form.agid.gov.it.</w:t>
      </w:r>
    </w:p>
    <w:p>
      <w:pPr>
        <w:spacing w:after="120" w:before="220"/>
      </w:pPr>
      <w:r>
        <w:rPr>
          <w:b/>
          <w:bCs/>
          <w:color w:val="1E3A52"/>
          <w:sz w:val="22"/>
          <w:szCs w:val="22"/>
        </w:rPr>
        <w:t xml:space="preserve">7. Riferimenti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shd w:fill="F0EFE9" w:val="clear"/>
          </w:tcPr>
          <w:p>
            <w:r>
              <w:rPr>
                <w:b/>
                <w:bCs/>
                <w:sz w:val="18"/>
                <w:szCs w:val="18"/>
              </w:rPr>
              <w:t xml:space="preserve">Risorsa</w:t>
            </w:r>
          </w:p>
        </w:tc>
        <w:tc>
          <w:tcPr>
            <w:tcW w:type="dxa" w:w="6900"/>
            <w:shd w:fill="F0EFE9" w:val="clear"/>
          </w:tcPr>
          <w:p>
            <w:r>
              <w:rPr>
                <w:b/>
                <w:bCs/>
                <w:sz w:val="18"/>
                <w:szCs w:val="18"/>
              </w:rPr>
              <w:t xml:space="preserve">Riferimento</w:t>
            </w:r>
          </w:p>
        </w:tc>
      </w:tr>
      <w:tr>
        <w:tc>
          <w:tcPr>
            <w:tcW w:type="dxa" w:w="2800"/>
          </w:tcPr>
          <w:p>
            <w:r>
              <w:rPr>
                <w:b w:val="false"/>
                <w:bCs w:val="false"/>
                <w:sz w:val="18"/>
                <w:szCs w:val="18"/>
              </w:rPr>
              <w:t xml:space="preserve">Sito (staging)</w:t>
            </w:r>
          </w:p>
        </w:tc>
        <w:tc>
          <w:tcPr>
            <w:tcW w:type="dxa" w:w="6900"/>
          </w:tcPr>
          <w:p>
            <w:r>
              <w:rPr>
                <w:b w:val="false"/>
                <w:bCs w:val="false"/>
                <w:sz w:val="18"/>
                <w:szCs w:val="18"/>
              </w:rPr>
              <w:t xml:space="preserve">https://computeaching2-cell.github.io/convitto-costaggini/</w:t>
            </w:r>
          </w:p>
        </w:tc>
      </w:tr>
      <w:tr>
        <w:tc>
          <w:tcPr>
            <w:tcW w:type="dxa" w:w="2800"/>
          </w:tcPr>
          <w:p>
            <w:r>
              <w:rPr>
                <w:b w:val="false"/>
                <w:bCs w:val="false"/>
                <w:sz w:val="18"/>
                <w:szCs w:val="18"/>
              </w:rPr>
              <w:t xml:space="preserve">Pannello admin</w:t>
            </w:r>
          </w:p>
        </w:tc>
        <w:tc>
          <w:tcPr>
            <w:tcW w:type="dxa" w:w="6900"/>
          </w:tcPr>
          <w:p>
            <w:r>
              <w:rPr>
                <w:b w:val="false"/>
                <w:bCs w:val="false"/>
                <w:sz w:val="18"/>
                <w:szCs w:val="18"/>
              </w:rPr>
              <w:t xml:space="preserve">URL sito + /admin.html</w:t>
            </w:r>
          </w:p>
        </w:tc>
      </w:tr>
      <w:tr>
        <w:tc>
          <w:tcPr>
            <w:tcW w:type="dxa" w:w="2800"/>
          </w:tcPr>
          <w:p>
            <w:r>
              <w:rPr>
                <w:b w:val="false"/>
                <w:bCs w:val="false"/>
                <w:sz w:val="18"/>
                <w:szCs w:val="18"/>
              </w:rPr>
              <w:t xml:space="preserve">Repository GitHub</w:t>
            </w:r>
          </w:p>
        </w:tc>
        <w:tc>
          <w:tcPr>
            <w:tcW w:type="dxa" w:w="6900"/>
          </w:tcPr>
          <w:p>
            <w:r>
              <w:rPr>
                <w:b w:val="false"/>
                <w:bCs w:val="false"/>
                <w:sz w:val="18"/>
                <w:szCs w:val="18"/>
              </w:rPr>
              <w:t xml:space="preserve">github.com/computeaching2-cell/convitto-costaggini</w:t>
            </w:r>
          </w:p>
        </w:tc>
      </w:tr>
      <w:tr>
        <w:tc>
          <w:tcPr>
            <w:tcW w:type="dxa" w:w="2800"/>
          </w:tcPr>
          <w:p>
            <w:r>
              <w:rPr>
                <w:b w:val="false"/>
                <w:bCs w:val="false"/>
                <w:sz w:val="18"/>
                <w:szCs w:val="18"/>
              </w:rPr>
              <w:t xml:space="preserve">Base dati</w:t>
            </w:r>
          </w:p>
        </w:tc>
        <w:tc>
          <w:tcPr>
            <w:tcW w:type="dxa" w:w="6900"/>
          </w:tcPr>
          <w:p>
            <w:r>
              <w:rPr>
                <w:b w:val="false"/>
                <w:bCs w:val="false"/>
                <w:sz w:val="18"/>
                <w:szCs w:val="18"/>
              </w:rPr>
              <w:t xml:space="preserve">Supabase (server UE, Francoforte)</w:t>
            </w:r>
          </w:p>
        </w:tc>
      </w:tr>
      <w:tr>
        <w:tc>
          <w:tcPr>
            <w:tcW w:type="dxa" w:w="2800"/>
          </w:tcPr>
          <w:p>
            <w:r>
              <w:rPr>
                <w:b w:val="false"/>
                <w:bCs w:val="false"/>
                <w:sz w:val="18"/>
                <w:szCs w:val="18"/>
              </w:rPr>
              <w:t xml:space="preserve">Gestionale</w:t>
            </w:r>
          </w:p>
        </w:tc>
        <w:tc>
          <w:tcPr>
            <w:tcW w:type="dxa" w:w="6900"/>
          </w:tcPr>
          <w:p>
            <w:r>
              <w:rPr>
                <w:b w:val="false"/>
                <w:bCs w:val="false"/>
                <w:sz w:val="18"/>
                <w:szCs w:val="18"/>
              </w:rPr>
              <w:t xml:space="preserve">Progetto « Gestionale Convitto » su Google Apps Script</w:t>
            </w:r>
          </w:p>
        </w:tc>
      </w:tr>
      <w:tr>
        <w:tc>
          <w:tcPr>
            <w:tcW w:type="dxa" w:w="2800"/>
          </w:tcPr>
          <w:p>
            <w:r>
              <w:rPr>
                <w:b w:val="false"/>
                <w:bCs w:val="false"/>
                <w:sz w:val="18"/>
                <w:szCs w:val="18"/>
              </w:rPr>
              <w:t xml:space="preserve">Portale AGID Accessibilità</w:t>
            </w:r>
          </w:p>
        </w:tc>
        <w:tc>
          <w:tcPr>
            <w:tcW w:type="dxa" w:w="6900"/>
          </w:tcPr>
          <w:p>
            <w:r>
              <w:rPr>
                <w:b w:val="false"/>
                <w:bCs w:val="false"/>
                <w:sz w:val="18"/>
                <w:szCs w:val="18"/>
              </w:rPr>
              <w:t xml:space="preserve">https://form.agid.gov.it</w:t>
            </w:r>
          </w:p>
        </w:tc>
      </w:tr>
      <w:tr>
        <w:tc>
          <w:tcPr>
            <w:tcW w:type="dxa" w:w="2800"/>
          </w:tcPr>
          <w:p>
            <w:r>
              <w:rPr>
                <w:b w:val="false"/>
                <w:bCs w:val="false"/>
                <w:sz w:val="18"/>
                <w:szCs w:val="18"/>
              </w:rPr>
              <w:t xml:space="preserve">Curato da</w:t>
            </w:r>
          </w:p>
        </w:tc>
        <w:tc>
          <w:tcPr>
            <w:tcW w:type="dxa" w:w="6900"/>
          </w:tcPr>
          <w:p>
            <w:r>
              <w:rPr>
                <w:b w:val="false"/>
                <w:bCs w:val="false"/>
                <w:sz w:val="18"/>
                <w:szCs w:val="18"/>
              </w:rPr>
              <w:t xml:space="preserve">Educatore M. Gaggiano — michele.gaggiano@alberghierorieti.it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4"/>
      </w:pBdr>
      <w:jc w:val="center"/>
    </w:pPr>
    <w:r>
      <w:rPr>
        <w:i/>
        <w:iCs/>
        <w:sz w:val="14"/>
        <w:szCs w:val="14"/>
      </w:rPr>
      <w:t xml:space="preserve">Documento riservato — per il personale che gestisce il sito   Pag. </w:t>
    </w:r>
    <w:r>
      <w:rPr>
        <w:i/>
        <w:iCs/>
        <w:sz w:val="14"/>
        <w:szCs w:val="14"/>
      </w:rPr>
      <w:fldChar w:fldCharType="begin"/>
      <w:instrText xml:space="preserve">PAGE</w:instrText>
      <w:fldChar w:fldCharType="separate"/>
      <w:fldChar w:fldCharType="end"/>
    </w:r>
    <w:r>
      <w:rPr>
        <w:i/>
        <w:iCs/>
        <w:sz w:val="14"/>
        <w:szCs w:val="14"/>
      </w:rPr>
      <w:t xml:space="preserve"> di </w:t>
    </w:r>
    <w:r>
      <w:rPr>
        <w:i/>
        <w:iCs/>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jc w:val="center"/>
    </w:pPr>
    <w:r>
      <w:rPr>
        <w:b/>
        <w:bCs/>
        <w:sz w:val="15"/>
        <w:szCs w:val="15"/>
      </w:rPr>
      <w:t xml:space="preserve">ISTITUTO PROFESSIONALE DI STATO — SERVIZI PER L’ENOGASTRONOMIA E L’OSPITALITÀ ALBERGHIERA</w:t>
    </w:r>
  </w:p>
  <w:p>
    <w:pPr>
      <w:spacing w:after="20"/>
      <w:jc w:val="center"/>
    </w:pPr>
    <w:r>
      <w:rPr>
        <w:sz w:val="15"/>
        <w:szCs w:val="15"/>
      </w:rPr>
      <w:t xml:space="preserve">« R. A. COSTAGGINI » — RIETI · Convitto Annesso</w:t>
    </w:r>
  </w:p>
  <w:p>
    <w:pPr>
      <w:spacing w:after="20"/>
      <w:jc w:val="center"/>
    </w:pPr>
    <w:r>
      <w:rPr>
        <w:sz w:val="14"/>
        <w:szCs w:val="14"/>
      </w:rPr>
      <w:t xml:space="preserve">Via dei Salici, 62 – 02100 Rieti (RI) · C.F. 80008130579 · Cod. mecc. RIRH010007</w:t>
    </w:r>
  </w:p>
  <w:p>
    <w:pPr>
      <w:pBdr>
        <w:bottom w:val="single" w:color="999999" w:sz="6" w:space="4"/>
      </w:pBdr>
      <w:spacing w:after="120"/>
      <w:jc w:val="center"/>
    </w:pPr>
    <w:r>
      <w:rPr>
        <w:sz w:val="14"/>
        <w:szCs w:val="14"/>
      </w:rPr>
      <w:t xml:space="preserve">E-mail: rirh010007@istruzione.it · PEC: rirh010007@pec.istruzione.it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2026-07-06T18:42:34.180Z</dcterms:created>
  <dcterms:modified xsi:type="dcterms:W3CDTF">2026-07-06T18:42:34.180Z</dcterms:modified>
</cp:coreProperties>
</file>

<file path=docProps/custom.xml><?xml version="1.0" encoding="utf-8"?>
<Properties xmlns="http://schemas.openxmlformats.org/officeDocument/2006/custom-properties" xmlns:vt="http://schemas.openxmlformats.org/officeDocument/2006/docPropsVTypes"/>
</file>