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color w:val="2C3E2D"/>
          <w:sz w:val="22"/>
          <w:szCs w:val="22"/>
        </w:rPr>
        <w:t xml:space="preserve">IPSSEOA "R. A. Costaggini" — Rieti</w:t>
      </w:r>
    </w:p>
    <w:p>
      <w:pPr>
        <w:pBdr>
          <w:bottom w:val="single" w:color="2C3E2D" w:sz="4" w:space="1"/>
        </w:pBdr>
        <w:spacing w:after="0" w:before="0"/>
        <w:jc w:val="center"/>
      </w:pPr>
      <w:r>
        <w:rPr>
          <w:i/>
          <w:iCs/>
          <w:color w:val="888888"/>
          <w:sz w:val="16"/>
          <w:szCs w:val="16"/>
        </w:rPr>
        <w:t xml:space="preserve">Documento riservato — Ad uso esclusivo del Dirigente Scolastico</w:t>
      </w:r>
    </w:p>
    <w:p>
      <w:pPr>
        <w:spacing w:after="120" w:before="0"/>
      </w:pPr>
    </w:p>
    <w:p>
      <w:pPr>
        <w:spacing w:after="80" w:before="0"/>
        <w:jc w:val="center"/>
      </w:pPr>
      <w:r>
        <w:rPr>
          <w:b/>
          <w:bCs/>
          <w:color w:val="2C3E2D"/>
          <w:sz w:val="32"/>
          <w:szCs w:val="32"/>
        </w:rPr>
        <w:t xml:space="preserve">ATTO DI INCARICO</w:t>
      </w:r>
    </w:p>
    <w:p>
      <w:pPr>
        <w:spacing w:after="60" w:before="0"/>
        <w:jc w:val="center"/>
      </w:pPr>
      <w:r>
        <w:rPr>
          <w:i/>
          <w:iCs/>
          <w:color w:val="B8922A"/>
          <w:sz w:val="22"/>
          <w:szCs w:val="22"/>
        </w:rPr>
        <w:t xml:space="preserve">Responsabile Tecnico del Sito Web e dell’Applicativo Gestionale</w:t>
      </w:r>
    </w:p>
    <w:p>
      <w:pPr>
        <w:spacing w:after="60" w:before="0"/>
        <w:jc w:val="center"/>
      </w:pPr>
      <w:r>
        <w:rPr>
          <w:i/>
          <w:iCs/>
          <w:color w:val="666666"/>
          <w:sz w:val="17"/>
          <w:szCs w:val="17"/>
        </w:rPr>
        <w:t xml:space="preserve">A.S. 2024/2025 — 2025/2026</w:t>
      </w:r>
    </w:p>
    <w:p>
      <w:pPr>
        <w:spacing w:after="400" w:before="0"/>
        <w:jc w:val="center"/>
      </w:pPr>
      <w:r>
        <w:rPr>
          <w:color w:val="999999"/>
          <w:sz w:val="16"/>
          <w:szCs w:val="16"/>
        </w:rPr>
        <w:t xml:space="preserve">Redatto da Michele Gaggiano — Responsabile Tecnico — 29 Maggio 2026</w:t>
      </w:r>
    </w:p>
    <w:p>
      <w:pPr>
        <w:pStyle w:val="Heading1"/>
        <w:spacing w:after="160" w:before="360"/>
      </w:pPr>
      <w:r>
        <w:rPr>
          <w:b/>
          <w:bCs/>
          <w:color w:val="2C3E2D"/>
          <w:sz w:val="28"/>
          <w:szCs w:val="28"/>
        </w:rPr>
        <w:t xml:space="preserve">PREMESSA</w:t>
      </w:r>
    </w:p>
    <w:p>
      <w:pPr>
        <w:spacing w:after="80" w:before="80"/>
        <w:jc w:val="both"/>
      </w:pPr>
      <w:r>
        <w:rPr>
          <w:b w:val="false"/>
          <w:bCs w:val="false"/>
          <w:i w:val="false"/>
          <w:iCs w:val="false"/>
          <w:color w:val="000000"/>
          <w:sz w:val="22"/>
          <w:szCs w:val="22"/>
        </w:rPr>
        <w:t xml:space="preserve">Il Dirigente Scolastico dell’IPSSEOA “R. A. Costaggini” di Rieti, Prof. Giovanni Luca Barbonetti (in reggenza),</w:t>
      </w:r>
    </w:p>
    <w:p>
      <w:pPr>
        <w:spacing w:after="60" w:before="0"/>
      </w:pPr>
    </w:p>
    <w:p>
      <w:pPr>
        <w:spacing w:after="80" w:before="80"/>
        <w:jc w:val="both"/>
      </w:pPr>
      <w:r>
        <w:rPr>
          <w:b w:val="false"/>
          <w:bCs w:val="false"/>
          <w:i w:val="false"/>
          <w:iCs w:val="false"/>
          <w:color w:val="000000"/>
          <w:sz w:val="22"/>
          <w:szCs w:val="22"/>
        </w:rPr>
        <w:t xml:space="preserve">VISTO il D.Lgs. 297/1994, art. 508, che disciplina le attribuzioni del personale educativo;</w:t>
      </w:r>
    </w:p>
    <w:p>
      <w:pPr>
        <w:spacing w:after="80" w:before="80"/>
        <w:jc w:val="both"/>
      </w:pPr>
      <w:r>
        <w:rPr>
          <w:b w:val="false"/>
          <w:bCs w:val="false"/>
          <w:i w:val="false"/>
          <w:iCs w:val="false"/>
          <w:color w:val="000000"/>
          <w:sz w:val="22"/>
          <w:szCs w:val="22"/>
        </w:rPr>
        <w:t xml:space="preserve">VISTO il D.Lgs. 165/2001, art. 53, in materia di incarichi aggiuntivi al personale della Pubblica Amministrazione;</w:t>
      </w:r>
    </w:p>
    <w:p>
      <w:pPr>
        <w:spacing w:after="80" w:before="80"/>
        <w:jc w:val="both"/>
      </w:pPr>
      <w:r>
        <w:rPr>
          <w:b w:val="false"/>
          <w:bCs w:val="false"/>
          <w:i w:val="false"/>
          <w:iCs w:val="false"/>
          <w:color w:val="000000"/>
          <w:sz w:val="22"/>
          <w:szCs w:val="22"/>
        </w:rPr>
        <w:t xml:space="preserve">VISTO il D.Lgs. 82/2005 (Codice dell’Amministrazione Digitale) che stabilisce l’obbligo per le PA di dotarsi di siti web istituzionali accessibili e aggiornati;</w:t>
      </w:r>
    </w:p>
    <w:p>
      <w:pPr>
        <w:spacing w:after="80" w:before="80"/>
        <w:jc w:val="both"/>
      </w:pPr>
      <w:r>
        <w:rPr>
          <w:b w:val="false"/>
          <w:bCs w:val="false"/>
          <w:i w:val="false"/>
          <w:iCs w:val="false"/>
          <w:color w:val="000000"/>
          <w:sz w:val="22"/>
          <w:szCs w:val="22"/>
        </w:rPr>
        <w:t xml:space="preserve">VISTA la Legge 4/2004 e il D.Lgs. 106/2018 sull’accessibilità dei siti web delle PA;</w:t>
      </w:r>
    </w:p>
    <w:p>
      <w:pPr>
        <w:spacing w:after="80" w:before="80"/>
        <w:jc w:val="both"/>
      </w:pPr>
      <w:r>
        <w:rPr>
          <w:b w:val="false"/>
          <w:bCs w:val="false"/>
          <w:i w:val="false"/>
          <w:iCs w:val="false"/>
          <w:color w:val="000000"/>
          <w:sz w:val="22"/>
          <w:szCs w:val="22"/>
        </w:rPr>
        <w:t xml:space="preserve">VISTO il D.Lgs. 33/2013 sull’obbligo di trasparenza e pubblicazione delle informazioni istituzionali;</w:t>
      </w:r>
    </w:p>
    <w:p>
      <w:pPr>
        <w:spacing w:after="80" w:before="80"/>
        <w:jc w:val="both"/>
      </w:pPr>
      <w:r>
        <w:rPr>
          <w:b w:val="false"/>
          <w:bCs w:val="false"/>
          <w:i w:val="false"/>
          <w:iCs w:val="false"/>
          <w:color w:val="000000"/>
          <w:sz w:val="22"/>
          <w:szCs w:val="22"/>
        </w:rPr>
        <w:t xml:space="preserve">RICONOSCIUTA la necessità di dotare il Convitto annesso di un sito web istituzionale autonomo, accessibile, aggiornato e conforme alle normative vigenti;</w:t>
      </w:r>
    </w:p>
    <w:p>
      <w:pPr>
        <w:spacing w:after="80" w:before="80"/>
        <w:jc w:val="both"/>
      </w:pPr>
      <w:r>
        <w:rPr>
          <w:b w:val="false"/>
          <w:bCs w:val="false"/>
          <w:i w:val="false"/>
          <w:iCs w:val="false"/>
          <w:color w:val="000000"/>
          <w:sz w:val="22"/>
          <w:szCs w:val="22"/>
        </w:rPr>
        <w:t xml:space="preserve">RICONOSCIUTA altrì la necessità di dotare il personale educativo di un applicativo gestionale interno per la gestione delle attività quotidiane del Convitto;</w:t>
      </w:r>
    </w:p>
    <w:p>
      <w:pPr>
        <w:spacing w:after="60" w:before="0"/>
      </w:pPr>
    </w:p>
    <w:p>
      <w:pPr>
        <w:spacing w:after="80" w:before="80"/>
        <w:jc w:val="both"/>
      </w:pPr>
      <w:r>
        <w:rPr>
          <w:b/>
          <w:bCs/>
          <w:i w:val="false"/>
          <w:iCs w:val="false"/>
          <w:color w:val="000000"/>
          <w:sz w:val="22"/>
          <w:szCs w:val="22"/>
        </w:rPr>
        <w:t xml:space="preserve">DISPONE</w:t>
      </w:r>
    </w:p>
    <w:p>
      <w:pPr>
        <w:pStyle w:val="Heading1"/>
        <w:spacing w:after="160" w:before="360"/>
      </w:pPr>
      <w:r>
        <w:rPr>
          <w:b/>
          <w:bCs/>
          <w:color w:val="2C3E2D"/>
          <w:sz w:val="28"/>
          <w:szCs w:val="28"/>
        </w:rPr>
        <w:t xml:space="preserve">Art. 1 — Incarico</w:t>
      </w:r>
    </w:p>
    <w:p>
      <w:pPr>
        <w:spacing w:after="80" w:before="80"/>
        <w:jc w:val="both"/>
      </w:pPr>
      <w:r>
        <w:rPr>
          <w:b w:val="false"/>
          <w:bCs w:val="false"/>
          <w:i w:val="false"/>
          <w:iCs w:val="false"/>
          <w:color w:val="000000"/>
          <w:sz w:val="22"/>
          <w:szCs w:val="22"/>
        </w:rPr>
        <w:t xml:space="preserve">È conferito all’Educatore Michele Gaggiano, di ruolo presso questo Istituto, l’incarico di Responsabile Tecnico del sito web istituzionale del Convitto annesso e dell’applicativo gestionale interno del Convitto, per gli anni scolastici 2024/2025 e 2025/2026.</w:t>
      </w:r>
    </w:p>
    <w:p>
      <w:pPr>
        <w:pStyle w:val="Heading1"/>
        <w:spacing w:after="160" w:before="360"/>
      </w:pPr>
      <w:r>
        <w:rPr>
          <w:b/>
          <w:bCs/>
          <w:color w:val="2C3E2D"/>
          <w:sz w:val="28"/>
          <w:szCs w:val="28"/>
        </w:rPr>
        <w:t xml:space="preserve">Art. 2 — Oggetto e perimetro del lavoro svolto</w:t>
      </w:r>
    </w:p>
    <w:p>
      <w:pPr>
        <w:spacing w:after="80" w:before="80"/>
        <w:jc w:val="both"/>
      </w:pPr>
      <w:r>
        <w:rPr>
          <w:b w:val="false"/>
          <w:bCs w:val="false"/>
          <w:i w:val="false"/>
          <w:iCs w:val="false"/>
          <w:color w:val="000000"/>
          <w:sz w:val="22"/>
          <w:szCs w:val="22"/>
        </w:rPr>
        <w:t xml:space="preserve">L’incarico ha avuto ad oggetto la progettazione, lo sviluppo, il collaudo e la messa in produzione delle seguenti infrastrutture digitali:</w:t>
      </w:r>
    </w:p>
    <w:p>
      <w:pPr>
        <w:spacing w:after="60" w:before="0"/>
      </w:pPr>
    </w:p>
    <w:p>
      <w:pPr>
        <w:spacing w:after="80" w:before="80"/>
        <w:jc w:val="both"/>
      </w:pPr>
      <w:r>
        <w:rPr>
          <w:b w:val="false"/>
          <w:bCs w:val="false"/>
          <w:i w:val="false"/>
          <w:iCs w:val="false"/>
          <w:color w:val="000000"/>
          <w:sz w:val="22"/>
          <w:szCs w:val="22"/>
        </w:rPr>
        <w:t xml:space="preserve">a) Il sito web istituzionale del Convitto, disponibile all’indirizzo https://computeaching2-cell.github.io/convitto-costaggini/ (in attesa di migrazione al dominio convitto.alberghierorieti.edu.it), composto da oltre 55 pagine tematiche, realizzato in HTML5/CSS3/JavaScript puro, senza l’utilizzo di framework commerciali, con sistema di design proprietario coerente con l’identità visiva dell’Istituto. Il sito include:</w:t>
      </w:r>
    </w:p>
    <w:p>
      <w:pPr>
        <w:pStyle w:val="ListParagraph"/>
        <w:numPr>
          <w:ilvl w:val="0"/>
          <w:numId w:val="2"/>
        </w:numPr>
        <w:spacing w:after="40" w:before="40"/>
        <w:jc w:val="both"/>
      </w:pPr>
      <w:r>
        <w:rPr>
          <w:sz w:val="22"/>
          <w:szCs w:val="22"/>
        </w:rPr>
        <w:t xml:space="preserve">Navigazione conforme al modello AgID per le PA (quattro voci standard)</w:t>
      </w:r>
    </w:p>
    <w:p>
      <w:pPr>
        <w:pStyle w:val="ListParagraph"/>
        <w:numPr>
          <w:ilvl w:val="0"/>
          <w:numId w:val="2"/>
        </w:numPr>
        <w:spacing w:after="40" w:before="40"/>
        <w:jc w:val="both"/>
      </w:pPr>
      <w:r>
        <w:rPr>
          <w:sz w:val="22"/>
          <w:szCs w:val="22"/>
        </w:rPr>
        <w:t xml:space="preserve">Modulistica digitale con funzione di compilazione e stampa (6 form)</w:t>
      </w:r>
    </w:p>
    <w:p>
      <w:pPr>
        <w:pStyle w:val="ListParagraph"/>
        <w:numPr>
          <w:ilvl w:val="0"/>
          <w:numId w:val="2"/>
        </w:numPr>
        <w:spacing w:after="40" w:before="40"/>
        <w:jc w:val="both"/>
      </w:pPr>
      <w:r>
        <w:rPr>
          <w:sz w:val="22"/>
          <w:szCs w:val="22"/>
        </w:rPr>
        <w:t xml:space="preserve">Assistente virtuale FAQ locale con 40+ categorie di risposta, senza API esterne</w:t>
      </w:r>
    </w:p>
    <w:p>
      <w:pPr>
        <w:pStyle w:val="ListParagraph"/>
        <w:numPr>
          <w:ilvl w:val="0"/>
          <w:numId w:val="2"/>
        </w:numPr>
        <w:spacing w:after="40" w:before="40"/>
        <w:jc w:val="both"/>
      </w:pPr>
      <w:r>
        <w:rPr>
          <w:sz w:val="22"/>
          <w:szCs w:val="22"/>
        </w:rPr>
        <w:t xml:space="preserve">Tour virtuale 360° degli ambienti, 6 quiz interattivi per l’orientamento</w:t>
      </w:r>
    </w:p>
    <w:p>
      <w:pPr>
        <w:pStyle w:val="ListParagraph"/>
        <w:numPr>
          <w:ilvl w:val="0"/>
          <w:numId w:val="2"/>
        </w:numPr>
        <w:spacing w:after="40" w:before="40"/>
        <w:jc w:val="both"/>
      </w:pPr>
      <w:r>
        <w:rPr>
          <w:sz w:val="22"/>
          <w:szCs w:val="22"/>
        </w:rPr>
        <w:t xml:space="preserve">Pannelli di amministrazione per notizie, comunicati, alumni</w:t>
      </w:r>
    </w:p>
    <w:p>
      <w:pPr>
        <w:pStyle w:val="ListParagraph"/>
        <w:numPr>
          <w:ilvl w:val="0"/>
          <w:numId w:val="2"/>
        </w:numPr>
        <w:spacing w:after="40" w:before="40"/>
        <w:jc w:val="both"/>
      </w:pPr>
      <w:r>
        <w:rPr>
          <w:sz w:val="22"/>
          <w:szCs w:val="22"/>
        </w:rPr>
        <w:t xml:space="preserve">Area Riservata Famiglie completamente operativa: login sicuro (email + password + OTP), dashboard dati residenziali sincronizzati con il gestionale, reset password autonomo, pannello admin per approvazione richieste</w:t>
      </w:r>
    </w:p>
    <w:p>
      <w:pPr>
        <w:pStyle w:val="ListParagraph"/>
        <w:numPr>
          <w:ilvl w:val="0"/>
          <w:numId w:val="2"/>
        </w:numPr>
        <w:spacing w:after="40" w:before="40"/>
        <w:jc w:val="both"/>
      </w:pPr>
      <w:r>
        <w:rPr>
          <w:sz w:val="22"/>
          <w:szCs w:val="22"/>
        </w:rPr>
        <w:t xml:space="preserve">Traduzione in cinque lingue con consenso esplicito (GDPR), export eventi in formato iCal</w:t>
      </w:r>
    </w:p>
    <w:p>
      <w:pPr>
        <w:pStyle w:val="ListParagraph"/>
        <w:numPr>
          <w:ilvl w:val="0"/>
          <w:numId w:val="2"/>
        </w:numPr>
        <w:spacing w:after="40" w:before="40"/>
        <w:jc w:val="both"/>
      </w:pPr>
      <w:r>
        <w:rPr>
          <w:sz w:val="22"/>
          <w:szCs w:val="22"/>
        </w:rPr>
        <w:t xml:space="preserve">Sicurezza: autenticazione hashata SHA-256, rate limiting, Row Level Security su database EU, SMTP istituzionale</w:t>
      </w:r>
    </w:p>
    <w:p>
      <w:pPr>
        <w:spacing w:after="60" w:before="0"/>
      </w:pPr>
    </w:p>
    <w:p>
      <w:pPr>
        <w:spacing w:after="80" w:before="80"/>
        <w:jc w:val="both"/>
      </w:pPr>
      <w:r>
        <w:rPr>
          <w:b w:val="false"/>
          <w:bCs w:val="false"/>
          <w:i w:val="false"/>
          <w:iCs w:val="false"/>
          <w:color w:val="000000"/>
          <w:sz w:val="22"/>
          <w:szCs w:val="22"/>
        </w:rPr>
        <w:t xml:space="preserve">b) L’applicativo gestionale interno del Convitto (sviluppato in Google Apps Script), in uso quotidiano da parte del personale educativo per la gestione delle presenze, delle comunicazioni interne e del registro educativo, integrato con il sito tramite sincronizzazione automatica verso Supabase.</w:t>
      </w:r>
    </w:p>
    <w:p>
      <w:pPr>
        <w:pStyle w:val="Heading1"/>
        <w:spacing w:after="160" w:before="360"/>
      </w:pPr>
      <w:r>
        <w:rPr>
          <w:b/>
          <w:bCs/>
          <w:color w:val="2C3E2D"/>
          <w:sz w:val="28"/>
          <w:szCs w:val="28"/>
        </w:rPr>
        <w:t xml:space="preserve">Art. 3 — Natura, quantità e qualità del lavoro svolto</w:t>
      </w:r>
    </w:p>
    <w:p>
      <w:pPr>
        <w:spacing w:after="80" w:before="80"/>
        <w:jc w:val="both"/>
      </w:pPr>
      <w:r>
        <w:rPr>
          <w:b w:val="false"/>
          <w:bCs w:val="false"/>
          <w:i w:val="false"/>
          <w:iCs w:val="false"/>
          <w:color w:val="000000"/>
          <w:sz w:val="22"/>
          <w:szCs w:val="22"/>
        </w:rPr>
        <w:t xml:space="preserve">Il Dirigente Scolastico prende atto che il lavoro svolto dall’Educatore Gaggiano rappresenta un’opera di ingegno tecnico e professionale di rilevante entità, del tutto eccedente le ordinarie attribuzioni del ruolo educativo e non riconducibile ad alcuna delle attività previste dal contratto collettivo di riferimento.</w:t>
      </w:r>
    </w:p>
    <w:p>
      <w:pPr>
        <w:spacing w:after="60" w:before="0"/>
      </w:pPr>
    </w:p>
    <w:p>
      <w:pPr>
        <w:spacing w:after="80" w:before="80"/>
        <w:jc w:val="both"/>
      </w:pPr>
      <w:r>
        <w:rPr>
          <w:b w:val="false"/>
          <w:bCs w:val="false"/>
          <w:i w:val="false"/>
          <w:iCs w:val="false"/>
          <w:color w:val="000000"/>
          <w:sz w:val="22"/>
          <w:szCs w:val="22"/>
        </w:rPr>
        <w:t xml:space="preserve">In termini quantitativi, la realizzazione del sito web ha richiesto centinaia di ore di lavoro effettivo, distribuite su più anni scolastici. L’applicativo gestionale ha richiesto un analogo investimento di tempo, oltre alla formazione del personale.</w:t>
      </w:r>
    </w:p>
    <w:p>
      <w:pPr>
        <w:spacing w:after="60" w:before="0"/>
      </w:pPr>
    </w:p>
    <w:p>
      <w:pPr>
        <w:spacing w:after="80" w:before="80"/>
        <w:jc w:val="both"/>
      </w:pPr>
      <w:r>
        <w:rPr>
          <w:b w:val="false"/>
          <w:bCs w:val="false"/>
          <w:i w:val="false"/>
          <w:iCs w:val="false"/>
          <w:color w:val="000000"/>
          <w:sz w:val="22"/>
          <w:szCs w:val="22"/>
        </w:rPr>
        <w:t xml:space="preserve">In termini qualitativi, il lavoro si colloca a un livello professionale che non ha eguali nel panorama dei siti istituzionali di convitti italiani comparabili. Le scelte tecnologiche adottate — HTML semantico, accessibilità WCAG 2.1, conformità AgID, database EU con Row Level Security, email transazionali con SMTP istituzionale — sono le medesime adottate dalle più avanzate pubbliche amministrazioni italiane.</w:t>
      </w:r>
    </w:p>
    <w:p>
      <w:pPr>
        <w:spacing w:after="60" w:before="0"/>
      </w:pPr>
    </w:p>
    <w:p>
      <w:pPr>
        <w:pBdr>
          <w:left w:val="single" w:color="2C3E2D" w:sz="12" w:space="6"/>
        </w:pBdr>
        <w:shd w:fill="F5F0E8" w:val="clear"/>
        <w:spacing w:after="160" w:before="160"/>
        <w:ind w:left="360"/>
        <w:jc w:val="both"/>
      </w:pPr>
      <w:r>
        <w:rPr>
          <w:i/>
          <w:iCs/>
          <w:color w:val="333333"/>
          <w:sz w:val="21"/>
          <w:szCs w:val="21"/>
        </w:rPr>
        <w:t xml:space="preserve">Tutto questo è stato svolto — e continuerà ad essere svolto — dall’Educatore Gaggiano con piena dedizione istituzionale, senza che ciò abbia formato o formi oggetto di alcuna pattuizione economica.</w:t>
      </w:r>
    </w:p>
    <w:p>
      <w:pPr>
        <w:pStyle w:val="Heading1"/>
        <w:spacing w:after="160" w:before="360"/>
      </w:pPr>
      <w:r>
        <w:rPr>
          <w:b/>
          <w:bCs/>
          <w:color w:val="2C3E2D"/>
          <w:sz w:val="28"/>
          <w:szCs w:val="28"/>
        </w:rPr>
        <w:t xml:space="preserve">Art. 4 — Compenso</w:t>
      </w:r>
    </w:p>
    <w:p>
      <w:pPr>
        <w:spacing w:after="80" w:before="80"/>
        <w:jc w:val="both"/>
      </w:pPr>
      <w:r>
        <w:rPr>
          <w:b w:val="false"/>
          <w:bCs w:val="false"/>
          <w:i w:val="false"/>
          <w:iCs w:val="false"/>
          <w:color w:val="000000"/>
          <w:sz w:val="22"/>
          <w:szCs w:val="22"/>
        </w:rPr>
        <w:t xml:space="preserve">Il presente incarico è conferito a titolo gratuito. Nessun compenso aggiuntivo rispetto al trattamento economico fondamentale e accessorio già percepito dall’Educatore Gaggiano è stato pattuito, né è dovuto in virtù del presente atto.</w:t>
      </w:r>
    </w:p>
    <w:p>
      <w:pPr>
        <w:spacing w:after="60" w:before="0"/>
      </w:pPr>
    </w:p>
    <w:p>
      <w:pPr>
        <w:spacing w:after="80" w:before="80"/>
        <w:jc w:val="both"/>
      </w:pPr>
      <w:r>
        <w:rPr>
          <w:b w:val="false"/>
          <w:bCs w:val="false"/>
          <w:i w:val="false"/>
          <w:iCs w:val="false"/>
          <w:color w:val="000000"/>
          <w:sz w:val="22"/>
          <w:szCs w:val="22"/>
        </w:rPr>
        <w:t xml:space="preserve">Il Dirigente Scolastico, nel prendere atto della straordinaria entità del contributo professionale reso, si riserva di valutare — nell’ambito delle facoltà attribuite dalla normativa vigente e dalle risorse del Fondo per il Miglioramento dell’Offerta Formativa — ogni forma di riconoscimento che sia compatibile con le disposizioni di legge e con i contratti collettivi applicabili.</w:t>
      </w:r>
    </w:p>
    <w:p>
      <w:pPr>
        <w:pStyle w:val="Heading1"/>
        <w:spacing w:after="160" w:before="360"/>
      </w:pPr>
      <w:r>
        <w:rPr>
          <w:b/>
          <w:bCs/>
          <w:color w:val="2C3E2D"/>
          <w:sz w:val="28"/>
          <w:szCs w:val="28"/>
        </w:rPr>
        <w:t xml:space="preserve">Art. 5 — Durata e rinnovo</w:t>
      </w:r>
    </w:p>
    <w:p>
      <w:pPr>
        <w:spacing w:after="80" w:before="80"/>
        <w:jc w:val="both"/>
      </w:pPr>
      <w:r>
        <w:rPr>
          <w:b w:val="false"/>
          <w:bCs w:val="false"/>
          <w:i w:val="false"/>
          <w:iCs w:val="false"/>
          <w:color w:val="000000"/>
          <w:sz w:val="22"/>
          <w:szCs w:val="22"/>
        </w:rPr>
        <w:t xml:space="preserve">Il presente incarico, conferito con decorrenza dall’anno scolastico 2024/2025, si intende rinnovato tacitamente per gli anni scolastici successivi, salvo diversa comunicazione scritta di una delle parti.</w:t>
      </w:r>
    </w:p>
    <w:p>
      <w:pPr>
        <w:pStyle w:val="Heading1"/>
        <w:spacing w:after="160" w:before="360"/>
      </w:pPr>
      <w:r>
        <w:rPr>
          <w:b/>
          <w:bCs/>
          <w:color w:val="2C3E2D"/>
          <w:sz w:val="28"/>
          <w:szCs w:val="28"/>
        </w:rPr>
        <w:t xml:space="preserve">Art. 6 — Presa d’atto</w:t>
      </w:r>
    </w:p>
    <w:p>
      <w:pPr>
        <w:spacing w:after="80" w:before="80"/>
        <w:jc w:val="both"/>
      </w:pPr>
      <w:r>
        <w:rPr>
          <w:b w:val="false"/>
          <w:bCs w:val="false"/>
          <w:i w:val="false"/>
          <w:iCs w:val="false"/>
          <w:color w:val="000000"/>
          <w:sz w:val="22"/>
          <w:szCs w:val="22"/>
        </w:rPr>
        <w:t xml:space="preserve">L’Educatore Gaggiano, con la sottoscrizione del presente atto, prende atto dell’incarico conferito, confermando la propria disponibilità a svolgere le attività descritte nell’ambito dei valori di servizio istituzionale che hanno ispirato l’intero progetto.</w:t>
      </w:r>
    </w:p>
    <w:p>
      <w:pPr>
        <w:spacing w:after="180" w:before="0"/>
      </w:pPr>
    </w:p>
    <w:p>
      <w:pPr>
        <w:spacing w:after="80" w:before="0"/>
        <w:jc w:val="right"/>
      </w:pPr>
      <w:r>
        <w:rPr>
          <w:sz w:val="22"/>
          <w:szCs w:val="22"/>
        </w:rPr>
        <w:t xml:space="preserve">Rieti, 29 Maggio 2026</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80" w:before="80"/>
              <w:jc w:val="both"/>
            </w:pPr>
            <w:r>
              <w:rPr>
                <w:b/>
                <w:bCs/>
                <w:i w:val="false"/>
                <w:iCs w:val="false"/>
                <w:color w:val="000000"/>
                <w:sz w:val="22"/>
                <w:szCs w:val="22"/>
              </w:rPr>
              <w:t xml:space="preserve">Il Dirigente Scolastico (reggenza)</w:t>
            </w:r>
          </w:p>
          <w:p>
            <w:pPr>
              <w:spacing w:after="80" w:before="80"/>
              <w:jc w:val="both"/>
            </w:pPr>
            <w:r>
              <w:rPr>
                <w:b w:val="false"/>
                <w:bCs w:val="false"/>
                <w:i w:val="false"/>
                <w:iCs w:val="false"/>
                <w:color w:val="000000"/>
                <w:sz w:val="22"/>
                <w:szCs w:val="22"/>
              </w:rPr>
              <w:t xml:space="preserve">Prof. Giovanni Luca Barbonetti</w:t>
            </w:r>
          </w:p>
          <w:p>
            <w:pPr>
              <w:spacing w:after="80" w:before="80"/>
              <w:jc w:val="both"/>
            </w:pPr>
            <w:r>
              <w:rPr>
                <w:b w:val="false"/>
                <w:bCs w:val="false"/>
                <w:i w:val="false"/>
                <w:iCs w:val="false"/>
                <w:color w:val="000000"/>
                <w:sz w:val="22"/>
                <w:szCs w:val="22"/>
              </w:rPr>
              <w:t xml:space="preserve">_____________________________</w:t>
            </w:r>
          </w:p>
        </w:tc>
        <w:tc>
          <w:tcPr>
            <w:tcW w:type="dxa" w:w="4513"/>
            <w:tcBorders>
              <w:top w:val="none" w:color="FFFFFF" w:sz="0"/>
              <w:left w:val="none" w:color="FFFFFF" w:sz="0"/>
              <w:bottom w:val="none" w:color="FFFFFF" w:sz="0"/>
              <w:right w:val="none" w:color="FFFFFF" w:sz="0"/>
            </w:tcBorders>
            <w:tcMar>
              <w:top w:type="dxa" w:w="80"/>
              <w:left w:type="dxa" w:w="120"/>
              <w:bottom w:type="dxa" w:w="80"/>
              <w:right w:type="dxa" w:w="0"/>
            </w:tcMar>
          </w:tcPr>
          <w:p>
            <w:pPr>
              <w:spacing w:after="80" w:before="80"/>
              <w:jc w:val="both"/>
            </w:pPr>
            <w:r>
              <w:rPr>
                <w:b/>
                <w:bCs/>
                <w:i w:val="false"/>
                <w:iCs w:val="false"/>
                <w:color w:val="000000"/>
                <w:sz w:val="22"/>
                <w:szCs w:val="22"/>
              </w:rPr>
              <w:t xml:space="preserve">L’Educatore Responsabile Tecnico</w:t>
            </w:r>
          </w:p>
          <w:p>
            <w:pPr>
              <w:spacing w:after="80" w:before="80"/>
              <w:jc w:val="both"/>
            </w:pPr>
            <w:r>
              <w:rPr>
                <w:b w:val="false"/>
                <w:bCs w:val="false"/>
                <w:i w:val="false"/>
                <w:iCs w:val="false"/>
                <w:color w:val="000000"/>
                <w:sz w:val="22"/>
                <w:szCs w:val="22"/>
              </w:rPr>
              <w:t xml:space="preserve">Educatore Michele Gaggiano</w:t>
            </w:r>
          </w:p>
          <w:p>
            <w:pPr>
              <w:spacing w:after="80" w:before="80"/>
              <w:jc w:val="both"/>
            </w:pPr>
            <w:r>
              <w:rPr>
                <w:b w:val="false"/>
                <w:bCs w:val="false"/>
                <w:i w:val="false"/>
                <w:iCs w:val="false"/>
                <w:color w:val="000000"/>
                <w:sz w:val="22"/>
                <w:szCs w:val="22"/>
              </w:rPr>
              <w:t xml:space="preserve">_____________________________</w:t>
            </w:r>
          </w:p>
        </w:tc>
      </w:tr>
    </w:tbl>
    <w:p>
      <w:pPr>
        <w:spacing w:after="120" w:before="0"/>
      </w:pPr>
    </w:p>
    <w:p>
      <w:pPr>
        <w:spacing w:after="80" w:before="80"/>
        <w:jc w:val="both"/>
      </w:pPr>
      <w:r>
        <w:rPr>
          <w:b/>
          <w:bCs/>
          <w:i w:val="false"/>
          <w:iCs w:val="false"/>
          <w:color w:val="000000"/>
          <w:sz w:val="22"/>
          <w:szCs w:val="22"/>
        </w:rPr>
        <w:t xml:space="preserve">Per presa d’atto:</w:t>
      </w:r>
    </w:p>
    <w:p>
      <w:pPr>
        <w:spacing w:after="80" w:before="80"/>
        <w:jc w:val="both"/>
      </w:pPr>
      <w:r>
        <w:rPr>
          <w:b w:val="false"/>
          <w:bCs w:val="false"/>
          <w:i w:val="false"/>
          <w:iCs w:val="false"/>
          <w:color w:val="000000"/>
          <w:sz w:val="22"/>
          <w:szCs w:val="22"/>
        </w:rPr>
        <w:t xml:space="preserve">Collaboratrice del DS — Prof.ssa Annalisa Mazzeo</w:t>
      </w:r>
    </w:p>
    <w:p>
      <w:pPr>
        <w:spacing w:after="80" w:before="80"/>
        <w:jc w:val="both"/>
      </w:pPr>
      <w:r>
        <w:rPr>
          <w:b w:val="false"/>
          <w:bCs w:val="false"/>
          <w:i w:val="false"/>
          <w:iCs w:val="false"/>
          <w:color w:val="000000"/>
          <w:sz w:val="22"/>
          <w:szCs w:val="22"/>
        </w:rPr>
        <w:t xml:space="preserve">_____________________________</w:t>
      </w:r>
    </w:p>
    <w:p>
      <w:pPr>
        <w:spacing w:after="60" w:before="0"/>
      </w:pPr>
    </w:p>
    <w:p>
      <w:pPr>
        <w:spacing w:after="80" w:before="80"/>
        <w:jc w:val="both"/>
      </w:pPr>
      <w:r>
        <w:rPr>
          <w:b w:val="false"/>
          <w:bCs w:val="false"/>
          <w:i/>
          <w:iCs/>
          <w:color w:val="666666"/>
          <w:sz w:val="22"/>
          <w:szCs w:val="22"/>
        </w:rPr>
        <w:t xml:space="preserve">Il presente atto è protocollato in data _______________ con n. _______________ e archiviato nel fascicolo personale dell’Educatore Michele Gaggiano.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3E2D" w:sz="4" w:space="1"/>
      </w:pBdr>
      <w:spacing w:after="160" w:before="360"/>
      <w:outlineLvl w:val="0"/>
    </w:pPr>
    <w:rPr>
      <w:b/>
      <w:bCs/>
      <w:color w:val="2C3E2D"/>
      <w:sz w:val="28"/>
      <w:szCs w:val="28"/>
    </w:rPr>
  </w:style>
  <w:style w:type="paragraph" w:styleId="Heading2">
    <w:name w:val="Heading 2"/>
    <w:basedOn w:val="Normal"/>
    <w:next w:val="Normal"/>
    <w:qFormat/>
    <w:pPr>
      <w:spacing w:after="100" w:before="240"/>
      <w:outlineLvl w:val="1"/>
    </w:pPr>
    <w:rPr>
      <w:b/>
      <w:bCs/>
      <w:color w:val="2C3E2D"/>
      <w:sz w:val="24"/>
      <w:szCs w:val="24"/>
    </w:rPr>
  </w:style>
  <w:style w:type="paragraph" w:styleId="Heading3">
    <w:name w:val="Heading 3"/>
    <w:basedOn w:val="Normal"/>
    <w:next w:val="Normal"/>
    <w:qFormat/>
    <w:pPr>
      <w:spacing w:after="80" w:before="200"/>
      <w:outlineLvl w:val="2"/>
    </w:pPr>
    <w:rPr>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2026-05-29T08:29:47.202Z</dcterms:created>
  <dcterms:modified xsi:type="dcterms:W3CDTF">2026-05-29T08:29:47.214Z</dcterms:modified>
</cp:coreProperties>
</file>

<file path=docProps/custom.xml><?xml version="1.0" encoding="utf-8"?>
<Properties xmlns="http://schemas.openxmlformats.org/officeDocument/2006/custom-properties" xmlns:vt="http://schemas.openxmlformats.org/officeDocument/2006/docPropsVTypes"/>
</file>