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312" w:before="0" w:after="0"/>
        <w:ind w:right="0" w:firstLine="0"/>
        <w:rPr>
          <w:b w:val="1"/>
          <w:color w:val="auto"/>
          <w:position w:val="0"/>
          <w:sz w:val="44"/>
          <w:szCs w:val="44"/>
          <w:rFonts w:ascii="仿宋" w:eastAsia="仿宋" w:hAnsi="仿宋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仿宋" w:eastAsia="仿宋" w:hAnsi="仿宋" w:hint="default"/>
        </w:rPr>
        <w:t>惠民、金悦小区地下室销售方案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仿宋" w:eastAsia="仿宋" w:hAnsi="仿宋" w:hint="default"/>
        </w:rPr>
        <w:t xml:space="preserve">    中号的购房户在确认购房交款后，开发公司另行通知业主按</w:t>
      </w:r>
      <w:r>
        <w:rPr>
          <w:color w:val="auto"/>
          <w:position w:val="0"/>
          <w:sz w:val="32"/>
          <w:szCs w:val="32"/>
          <w:rFonts w:ascii="仿宋" w:eastAsia="仿宋" w:hAnsi="仿宋" w:hint="default"/>
        </w:rPr>
        <w:t>楼、按单元领取地下室认购号，认购号领取后再另行通知认购地</w:t>
      </w:r>
      <w:r>
        <w:rPr>
          <w:color w:val="auto"/>
          <w:position w:val="0"/>
          <w:sz w:val="32"/>
          <w:szCs w:val="32"/>
          <w:rFonts w:ascii="仿宋" w:eastAsia="仿宋" w:hAnsi="仿宋" w:hint="default"/>
        </w:rPr>
        <w:t>下室并交纳地下室款。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32"/>
          <w:szCs w:val="32"/>
          <w:rFonts w:ascii="仿宋" w:eastAsia="仿宋" w:hAnsi="仿宋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仿宋" w:eastAsia="仿宋" w:hAnsi="仿宋" w:hint="default"/>
        </w:rPr>
        <w:t xml:space="preserve">                          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仿宋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</cp:coreProperties>
</file>