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bookmarkStart w:id="0" w:name="_GoBack"/>
      <w:bookmarkEnd w:id="0"/>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4D79A0">
        <w:rPr>
          <w:sz w:val="56"/>
        </w:rPr>
        <w:t>Release Notes</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4D79A0">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4D79A0">
        <w:rPr>
          <w:sz w:val="56"/>
        </w:rPr>
        <w:t>B2MML-BatchML-Release Notes</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D79A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D79A0" w:rsidRDefault="004D79A0">
      <w:pPr>
        <w:pStyle w:val="TOC1"/>
        <w:rPr>
          <w:rFonts w:asciiTheme="minorHAnsi" w:eastAsiaTheme="minorEastAsia" w:hAnsiTheme="minorHAnsi" w:cstheme="minorBidi"/>
          <w:caps w:val="0"/>
          <w:noProof/>
          <w:color w:val="auto"/>
          <w:szCs w:val="22"/>
        </w:rPr>
      </w:pPr>
      <w:r>
        <w:rPr>
          <w:noProof/>
        </w:rPr>
        <w:t>B2MML Changes</w:t>
      </w:r>
      <w:r>
        <w:rPr>
          <w:noProof/>
        </w:rPr>
        <w:tab/>
      </w:r>
      <w:r>
        <w:rPr>
          <w:noProof/>
        </w:rPr>
        <w:fldChar w:fldCharType="begin"/>
      </w:r>
      <w:r>
        <w:rPr>
          <w:noProof/>
        </w:rPr>
        <w:instrText xml:space="preserve"> PAGEREF _Toc351195366 \h </w:instrText>
      </w:r>
      <w:r>
        <w:rPr>
          <w:noProof/>
        </w:rPr>
      </w:r>
      <w:r>
        <w:rPr>
          <w:noProof/>
        </w:rPr>
        <w:fldChar w:fldCharType="separate"/>
      </w:r>
      <w:r>
        <w:rPr>
          <w:noProof/>
        </w:rPr>
        <w:t>3</w:t>
      </w:r>
      <w:r>
        <w:rPr>
          <w:noProof/>
        </w:rPr>
        <w:fldChar w:fldCharType="end"/>
      </w:r>
    </w:p>
    <w:p w:rsidR="004D79A0" w:rsidRDefault="004D79A0">
      <w:pPr>
        <w:pStyle w:val="TOC2"/>
        <w:rPr>
          <w:rFonts w:asciiTheme="minorHAnsi" w:eastAsiaTheme="minorEastAsia" w:hAnsiTheme="minorHAnsi" w:cstheme="minorBidi"/>
          <w:noProof/>
          <w:color w:val="auto"/>
          <w:szCs w:val="22"/>
        </w:rPr>
      </w:pPr>
      <w:r>
        <w:rPr>
          <w:noProof/>
        </w:rPr>
        <w:t>Non-backward compatible changes</w:t>
      </w:r>
      <w:r>
        <w:rPr>
          <w:noProof/>
        </w:rPr>
        <w:tab/>
      </w:r>
      <w:r>
        <w:rPr>
          <w:noProof/>
        </w:rPr>
        <w:fldChar w:fldCharType="begin"/>
      </w:r>
      <w:r>
        <w:rPr>
          <w:noProof/>
        </w:rPr>
        <w:instrText xml:space="preserve"> PAGEREF _Toc351195367 \h </w:instrText>
      </w:r>
      <w:r>
        <w:rPr>
          <w:noProof/>
        </w:rPr>
      </w:r>
      <w:r>
        <w:rPr>
          <w:noProof/>
        </w:rPr>
        <w:fldChar w:fldCharType="separate"/>
      </w:r>
      <w:r>
        <w:rPr>
          <w:noProof/>
        </w:rPr>
        <w:t>3</w:t>
      </w:r>
      <w:r>
        <w:rPr>
          <w:noProof/>
        </w:rPr>
        <w:fldChar w:fldCharType="end"/>
      </w:r>
    </w:p>
    <w:p w:rsidR="004D79A0" w:rsidRDefault="004D79A0">
      <w:pPr>
        <w:pStyle w:val="TOC2"/>
        <w:rPr>
          <w:rFonts w:asciiTheme="minorHAnsi" w:eastAsiaTheme="minorEastAsia" w:hAnsiTheme="minorHAnsi" w:cstheme="minorBidi"/>
          <w:noProof/>
          <w:color w:val="auto"/>
          <w:szCs w:val="22"/>
        </w:rPr>
      </w:pPr>
      <w:r>
        <w:rPr>
          <w:noProof/>
        </w:rPr>
        <w:t>Backward compatible changes</w:t>
      </w:r>
      <w:r>
        <w:rPr>
          <w:noProof/>
        </w:rPr>
        <w:tab/>
      </w:r>
      <w:r>
        <w:rPr>
          <w:noProof/>
        </w:rPr>
        <w:fldChar w:fldCharType="begin"/>
      </w:r>
      <w:r>
        <w:rPr>
          <w:noProof/>
        </w:rPr>
        <w:instrText xml:space="preserve"> PAGEREF _Toc351195368 \h </w:instrText>
      </w:r>
      <w:r>
        <w:rPr>
          <w:noProof/>
        </w:rPr>
      </w:r>
      <w:r>
        <w:rPr>
          <w:noProof/>
        </w:rPr>
        <w:fldChar w:fldCharType="separate"/>
      </w:r>
      <w:r>
        <w:rPr>
          <w:noProof/>
        </w:rPr>
        <w:t>3</w:t>
      </w:r>
      <w:r>
        <w:rPr>
          <w:noProof/>
        </w:rPr>
        <w:fldChar w:fldCharType="end"/>
      </w:r>
    </w:p>
    <w:p w:rsidR="004D79A0" w:rsidRDefault="004D79A0">
      <w:pPr>
        <w:pStyle w:val="TOC1"/>
        <w:rPr>
          <w:rFonts w:asciiTheme="minorHAnsi" w:eastAsiaTheme="minorEastAsia" w:hAnsiTheme="minorHAnsi" w:cstheme="minorBidi"/>
          <w:caps w:val="0"/>
          <w:noProof/>
          <w:color w:val="auto"/>
          <w:szCs w:val="22"/>
        </w:rPr>
      </w:pPr>
      <w:r>
        <w:rPr>
          <w:noProof/>
        </w:rPr>
        <w:t>BATCHML Changes</w:t>
      </w:r>
      <w:r>
        <w:rPr>
          <w:noProof/>
        </w:rPr>
        <w:tab/>
      </w:r>
      <w:r>
        <w:rPr>
          <w:noProof/>
        </w:rPr>
        <w:fldChar w:fldCharType="begin"/>
      </w:r>
      <w:r>
        <w:rPr>
          <w:noProof/>
        </w:rPr>
        <w:instrText xml:space="preserve"> PAGEREF _Toc351195369 \h </w:instrText>
      </w:r>
      <w:r>
        <w:rPr>
          <w:noProof/>
        </w:rPr>
      </w:r>
      <w:r>
        <w:rPr>
          <w:noProof/>
        </w:rPr>
        <w:fldChar w:fldCharType="separate"/>
      </w:r>
      <w:r>
        <w:rPr>
          <w:noProof/>
        </w:rPr>
        <w:t>12</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1961C7" w:rsidRDefault="001961C7" w:rsidP="001961C7">
      <w:pPr>
        <w:pStyle w:val="Heading1"/>
      </w:pPr>
      <w:bookmarkStart w:id="2" w:name="_TOC281"/>
      <w:bookmarkStart w:id="3" w:name="_Toc351195366"/>
      <w:bookmarkEnd w:id="2"/>
      <w:r>
        <w:lastRenderedPageBreak/>
        <w:t>B2MML Changes</w:t>
      </w:r>
      <w:bookmarkEnd w:id="3"/>
    </w:p>
    <w:p w:rsidR="001961C7" w:rsidRDefault="001961C7" w:rsidP="001961C7">
      <w:pPr>
        <w:jc w:val="both"/>
      </w:pPr>
      <w:bookmarkStart w:id="4" w:name="_TOC335"/>
      <w:bookmarkStart w:id="5" w:name="_Toc105748800"/>
      <w:bookmarkEnd w:id="4"/>
      <w:r>
        <w:rPr>
          <w:noProof/>
        </w:rPr>
        <w:drawing>
          <wp:inline distT="0" distB="0" distL="0" distR="0" wp14:anchorId="061EED33" wp14:editId="6B7E72F3">
            <wp:extent cx="1983740" cy="1306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3740" cy="1306195"/>
                    </a:xfrm>
                    <a:prstGeom prst="rect">
                      <a:avLst/>
                    </a:prstGeom>
                    <a:noFill/>
                    <a:ln>
                      <a:noFill/>
                    </a:ln>
                    <a:effectLst/>
                  </pic:spPr>
                </pic:pic>
              </a:graphicData>
            </a:graphic>
          </wp:inline>
        </w:drawing>
      </w:r>
    </w:p>
    <w:p w:rsidR="001961C7" w:rsidRDefault="001961C7" w:rsidP="001961C7">
      <w:pPr>
        <w:pStyle w:val="Heading2"/>
      </w:pPr>
      <w:bookmarkStart w:id="6" w:name="_Toc351195367"/>
      <w:r>
        <w:t>Non-backward compatible changes</w:t>
      </w:r>
      <w:bookmarkEnd w:id="6"/>
      <w:r>
        <w:t xml:space="preserve"> </w:t>
      </w:r>
    </w:p>
    <w:p w:rsidR="001961C7" w:rsidRDefault="001961C7" w:rsidP="001961C7">
      <w:r>
        <w:t>The non-backward compatible changes to B2MML-V0600 from B2MML-V0500 are:</w:t>
      </w:r>
    </w:p>
    <w:p w:rsidR="001961C7" w:rsidRDefault="001961C7" w:rsidP="00D26E34">
      <w:pPr>
        <w:numPr>
          <w:ilvl w:val="0"/>
          <w:numId w:val="1"/>
        </w:numPr>
        <w:spacing w:before="0" w:after="120"/>
      </w:pPr>
      <w:r>
        <w:t xml:space="preserve">Correction to the type of the </w:t>
      </w:r>
      <w:proofErr w:type="spellStart"/>
      <w:r>
        <w:t>ProductProductionRuleID</w:t>
      </w:r>
      <w:proofErr w:type="spellEnd"/>
      <w:r>
        <w:t xml:space="preserve"> type in the </w:t>
      </w:r>
      <w:proofErr w:type="spellStart"/>
      <w:r>
        <w:t>ProductProductionRuleIDGroup</w:t>
      </w:r>
      <w:proofErr w:type="spellEnd"/>
      <w:r>
        <w:t xml:space="preserve"> type </w:t>
      </w:r>
      <w:proofErr w:type="gramStart"/>
      <w:r>
        <w:t>in  the</w:t>
      </w:r>
      <w:proofErr w:type="gramEnd"/>
      <w:r>
        <w:t xml:space="preserve"> B2MML-V0600-Commons,.xsd schema, as per V0500 Errata #1.</w:t>
      </w:r>
    </w:p>
    <w:p w:rsidR="001961C7" w:rsidRDefault="001961C7" w:rsidP="00D26E34">
      <w:pPr>
        <w:numPr>
          <w:ilvl w:val="0"/>
          <w:numId w:val="1"/>
        </w:numPr>
        <w:spacing w:before="0" w:after="120"/>
      </w:pPr>
      <w:r>
        <w:t xml:space="preserve">Changed the order of elements in the </w:t>
      </w:r>
      <w:proofErr w:type="spellStart"/>
      <w:r>
        <w:t>OpSegmentDataType</w:t>
      </w:r>
      <w:proofErr w:type="spellEnd"/>
      <w:r>
        <w:t xml:space="preserve"> to make it match the other schemas, as per V0500 Errata #4.2</w:t>
      </w:r>
    </w:p>
    <w:p w:rsidR="001961C7" w:rsidRDefault="001961C7" w:rsidP="001961C7"/>
    <w:p w:rsidR="001961C7" w:rsidRDefault="001961C7" w:rsidP="001961C7">
      <w:pPr>
        <w:pStyle w:val="Heading2"/>
      </w:pPr>
      <w:bookmarkStart w:id="7" w:name="_Toc351195368"/>
      <w:r>
        <w:t>Backward compatible changes</w:t>
      </w:r>
      <w:bookmarkEnd w:id="7"/>
      <w:r>
        <w:t xml:space="preserve"> </w:t>
      </w:r>
    </w:p>
    <w:p w:rsidR="001961C7" w:rsidRDefault="001961C7" w:rsidP="001961C7">
      <w:proofErr w:type="gramStart"/>
      <w:r>
        <w:t>Backward compatible changes to B2MML-V0500.</w:t>
      </w:r>
      <w:proofErr w:type="gramEnd"/>
    </w:p>
    <w:p w:rsidR="001961C7" w:rsidRDefault="001961C7" w:rsidP="00D26E34">
      <w:pPr>
        <w:numPr>
          <w:ilvl w:val="0"/>
          <w:numId w:val="3"/>
        </w:numPr>
        <w:spacing w:before="0" w:after="120"/>
      </w:pPr>
      <w:r>
        <w:t xml:space="preserve">Updated all copyrights and logos to MESA International.  </w:t>
      </w:r>
    </w:p>
    <w:p w:rsidR="001961C7" w:rsidRDefault="001961C7" w:rsidP="00D26E34">
      <w:pPr>
        <w:numPr>
          <w:ilvl w:val="0"/>
          <w:numId w:val="3"/>
        </w:numPr>
        <w:spacing w:before="0" w:after="120"/>
      </w:pPr>
      <w:r>
        <w:t xml:space="preserve">Corrected the </w:t>
      </w:r>
      <w:proofErr w:type="spellStart"/>
      <w:r>
        <w:t>maxOccurs</w:t>
      </w:r>
      <w:proofErr w:type="spellEnd"/>
      <w:r>
        <w:t xml:space="preserve"> for the </w:t>
      </w:r>
      <w:proofErr w:type="spellStart"/>
      <w:r>
        <w:t>OperationsMaterialBillType</w:t>
      </w:r>
      <w:proofErr w:type="spellEnd"/>
      <w:r>
        <w:t xml:space="preserve"> in the OperationsDefinition.xsd, as per V0500 Errata #3. </w:t>
      </w:r>
    </w:p>
    <w:p w:rsidR="001961C7" w:rsidRDefault="001961C7" w:rsidP="00D26E34">
      <w:pPr>
        <w:numPr>
          <w:ilvl w:val="0"/>
          <w:numId w:val="3"/>
        </w:numPr>
        <w:spacing w:before="0" w:after="120"/>
      </w:pPr>
      <w:r>
        <w:t xml:space="preserve">Corrected the </w:t>
      </w:r>
      <w:proofErr w:type="spellStart"/>
      <w:r>
        <w:t>maxOccurs</w:t>
      </w:r>
      <w:proofErr w:type="spellEnd"/>
      <w:r>
        <w:t xml:space="preserve"> for the </w:t>
      </w:r>
      <w:proofErr w:type="spellStart"/>
      <w:r>
        <w:t>SegmentDependancyType</w:t>
      </w:r>
      <w:proofErr w:type="spellEnd"/>
      <w:r>
        <w:t xml:space="preserve">, </w:t>
      </w:r>
      <w:proofErr w:type="spellStart"/>
      <w:r>
        <w:t>TimingFactor</w:t>
      </w:r>
      <w:proofErr w:type="spellEnd"/>
      <w:r>
        <w:t>, as per V0500 Errata #4.1</w:t>
      </w:r>
    </w:p>
    <w:p w:rsidR="001961C7" w:rsidRDefault="001961C7" w:rsidP="00D26E34">
      <w:pPr>
        <w:numPr>
          <w:ilvl w:val="0"/>
          <w:numId w:val="3"/>
        </w:numPr>
        <w:spacing w:before="0" w:after="120"/>
      </w:pPr>
      <w:r>
        <w:t xml:space="preserve">Made the </w:t>
      </w:r>
      <w:proofErr w:type="spellStart"/>
      <w:r>
        <w:t>OpMaterialActualPropertyType</w:t>
      </w:r>
      <w:proofErr w:type="spellEnd"/>
      <w:r>
        <w:t xml:space="preserve"> recursive in the OperationsPerformanceTypes.xsd, as per V0500 Errata #4.3</w:t>
      </w:r>
    </w:p>
    <w:p w:rsidR="001961C7" w:rsidRDefault="001961C7" w:rsidP="00D26E34">
      <w:pPr>
        <w:numPr>
          <w:ilvl w:val="0"/>
          <w:numId w:val="3"/>
        </w:numPr>
        <w:spacing w:before="0" w:after="120"/>
      </w:pPr>
      <w:r>
        <w:t xml:space="preserve">Made the </w:t>
      </w:r>
      <w:proofErr w:type="spellStart"/>
      <w:r>
        <w:t>OpMaterialRequirementPropertyType</w:t>
      </w:r>
      <w:proofErr w:type="spellEnd"/>
      <w:r>
        <w:t xml:space="preserve"> recursive in the OperationsSchedule.xsd, as per V0500 Errata #4.4.</w:t>
      </w:r>
    </w:p>
    <w:p w:rsidR="001961C7" w:rsidRDefault="001961C7" w:rsidP="00D26E34">
      <w:pPr>
        <w:numPr>
          <w:ilvl w:val="0"/>
          <w:numId w:val="3"/>
        </w:numPr>
        <w:spacing w:before="0" w:after="120"/>
      </w:pPr>
      <w:r>
        <w:t xml:space="preserve">The addition of the </w:t>
      </w:r>
      <w:proofErr w:type="spellStart"/>
      <w:r w:rsidRPr="00231051">
        <w:rPr>
          <w:b/>
        </w:rPr>
        <w:t>WorkDefinition</w:t>
      </w:r>
      <w:proofErr w:type="spellEnd"/>
      <w:r>
        <w:t xml:space="preserve"> schema, to support the ANSI/ISA 95.04 Work Master and Work Directives Models.</w:t>
      </w:r>
    </w:p>
    <w:p w:rsidR="001961C7" w:rsidRDefault="001961C7" w:rsidP="00D26E34">
      <w:pPr>
        <w:numPr>
          <w:ilvl w:val="0"/>
          <w:numId w:val="4"/>
        </w:numPr>
        <w:spacing w:before="0" w:after="120"/>
      </w:pPr>
      <w:r>
        <w:t xml:space="preserve">The transaction definitions follow the model defined in ISA 95.05 ed3 Working Draft 1.  </w:t>
      </w:r>
    </w:p>
    <w:p w:rsidR="001961C7" w:rsidRDefault="001961C7" w:rsidP="00D26E34">
      <w:pPr>
        <w:numPr>
          <w:ilvl w:val="0"/>
          <w:numId w:val="4"/>
        </w:numPr>
        <w:spacing w:before="0" w:after="120"/>
      </w:pPr>
      <w:r>
        <w:t xml:space="preserve">This includes transaction definitions for </w:t>
      </w:r>
      <w:proofErr w:type="spellStart"/>
      <w:r w:rsidRPr="00231051">
        <w:rPr>
          <w:b/>
        </w:rPr>
        <w:t>WorkMasters</w:t>
      </w:r>
      <w:proofErr w:type="spellEnd"/>
      <w:r>
        <w:t xml:space="preserve"> and </w:t>
      </w:r>
      <w:proofErr w:type="spellStart"/>
      <w:r w:rsidRPr="00231051">
        <w:rPr>
          <w:b/>
        </w:rPr>
        <w:t>WorkDirectives</w:t>
      </w:r>
      <w:proofErr w:type="spellEnd"/>
      <w:r w:rsidRPr="00231051">
        <w:t xml:space="preserve">, and </w:t>
      </w:r>
      <w:r>
        <w:t xml:space="preserve">the addition of a </w:t>
      </w:r>
      <w:proofErr w:type="spellStart"/>
      <w:r w:rsidRPr="00231051">
        <w:rPr>
          <w:b/>
        </w:rPr>
        <w:t>WorkDefinitionInformation</w:t>
      </w:r>
      <w:proofErr w:type="spellEnd"/>
      <w:r>
        <w:t xml:space="preserve"> element to hold multiple </w:t>
      </w:r>
      <w:proofErr w:type="spellStart"/>
      <w:r w:rsidRPr="00231051">
        <w:rPr>
          <w:b/>
        </w:rPr>
        <w:t>WorkMaster</w:t>
      </w:r>
      <w:proofErr w:type="spellEnd"/>
      <w:r>
        <w:t xml:space="preserve"> and/or </w:t>
      </w:r>
      <w:proofErr w:type="spellStart"/>
      <w:r w:rsidRPr="00231051">
        <w:rPr>
          <w:b/>
        </w:rPr>
        <w:t>WorkDirective</w:t>
      </w:r>
      <w:proofErr w:type="spellEnd"/>
      <w:r>
        <w:t xml:space="preserve"> elements.  </w:t>
      </w:r>
    </w:p>
    <w:p w:rsidR="001961C7" w:rsidRDefault="001961C7" w:rsidP="001961C7">
      <w:pPr>
        <w:jc w:val="right"/>
      </w:pPr>
      <w:r>
        <w:rPr>
          <w:noProof/>
        </w:rPr>
        <w:lastRenderedPageBreak/>
        <w:drawing>
          <wp:inline distT="0" distB="0" distL="0" distR="0" wp14:anchorId="6D0CC1AC" wp14:editId="1D6EC4D2">
            <wp:extent cx="5249545" cy="3225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b="17279"/>
                    <a:stretch>
                      <a:fillRect/>
                    </a:stretch>
                  </pic:blipFill>
                  <pic:spPr bwMode="auto">
                    <a:xfrm>
                      <a:off x="0" y="0"/>
                      <a:ext cx="5249545" cy="3225165"/>
                    </a:xfrm>
                    <a:prstGeom prst="rect">
                      <a:avLst/>
                    </a:prstGeom>
                    <a:noFill/>
                    <a:ln>
                      <a:noFill/>
                    </a:ln>
                  </pic:spPr>
                </pic:pic>
              </a:graphicData>
            </a:graphic>
          </wp:inline>
        </w:drawing>
      </w:r>
    </w:p>
    <w:p w:rsidR="001961C7" w:rsidRDefault="001961C7" w:rsidP="00D26E34">
      <w:pPr>
        <w:numPr>
          <w:ilvl w:val="0"/>
          <w:numId w:val="3"/>
        </w:numPr>
        <w:spacing w:before="0" w:after="120"/>
      </w:pPr>
      <w:r>
        <w:t xml:space="preserve">The addition of the </w:t>
      </w:r>
      <w:proofErr w:type="spellStart"/>
      <w:r w:rsidRPr="00231051">
        <w:rPr>
          <w:b/>
        </w:rPr>
        <w:t>ResourceRelationshipNetwork</w:t>
      </w:r>
      <w:proofErr w:type="spellEnd"/>
      <w:r>
        <w:t xml:space="preserve"> schema, to support the ANSI/ISA 95.04 Resource Relationship Network Model.</w:t>
      </w:r>
    </w:p>
    <w:p w:rsidR="001961C7" w:rsidRDefault="001961C7" w:rsidP="00D26E34">
      <w:pPr>
        <w:numPr>
          <w:ilvl w:val="0"/>
          <w:numId w:val="5"/>
        </w:numPr>
        <w:spacing w:before="0" w:after="120"/>
      </w:pPr>
      <w:r>
        <w:t xml:space="preserve">The transaction definitions follow the model defined in ISA 95.05 ed3 Working Draft 1.  </w:t>
      </w:r>
    </w:p>
    <w:p w:rsidR="001961C7" w:rsidRDefault="001961C7" w:rsidP="00D26E34">
      <w:pPr>
        <w:numPr>
          <w:ilvl w:val="0"/>
          <w:numId w:val="5"/>
        </w:numPr>
        <w:spacing w:before="0" w:after="120"/>
      </w:pPr>
      <w:r>
        <w:t xml:space="preserve">This includes transaction definitions for </w:t>
      </w:r>
      <w:proofErr w:type="spellStart"/>
      <w:r>
        <w:rPr>
          <w:b/>
        </w:rPr>
        <w:t>ResourceRelationshipNetworks</w:t>
      </w:r>
      <w:proofErr w:type="spellEnd"/>
      <w:r>
        <w:t xml:space="preserve"> and </w:t>
      </w:r>
      <w:proofErr w:type="spellStart"/>
      <w:r>
        <w:rPr>
          <w:b/>
        </w:rPr>
        <w:t>ResourceNetworkConnectionTypes</w:t>
      </w:r>
      <w:proofErr w:type="spellEnd"/>
      <w:r>
        <w:t xml:space="preserve">.  </w:t>
      </w:r>
    </w:p>
    <w:p w:rsidR="001961C7" w:rsidRDefault="001961C7" w:rsidP="001961C7">
      <w:pPr>
        <w:jc w:val="right"/>
      </w:pPr>
      <w:r>
        <w:rPr>
          <w:noProof/>
        </w:rPr>
        <w:drawing>
          <wp:inline distT="0" distB="0" distL="0" distR="0" wp14:anchorId="3D815DF8" wp14:editId="26FEB6FB">
            <wp:extent cx="5143500" cy="3796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b="15442"/>
                    <a:stretch>
                      <a:fillRect/>
                    </a:stretch>
                  </pic:blipFill>
                  <pic:spPr bwMode="auto">
                    <a:xfrm>
                      <a:off x="0" y="0"/>
                      <a:ext cx="5143500" cy="3796665"/>
                    </a:xfrm>
                    <a:prstGeom prst="rect">
                      <a:avLst/>
                    </a:prstGeom>
                    <a:noFill/>
                    <a:ln>
                      <a:noFill/>
                    </a:ln>
                  </pic:spPr>
                </pic:pic>
              </a:graphicData>
            </a:graphic>
          </wp:inline>
        </w:drawing>
      </w:r>
    </w:p>
    <w:p w:rsidR="001961C7" w:rsidRDefault="001961C7" w:rsidP="00D26E34">
      <w:pPr>
        <w:numPr>
          <w:ilvl w:val="0"/>
          <w:numId w:val="3"/>
        </w:numPr>
        <w:spacing w:before="0" w:after="120"/>
      </w:pPr>
      <w:r>
        <w:lastRenderedPageBreak/>
        <w:t xml:space="preserve">The addition of the </w:t>
      </w:r>
      <w:proofErr w:type="spellStart"/>
      <w:r w:rsidRPr="00231051">
        <w:rPr>
          <w:b/>
        </w:rPr>
        <w:t>WorkAlert</w:t>
      </w:r>
      <w:proofErr w:type="spellEnd"/>
      <w:r>
        <w:t xml:space="preserve"> schema, to support the ANSI/ISA 95.04 Work Alert Model.</w:t>
      </w:r>
    </w:p>
    <w:p w:rsidR="001961C7" w:rsidRDefault="001961C7" w:rsidP="00D26E34">
      <w:pPr>
        <w:numPr>
          <w:ilvl w:val="0"/>
          <w:numId w:val="6"/>
        </w:numPr>
        <w:spacing w:before="0" w:after="120"/>
      </w:pPr>
      <w:r>
        <w:t xml:space="preserve">The transaction definitions follow the model defined in ISA 95.05 ed3 Working Draft 1.  </w:t>
      </w:r>
    </w:p>
    <w:p w:rsidR="001961C7" w:rsidRDefault="001961C7" w:rsidP="00D26E34">
      <w:pPr>
        <w:numPr>
          <w:ilvl w:val="0"/>
          <w:numId w:val="4"/>
        </w:numPr>
        <w:spacing w:before="0" w:after="120"/>
      </w:pPr>
      <w:r>
        <w:t xml:space="preserve">This includes transaction definitions for </w:t>
      </w:r>
      <w:proofErr w:type="spellStart"/>
      <w:r>
        <w:rPr>
          <w:b/>
        </w:rPr>
        <w:t>WorkAlerts</w:t>
      </w:r>
      <w:proofErr w:type="spellEnd"/>
      <w:r>
        <w:t xml:space="preserve"> and </w:t>
      </w:r>
      <w:proofErr w:type="spellStart"/>
      <w:r>
        <w:rPr>
          <w:b/>
        </w:rPr>
        <w:t>WorkAlertTypes</w:t>
      </w:r>
      <w:proofErr w:type="spellEnd"/>
      <w:r w:rsidRPr="00231051">
        <w:t xml:space="preserve">, and </w:t>
      </w:r>
      <w:r>
        <w:t xml:space="preserve">the addition of a </w:t>
      </w:r>
      <w:proofErr w:type="spellStart"/>
      <w:r w:rsidRPr="00231051">
        <w:rPr>
          <w:b/>
        </w:rPr>
        <w:t>Work</w:t>
      </w:r>
      <w:r>
        <w:rPr>
          <w:b/>
        </w:rPr>
        <w:t>Alert</w:t>
      </w:r>
      <w:r w:rsidRPr="00231051">
        <w:rPr>
          <w:b/>
        </w:rPr>
        <w:t>Information</w:t>
      </w:r>
      <w:proofErr w:type="spellEnd"/>
      <w:r>
        <w:t xml:space="preserve"> element to hold multiple </w:t>
      </w:r>
      <w:proofErr w:type="spellStart"/>
      <w:r w:rsidRPr="00231051">
        <w:rPr>
          <w:b/>
        </w:rPr>
        <w:t>Work</w:t>
      </w:r>
      <w:r>
        <w:rPr>
          <w:b/>
        </w:rPr>
        <w:t>Alert</w:t>
      </w:r>
      <w:proofErr w:type="spellEnd"/>
      <w:r>
        <w:t xml:space="preserve"> and/or </w:t>
      </w:r>
      <w:proofErr w:type="spellStart"/>
      <w:r>
        <w:rPr>
          <w:b/>
        </w:rPr>
        <w:t>WorkAlertType</w:t>
      </w:r>
      <w:proofErr w:type="spellEnd"/>
      <w:r>
        <w:rPr>
          <w:b/>
        </w:rPr>
        <w:t xml:space="preserve"> </w:t>
      </w:r>
      <w:r>
        <w:t xml:space="preserve">elements.  </w:t>
      </w:r>
    </w:p>
    <w:p w:rsidR="001961C7" w:rsidRDefault="001961C7" w:rsidP="001961C7">
      <w:pPr>
        <w:jc w:val="center"/>
      </w:pPr>
      <w:r>
        <w:rPr>
          <w:noProof/>
        </w:rPr>
        <w:drawing>
          <wp:inline distT="0" distB="0" distL="0" distR="0" wp14:anchorId="14BE8464" wp14:editId="6BE9B58F">
            <wp:extent cx="3380105"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0105" cy="3371850"/>
                    </a:xfrm>
                    <a:prstGeom prst="rect">
                      <a:avLst/>
                    </a:prstGeom>
                    <a:noFill/>
                    <a:ln>
                      <a:noFill/>
                    </a:ln>
                  </pic:spPr>
                </pic:pic>
              </a:graphicData>
            </a:graphic>
          </wp:inline>
        </w:drawing>
      </w:r>
    </w:p>
    <w:p w:rsidR="001961C7" w:rsidRDefault="001961C7" w:rsidP="00D26E34">
      <w:pPr>
        <w:numPr>
          <w:ilvl w:val="0"/>
          <w:numId w:val="3"/>
        </w:numPr>
        <w:spacing w:before="0" w:after="120"/>
      </w:pPr>
      <w:r>
        <w:t xml:space="preserve">The addition of the </w:t>
      </w:r>
      <w:proofErr w:type="spellStart"/>
      <w:r w:rsidRPr="00231051">
        <w:rPr>
          <w:b/>
        </w:rPr>
        <w:t>WorkCapability</w:t>
      </w:r>
      <w:proofErr w:type="spellEnd"/>
      <w:r>
        <w:t xml:space="preserve"> schema, to support the ANSI/ISA 95.04 Work Capability Model.</w:t>
      </w:r>
    </w:p>
    <w:p w:rsidR="001961C7" w:rsidRDefault="001961C7" w:rsidP="00D26E34">
      <w:pPr>
        <w:numPr>
          <w:ilvl w:val="0"/>
          <w:numId w:val="7"/>
        </w:numPr>
        <w:spacing w:before="0" w:after="120"/>
      </w:pPr>
      <w:r>
        <w:t xml:space="preserve">The transaction definitions follow the model defined in ISA 95.05 ed3 Working Draft 1.  </w:t>
      </w:r>
    </w:p>
    <w:p w:rsidR="001961C7" w:rsidRDefault="001961C7" w:rsidP="00D26E34">
      <w:pPr>
        <w:numPr>
          <w:ilvl w:val="0"/>
          <w:numId w:val="7"/>
        </w:numPr>
        <w:spacing w:before="0" w:after="120"/>
      </w:pPr>
      <w:r>
        <w:t xml:space="preserve">This includes transaction definitions for </w:t>
      </w:r>
      <w:proofErr w:type="spellStart"/>
      <w:r>
        <w:rPr>
          <w:b/>
        </w:rPr>
        <w:t>WorkCapability</w:t>
      </w:r>
      <w:proofErr w:type="spellEnd"/>
      <w:r>
        <w:t xml:space="preserve">.  </w:t>
      </w:r>
    </w:p>
    <w:p w:rsidR="001961C7" w:rsidRDefault="001961C7" w:rsidP="001961C7">
      <w:pPr>
        <w:jc w:val="right"/>
      </w:pPr>
      <w:r>
        <w:rPr>
          <w:noProof/>
        </w:rPr>
        <w:drawing>
          <wp:inline distT="0" distB="0" distL="0" distR="0" wp14:anchorId="7FE728DB" wp14:editId="621747C7">
            <wp:extent cx="5143500" cy="3110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b="19272"/>
                    <a:stretch>
                      <a:fillRect/>
                    </a:stretch>
                  </pic:blipFill>
                  <pic:spPr bwMode="auto">
                    <a:xfrm>
                      <a:off x="0" y="0"/>
                      <a:ext cx="5143500" cy="3110865"/>
                    </a:xfrm>
                    <a:prstGeom prst="rect">
                      <a:avLst/>
                    </a:prstGeom>
                    <a:noFill/>
                    <a:ln>
                      <a:noFill/>
                    </a:ln>
                  </pic:spPr>
                </pic:pic>
              </a:graphicData>
            </a:graphic>
          </wp:inline>
        </w:drawing>
      </w:r>
    </w:p>
    <w:p w:rsidR="001961C7" w:rsidRDefault="001961C7" w:rsidP="00D26E34">
      <w:pPr>
        <w:numPr>
          <w:ilvl w:val="0"/>
          <w:numId w:val="3"/>
        </w:numPr>
        <w:spacing w:before="0" w:after="120"/>
      </w:pPr>
      <w:r>
        <w:lastRenderedPageBreak/>
        <w:t xml:space="preserve">The addition of the </w:t>
      </w:r>
      <w:proofErr w:type="spellStart"/>
      <w:r w:rsidRPr="00231051">
        <w:rPr>
          <w:b/>
        </w:rPr>
        <w:t>WorkSchedule</w:t>
      </w:r>
      <w:proofErr w:type="spellEnd"/>
      <w:r>
        <w:t xml:space="preserve"> schema, to support the ANSI/ISA 95.04 Work Schedule Model.</w:t>
      </w:r>
      <w:r w:rsidRPr="00CC4EB9">
        <w:t xml:space="preserve"> </w:t>
      </w:r>
    </w:p>
    <w:p w:rsidR="001961C7" w:rsidRDefault="001961C7" w:rsidP="00D26E34">
      <w:pPr>
        <w:numPr>
          <w:ilvl w:val="0"/>
          <w:numId w:val="8"/>
        </w:numPr>
        <w:spacing w:before="0" w:after="120"/>
      </w:pPr>
      <w:r>
        <w:t xml:space="preserve">The transaction definitions follow the model defined in ISA 95.05 ed3 Working Draft 1.  </w:t>
      </w:r>
    </w:p>
    <w:p w:rsidR="001961C7" w:rsidRDefault="001961C7" w:rsidP="00D26E34">
      <w:pPr>
        <w:numPr>
          <w:ilvl w:val="0"/>
          <w:numId w:val="8"/>
        </w:numPr>
        <w:spacing w:before="0" w:after="120"/>
      </w:pPr>
      <w:r>
        <w:t xml:space="preserve">This includes transaction definitions for </w:t>
      </w:r>
      <w:proofErr w:type="spellStart"/>
      <w:r>
        <w:rPr>
          <w:b/>
        </w:rPr>
        <w:t>WorkSchedules</w:t>
      </w:r>
      <w:proofErr w:type="spellEnd"/>
      <w:r>
        <w:t xml:space="preserve"> and </w:t>
      </w:r>
      <w:proofErr w:type="spellStart"/>
      <w:r>
        <w:rPr>
          <w:b/>
        </w:rPr>
        <w:t>JobLists</w:t>
      </w:r>
      <w:proofErr w:type="spellEnd"/>
      <w:r>
        <w:t xml:space="preserve">.  </w:t>
      </w:r>
    </w:p>
    <w:p w:rsidR="001961C7" w:rsidRDefault="001961C7" w:rsidP="001961C7">
      <w:pPr>
        <w:jc w:val="right"/>
      </w:pPr>
      <w:r>
        <w:rPr>
          <w:noProof/>
        </w:rPr>
        <w:drawing>
          <wp:inline distT="0" distB="0" distL="0" distR="0" wp14:anchorId="32297EA0" wp14:editId="7CEB9816">
            <wp:extent cx="5160010" cy="3608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b="13319"/>
                    <a:stretch>
                      <a:fillRect/>
                    </a:stretch>
                  </pic:blipFill>
                  <pic:spPr bwMode="auto">
                    <a:xfrm>
                      <a:off x="0" y="0"/>
                      <a:ext cx="5160010" cy="3608705"/>
                    </a:xfrm>
                    <a:prstGeom prst="rect">
                      <a:avLst/>
                    </a:prstGeom>
                    <a:noFill/>
                    <a:ln>
                      <a:noFill/>
                    </a:ln>
                  </pic:spPr>
                </pic:pic>
              </a:graphicData>
            </a:graphic>
          </wp:inline>
        </w:drawing>
      </w:r>
    </w:p>
    <w:p w:rsidR="001961C7" w:rsidRDefault="001961C7" w:rsidP="00D26E34">
      <w:pPr>
        <w:numPr>
          <w:ilvl w:val="0"/>
          <w:numId w:val="3"/>
        </w:numPr>
        <w:spacing w:before="0" w:after="120"/>
      </w:pPr>
      <w:r>
        <w:t xml:space="preserve">The addition of the </w:t>
      </w:r>
      <w:proofErr w:type="spellStart"/>
      <w:r w:rsidRPr="00231051">
        <w:rPr>
          <w:b/>
        </w:rPr>
        <w:t>WorkPerformance</w:t>
      </w:r>
      <w:proofErr w:type="spellEnd"/>
      <w:r>
        <w:t xml:space="preserve"> schema, to support the ANSI/ISA 95.04 Work Performance Model.</w:t>
      </w:r>
    </w:p>
    <w:p w:rsidR="001961C7" w:rsidRDefault="001961C7" w:rsidP="00D26E34">
      <w:pPr>
        <w:numPr>
          <w:ilvl w:val="0"/>
          <w:numId w:val="12"/>
        </w:numPr>
        <w:spacing w:before="0" w:after="120"/>
      </w:pPr>
      <w:r>
        <w:t xml:space="preserve">The transaction definitions follow the model defined in ISA 95.05 ed3 Working Draft 1.  </w:t>
      </w:r>
    </w:p>
    <w:p w:rsidR="001961C7" w:rsidRDefault="001961C7" w:rsidP="00D26E34">
      <w:pPr>
        <w:numPr>
          <w:ilvl w:val="0"/>
          <w:numId w:val="12"/>
        </w:numPr>
        <w:spacing w:before="0" w:after="120"/>
      </w:pPr>
      <w:r>
        <w:t xml:space="preserve">This includes transaction definitions for </w:t>
      </w:r>
      <w:proofErr w:type="spellStart"/>
      <w:r>
        <w:rPr>
          <w:b/>
        </w:rPr>
        <w:t>WorkPerformance</w:t>
      </w:r>
      <w:proofErr w:type="spellEnd"/>
      <w:r>
        <w:t xml:space="preserve"> and </w:t>
      </w:r>
      <w:proofErr w:type="spellStart"/>
      <w:r>
        <w:rPr>
          <w:b/>
        </w:rPr>
        <w:t>JobResponse</w:t>
      </w:r>
      <w:proofErr w:type="spellEnd"/>
      <w:r>
        <w:t xml:space="preserve">.  </w:t>
      </w:r>
    </w:p>
    <w:p w:rsidR="001961C7" w:rsidRDefault="001961C7" w:rsidP="001961C7">
      <w:pPr>
        <w:jc w:val="right"/>
      </w:pPr>
      <w:r>
        <w:rPr>
          <w:noProof/>
        </w:rPr>
        <w:lastRenderedPageBreak/>
        <w:drawing>
          <wp:inline distT="0" distB="0" distL="0" distR="0" wp14:anchorId="75368DA2" wp14:editId="48E4739E">
            <wp:extent cx="5143500" cy="4253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b="12415"/>
                    <a:stretch>
                      <a:fillRect/>
                    </a:stretch>
                  </pic:blipFill>
                  <pic:spPr bwMode="auto">
                    <a:xfrm>
                      <a:off x="0" y="0"/>
                      <a:ext cx="5143500" cy="4253865"/>
                    </a:xfrm>
                    <a:prstGeom prst="rect">
                      <a:avLst/>
                    </a:prstGeom>
                    <a:noFill/>
                    <a:ln>
                      <a:noFill/>
                    </a:ln>
                  </pic:spPr>
                </pic:pic>
              </a:graphicData>
            </a:graphic>
          </wp:inline>
        </w:drawing>
      </w:r>
    </w:p>
    <w:p w:rsidR="001961C7" w:rsidRDefault="001961C7" w:rsidP="00D26E34">
      <w:pPr>
        <w:numPr>
          <w:ilvl w:val="0"/>
          <w:numId w:val="3"/>
        </w:numPr>
        <w:spacing w:before="0" w:after="120"/>
      </w:pPr>
      <w:r>
        <w:t xml:space="preserve">The addition of the </w:t>
      </w:r>
      <w:proofErr w:type="spellStart"/>
      <w:r w:rsidRPr="00231051">
        <w:rPr>
          <w:b/>
        </w:rPr>
        <w:t>WorkflowSpecification</w:t>
      </w:r>
      <w:proofErr w:type="spellEnd"/>
      <w:r>
        <w:t xml:space="preserve"> schema, to support the ANSI/ISA 95.04 Workflow Specification Model.</w:t>
      </w:r>
    </w:p>
    <w:p w:rsidR="001961C7" w:rsidRDefault="001961C7" w:rsidP="00D26E34">
      <w:pPr>
        <w:numPr>
          <w:ilvl w:val="0"/>
          <w:numId w:val="9"/>
        </w:numPr>
        <w:spacing w:before="0" w:after="120"/>
      </w:pPr>
      <w:r>
        <w:t xml:space="preserve">The transaction definitions follow the model defined in ISA 95.05 ed3 Working Draft 1.  </w:t>
      </w:r>
    </w:p>
    <w:p w:rsidR="001961C7" w:rsidRDefault="001961C7" w:rsidP="00D26E34">
      <w:pPr>
        <w:numPr>
          <w:ilvl w:val="0"/>
          <w:numId w:val="9"/>
        </w:numPr>
        <w:spacing w:before="0" w:after="120"/>
      </w:pPr>
      <w:r>
        <w:t xml:space="preserve">This includes transaction definitions for </w:t>
      </w:r>
      <w:proofErr w:type="spellStart"/>
      <w:r>
        <w:rPr>
          <w:b/>
        </w:rPr>
        <w:t>WorkflowSpecification</w:t>
      </w:r>
      <w:proofErr w:type="spellEnd"/>
      <w:r>
        <w:t xml:space="preserve"> and </w:t>
      </w:r>
      <w:proofErr w:type="spellStart"/>
      <w:r>
        <w:rPr>
          <w:b/>
        </w:rPr>
        <w:t>WorkflowSpecificationTypes</w:t>
      </w:r>
      <w:proofErr w:type="spellEnd"/>
      <w:r>
        <w:t xml:space="preserve">.  </w:t>
      </w:r>
    </w:p>
    <w:p w:rsidR="001961C7" w:rsidRDefault="001961C7" w:rsidP="00D26E34">
      <w:pPr>
        <w:numPr>
          <w:ilvl w:val="0"/>
          <w:numId w:val="9"/>
        </w:numPr>
        <w:spacing w:before="0" w:after="120"/>
      </w:pPr>
      <w:r>
        <w:t xml:space="preserve">Workflow nodes and connection properties were also made recursive, allowing for nested properties to match the ISA 95.02 Resource models.  </w:t>
      </w:r>
    </w:p>
    <w:p w:rsidR="001961C7" w:rsidRDefault="001961C7" w:rsidP="001961C7">
      <w:pPr>
        <w:jc w:val="right"/>
      </w:pPr>
      <w:r>
        <w:rPr>
          <w:noProof/>
        </w:rPr>
        <w:lastRenderedPageBreak/>
        <w:drawing>
          <wp:inline distT="0" distB="0" distL="0" distR="0" wp14:anchorId="7F34404C" wp14:editId="1293A3E4">
            <wp:extent cx="5029200" cy="3347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9200" cy="3347085"/>
                    </a:xfrm>
                    <a:prstGeom prst="rect">
                      <a:avLst/>
                    </a:prstGeom>
                    <a:noFill/>
                    <a:ln>
                      <a:noFill/>
                    </a:ln>
                  </pic:spPr>
                </pic:pic>
              </a:graphicData>
            </a:graphic>
          </wp:inline>
        </w:drawing>
      </w:r>
    </w:p>
    <w:p w:rsidR="001961C7" w:rsidRDefault="001961C7" w:rsidP="00D26E34">
      <w:pPr>
        <w:numPr>
          <w:ilvl w:val="0"/>
          <w:numId w:val="3"/>
        </w:numPr>
        <w:spacing w:before="0" w:after="120"/>
      </w:pPr>
      <w:r>
        <w:t xml:space="preserve">Update to the </w:t>
      </w:r>
      <w:proofErr w:type="spellStart"/>
      <w:r w:rsidRPr="00231051">
        <w:rPr>
          <w:b/>
        </w:rPr>
        <w:t>TransactionProfile</w:t>
      </w:r>
      <w:proofErr w:type="spellEnd"/>
      <w:r>
        <w:t xml:space="preserve"> schema to support the new schemas mentioned above in items 6 through 12.</w:t>
      </w:r>
    </w:p>
    <w:tbl>
      <w:tblPr>
        <w:tblW w:w="891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850"/>
      </w:tblGrid>
      <w:tr w:rsidR="001961C7" w:rsidRPr="00BD33D9" w:rsidTr="00C7462F">
        <w:trPr>
          <w:cantSplit/>
        </w:trPr>
        <w:tc>
          <w:tcPr>
            <w:tcW w:w="3060" w:type="dxa"/>
          </w:tcPr>
          <w:p w:rsidR="001961C7" w:rsidRPr="00BD33D9" w:rsidRDefault="001961C7" w:rsidP="00C7462F">
            <w:pPr>
              <w:pStyle w:val="BoxedElement"/>
              <w:rPr>
                <w:b/>
                <w:bCs/>
                <w:i/>
                <w:iCs/>
              </w:rPr>
            </w:pPr>
            <w:proofErr w:type="spellStart"/>
            <w:r w:rsidRPr="00BD33D9">
              <w:rPr>
                <w:b/>
                <w:bCs/>
                <w:i/>
                <w:iCs/>
              </w:rPr>
              <w:t>TransactionNounType</w:t>
            </w:r>
            <w:proofErr w:type="spellEnd"/>
          </w:p>
        </w:tc>
        <w:tc>
          <w:tcPr>
            <w:tcW w:w="5850" w:type="dxa"/>
          </w:tcPr>
          <w:p w:rsidR="001961C7" w:rsidRPr="00BD33D9" w:rsidRDefault="001961C7" w:rsidP="00C7462F">
            <w:pPr>
              <w:pStyle w:val="BoxedElement"/>
            </w:pPr>
            <w:r w:rsidRPr="00BD33D9">
              <w:t xml:space="preserve">A string used to indicate the noun supported by a transaction that is defined in a </w:t>
            </w:r>
            <w:proofErr w:type="spellStart"/>
            <w:r w:rsidRPr="00BD33D9">
              <w:t>TransactionProfile</w:t>
            </w:r>
            <w:proofErr w:type="spellEnd"/>
            <w:r w:rsidRPr="00BD33D9">
              <w:t xml:space="preserve">. The value must be one of the following standard enumerations: </w:t>
            </w:r>
          </w:p>
          <w:p w:rsidR="001961C7" w:rsidRPr="00BD33D9" w:rsidRDefault="001961C7" w:rsidP="00C7462F">
            <w:pPr>
              <w:pStyle w:val="BoxedElement"/>
            </w:pPr>
            <w:r w:rsidRPr="00BD33D9">
              <w:t>“</w:t>
            </w:r>
            <w:r w:rsidRPr="00BD33D9">
              <w:rPr>
                <w:b/>
              </w:rPr>
              <w:t>PERSONNEL CLASS</w:t>
            </w:r>
            <w:r w:rsidRPr="00BD33D9">
              <w:t>", “</w:t>
            </w:r>
            <w:r w:rsidRPr="00BD33D9">
              <w:rPr>
                <w:b/>
              </w:rPr>
              <w:t>PERSON</w:t>
            </w:r>
            <w:r w:rsidRPr="00BD33D9">
              <w:t>", “</w:t>
            </w:r>
            <w:r w:rsidRPr="00BD33D9">
              <w:rPr>
                <w:b/>
              </w:rPr>
              <w:t>QUALIFICATION TEST</w:t>
            </w:r>
            <w:r w:rsidRPr="00BD33D9">
              <w:t>", “</w:t>
            </w:r>
            <w:r w:rsidRPr="00BD33D9">
              <w:rPr>
                <w:b/>
              </w:rPr>
              <w:t>EQUIPMENT CLASS</w:t>
            </w:r>
            <w:r w:rsidRPr="00BD33D9">
              <w:t>", “</w:t>
            </w:r>
            <w:r w:rsidRPr="00BD33D9">
              <w:rPr>
                <w:b/>
              </w:rPr>
              <w:t>EQUIPMENT</w:t>
            </w:r>
            <w:r w:rsidRPr="00BD33D9">
              <w:t>", “</w:t>
            </w:r>
            <w:r w:rsidRPr="00BD33D9">
              <w:rPr>
                <w:b/>
              </w:rPr>
              <w:t>CAPABILITY TEST</w:t>
            </w:r>
            <w:r w:rsidRPr="00BD33D9">
              <w:t>", “</w:t>
            </w:r>
            <w:r w:rsidRPr="00BD33D9">
              <w:rPr>
                <w:b/>
              </w:rPr>
              <w:t>MAINTENANCE REQUEST</w:t>
            </w:r>
            <w:r w:rsidRPr="00BD33D9">
              <w:t>", “</w:t>
            </w:r>
            <w:r w:rsidRPr="00BD33D9">
              <w:rPr>
                <w:b/>
              </w:rPr>
              <w:t>MAINTENANCE WORK ORDER</w:t>
            </w:r>
            <w:r w:rsidRPr="00BD33D9">
              <w:t>", “</w:t>
            </w:r>
            <w:r w:rsidRPr="00BD33D9">
              <w:rPr>
                <w:b/>
              </w:rPr>
              <w:t>MAINTENANCE RESPONSE</w:t>
            </w:r>
            <w:r w:rsidRPr="00BD33D9">
              <w:t>", “</w:t>
            </w:r>
            <w:r w:rsidRPr="00BD33D9">
              <w:rPr>
                <w:b/>
              </w:rPr>
              <w:t>MATERIAL CLAS</w:t>
            </w:r>
            <w:r w:rsidRPr="00BD33D9">
              <w:t>S", "</w:t>
            </w:r>
            <w:r w:rsidRPr="00BD33D9">
              <w:rPr>
                <w:b/>
              </w:rPr>
              <w:t>MATERIAL DEFINITION</w:t>
            </w:r>
            <w:r w:rsidRPr="00BD33D9">
              <w:t>", “</w:t>
            </w:r>
            <w:r w:rsidRPr="00BD33D9">
              <w:rPr>
                <w:b/>
              </w:rPr>
              <w:t>MATERIAL LOT</w:t>
            </w:r>
            <w:r w:rsidRPr="00BD33D9">
              <w:t>", “</w:t>
            </w:r>
            <w:r w:rsidRPr="00BD33D9">
              <w:rPr>
                <w:b/>
              </w:rPr>
              <w:t>MATERIAL SUBLOT</w:t>
            </w:r>
            <w:r w:rsidRPr="00BD33D9">
              <w:t>", "</w:t>
            </w:r>
            <w:r w:rsidRPr="00BD33D9">
              <w:rPr>
                <w:b/>
              </w:rPr>
              <w:t>MATERIAL TEST</w:t>
            </w:r>
            <w:r w:rsidRPr="00BD33D9">
              <w:t>", "</w:t>
            </w:r>
            <w:r w:rsidRPr="00BD33D9">
              <w:rPr>
                <w:b/>
              </w:rPr>
              <w:t>PROCESS SEGMENT</w:t>
            </w:r>
            <w:r w:rsidRPr="00BD33D9">
              <w:t>", "</w:t>
            </w:r>
            <w:r w:rsidRPr="00BD33D9">
              <w:rPr>
                <w:b/>
              </w:rPr>
              <w:t>OPERATIONS CAPABILITY</w:t>
            </w:r>
            <w:r w:rsidRPr="00BD33D9">
              <w:t>", “</w:t>
            </w:r>
            <w:r w:rsidRPr="00BD33D9">
              <w:rPr>
                <w:b/>
              </w:rPr>
              <w:t>OPERATIONS DEFINITION</w:t>
            </w:r>
            <w:r w:rsidRPr="00BD33D9">
              <w:t>", “</w:t>
            </w:r>
            <w:r w:rsidRPr="00BD33D9">
              <w:rPr>
                <w:b/>
              </w:rPr>
              <w:t>OPERATIONS SCHEDULE</w:t>
            </w:r>
            <w:r w:rsidRPr="00BD33D9">
              <w:t>", “</w:t>
            </w:r>
            <w:r w:rsidRPr="00BD33D9">
              <w:rPr>
                <w:b/>
              </w:rPr>
              <w:t>OPERATIONS PERFORMANCE</w:t>
            </w:r>
            <w:r w:rsidRPr="00BD33D9">
              <w:t>", "</w:t>
            </w:r>
            <w:r w:rsidRPr="00BD33D9">
              <w:rPr>
                <w:b/>
              </w:rPr>
              <w:t>PRODUCTION CAPABILITY</w:t>
            </w:r>
            <w:r w:rsidRPr="00BD33D9">
              <w:t>", “</w:t>
            </w:r>
            <w:r w:rsidRPr="00BD33D9">
              <w:rPr>
                <w:b/>
              </w:rPr>
              <w:t>PRODUCT DEFINITION</w:t>
            </w:r>
            <w:r w:rsidRPr="00BD33D9">
              <w:t>", “</w:t>
            </w:r>
            <w:r w:rsidRPr="00BD33D9">
              <w:rPr>
                <w:b/>
              </w:rPr>
              <w:t>PRODUCTION SCHEDULE</w:t>
            </w:r>
            <w:r w:rsidRPr="00BD33D9">
              <w:t>", “</w:t>
            </w:r>
            <w:r w:rsidRPr="00BD33D9">
              <w:rPr>
                <w:b/>
              </w:rPr>
              <w:t>PRODUCTION PERFORMANCE</w:t>
            </w:r>
            <w:r w:rsidRPr="00BD33D9">
              <w:t>", “</w:t>
            </w:r>
            <w:r w:rsidRPr="00BD33D9">
              <w:rPr>
                <w:b/>
              </w:rPr>
              <w:t>TRANSACTION PROFILE</w:t>
            </w:r>
            <w:r w:rsidRPr="00BD33D9">
              <w:t>",</w:t>
            </w:r>
            <w:r>
              <w:t xml:space="preserve"> </w:t>
            </w:r>
            <w:r w:rsidRPr="0056528C">
              <w:rPr>
                <w:b/>
                <w:u w:val="single"/>
              </w:rPr>
              <w:t>“</w:t>
            </w:r>
            <w:r w:rsidRPr="0056528C">
              <w:rPr>
                <w:b/>
                <w:highlight w:val="lightGray"/>
                <w:u w:val="single"/>
              </w:rPr>
              <w:t>RESOURCE RELATIONSHIP NETWORK", “RESOURCE NETWORK CONNECTION INFORMATION", “WORK ALERT", “WORK ALERT DEFINITION", "WORK ALERT INFORMATION", "WORK DEFINITION INFORMATION", “WORK DIRECTIVE", "WORK MASTER", "WORK FLOW INFORMATION", "WORK FLOW SPECIFICATION", "WORK FLOW SPECIFICATION TYPE", "WORK SCHEDULE", “JOB LIST", “WORK PERFORMANCE", “JOB RESPONSE”, "WORK CAPABILITY", "WORK CAPABILITY INFORMATION",</w:t>
            </w:r>
            <w:r w:rsidRPr="00AD1993">
              <w:rPr>
                <w:b/>
              </w:rPr>
              <w:t xml:space="preserve"> </w:t>
            </w:r>
            <w:r w:rsidRPr="00AD1993">
              <w:t>“</w:t>
            </w:r>
            <w:r w:rsidRPr="00AD1993">
              <w:rPr>
                <w:b/>
              </w:rPr>
              <w:t>CONFIRM BOD</w:t>
            </w:r>
            <w:r w:rsidRPr="00AD1993">
              <w:t>”, or “</w:t>
            </w:r>
            <w:r w:rsidRPr="00AD1993">
              <w:rPr>
                <w:b/>
              </w:rPr>
              <w:t>Other</w:t>
            </w:r>
            <w:r w:rsidRPr="00AD1993">
              <w:t>”</w:t>
            </w:r>
          </w:p>
          <w:p w:rsidR="001961C7" w:rsidRPr="00BD33D9" w:rsidRDefault="001961C7" w:rsidP="00C7462F">
            <w:pPr>
              <w:pStyle w:val="BoxedElement"/>
            </w:pPr>
            <w:r w:rsidRPr="00BD33D9">
              <w:t>If “Other” then the type is an application specific extension and the value is defined in the attribute “</w:t>
            </w:r>
            <w:proofErr w:type="spellStart"/>
            <w:r w:rsidRPr="00BD33D9">
              <w:t>OtherValue</w:t>
            </w:r>
            <w:proofErr w:type="spellEnd"/>
            <w:r w:rsidRPr="00BD33D9">
              <w:t>”.</w:t>
            </w:r>
          </w:p>
        </w:tc>
      </w:tr>
    </w:tbl>
    <w:p w:rsidR="001961C7" w:rsidRDefault="001961C7" w:rsidP="001961C7"/>
    <w:p w:rsidR="001961C7" w:rsidRDefault="001961C7" w:rsidP="00D26E34">
      <w:pPr>
        <w:numPr>
          <w:ilvl w:val="0"/>
          <w:numId w:val="3"/>
        </w:numPr>
        <w:spacing w:before="0" w:after="120"/>
      </w:pPr>
      <w:r>
        <w:t xml:space="preserve">Updated the transaction schemas to support the </w:t>
      </w:r>
      <w:proofErr w:type="spellStart"/>
      <w:r>
        <w:t>OAGiS</w:t>
      </w:r>
      <w:proofErr w:type="spellEnd"/>
      <w:r>
        <w:t xml:space="preserve"> 9.6 changes:</w:t>
      </w:r>
    </w:p>
    <w:p w:rsidR="001961C7" w:rsidRDefault="001961C7" w:rsidP="00D26E34">
      <w:pPr>
        <w:numPr>
          <w:ilvl w:val="1"/>
          <w:numId w:val="3"/>
        </w:numPr>
        <w:spacing w:before="0" w:after="120"/>
      </w:pPr>
      <w:r>
        <w:t xml:space="preserve">Multiple optional </w:t>
      </w:r>
      <w:r w:rsidRPr="00231051">
        <w:rPr>
          <w:b/>
        </w:rPr>
        <w:t>Receiver</w:t>
      </w:r>
      <w:r>
        <w:t xml:space="preserve"> elements in the Application area of a transaction message</w:t>
      </w:r>
    </w:p>
    <w:tbl>
      <w:tblPr>
        <w:tblW w:w="891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300"/>
      </w:tblGrid>
      <w:tr w:rsidR="001961C7" w:rsidRPr="00031E8E" w:rsidTr="00C7462F">
        <w:trPr>
          <w:cantSplit/>
        </w:trPr>
        <w:tc>
          <w:tcPr>
            <w:tcW w:w="2610" w:type="dxa"/>
          </w:tcPr>
          <w:p w:rsidR="001961C7" w:rsidRPr="00031E8E" w:rsidRDefault="001961C7" w:rsidP="00C7462F">
            <w:pPr>
              <w:pStyle w:val="BoxedElement"/>
              <w:rPr>
                <w:b/>
                <w:bCs/>
                <w:i/>
                <w:iCs/>
              </w:rPr>
            </w:pPr>
            <w:proofErr w:type="spellStart"/>
            <w:r w:rsidRPr="00031E8E">
              <w:rPr>
                <w:b/>
                <w:bCs/>
                <w:i/>
                <w:iCs/>
              </w:rPr>
              <w:lastRenderedPageBreak/>
              <w:t>TransApplicationAreaType</w:t>
            </w:r>
            <w:proofErr w:type="spellEnd"/>
            <w:r w:rsidRPr="00031E8E">
              <w:rPr>
                <w:b/>
                <w:bCs/>
                <w:i/>
                <w:iCs/>
              </w:rPr>
              <w:t xml:space="preserve"> </w:t>
            </w:r>
          </w:p>
          <w:p w:rsidR="001961C7" w:rsidRPr="00031E8E" w:rsidRDefault="001961C7" w:rsidP="00C7462F">
            <w:pPr>
              <w:pStyle w:val="BoxedElement"/>
              <w:rPr>
                <w:bCs/>
                <w:iCs/>
              </w:rPr>
            </w:pPr>
            <w:proofErr w:type="spellStart"/>
            <w:r w:rsidRPr="00031E8E">
              <w:rPr>
                <w:bCs/>
                <w:iCs/>
              </w:rPr>
              <w:t>ApplicationArea</w:t>
            </w:r>
            <w:proofErr w:type="spellEnd"/>
          </w:p>
          <w:p w:rsidR="001961C7" w:rsidRPr="00031E8E" w:rsidRDefault="001961C7" w:rsidP="00C7462F">
            <w:pPr>
              <w:pStyle w:val="BoxedElement"/>
              <w:rPr>
                <w:bCs/>
                <w:iCs/>
              </w:rPr>
            </w:pPr>
            <w:proofErr w:type="spellStart"/>
            <w:r w:rsidRPr="00031E8E">
              <w:rPr>
                <w:bCs/>
                <w:iCs/>
              </w:rPr>
              <w:t>OriginalApplicationArea</w:t>
            </w:r>
            <w:proofErr w:type="spellEnd"/>
          </w:p>
        </w:tc>
        <w:tc>
          <w:tcPr>
            <w:tcW w:w="6300" w:type="dxa"/>
          </w:tcPr>
          <w:p w:rsidR="001961C7" w:rsidRPr="00031E8E" w:rsidRDefault="001961C7" w:rsidP="00C7462F">
            <w:pPr>
              <w:pStyle w:val="BoxedElement"/>
            </w:pPr>
            <w:r w:rsidRPr="00031E8E">
              <w:t>A complex type that contains:</w:t>
            </w:r>
          </w:p>
          <w:p w:rsidR="001961C7" w:rsidRDefault="001961C7" w:rsidP="00D26E34">
            <w:pPr>
              <w:pStyle w:val="BoxedElement"/>
              <w:numPr>
                <w:ilvl w:val="0"/>
                <w:numId w:val="11"/>
              </w:numPr>
            </w:pPr>
            <w:r w:rsidRPr="00031E8E">
              <w:t xml:space="preserve">An optional identification of the sender of the message (see </w:t>
            </w:r>
            <w:proofErr w:type="spellStart"/>
            <w:r w:rsidRPr="00031E8E">
              <w:rPr>
                <w:b/>
              </w:rPr>
              <w:t>TransSenderType</w:t>
            </w:r>
            <w:proofErr w:type="spellEnd"/>
            <w:r w:rsidRPr="00031E8E">
              <w:t xml:space="preserve">) </w:t>
            </w:r>
          </w:p>
          <w:p w:rsidR="001961C7" w:rsidRPr="0056528C" w:rsidRDefault="001961C7" w:rsidP="00D26E34">
            <w:pPr>
              <w:pStyle w:val="BoxedElement"/>
              <w:numPr>
                <w:ilvl w:val="0"/>
                <w:numId w:val="11"/>
              </w:numPr>
              <w:rPr>
                <w:highlight w:val="lightGray"/>
                <w:u w:val="single"/>
              </w:rPr>
            </w:pPr>
            <w:r w:rsidRPr="0056528C">
              <w:rPr>
                <w:highlight w:val="lightGray"/>
                <w:u w:val="single"/>
              </w:rPr>
              <w:t xml:space="preserve">Zero or more optional identifications of the receiver of the message (see </w:t>
            </w:r>
            <w:proofErr w:type="spellStart"/>
            <w:r w:rsidRPr="0056528C">
              <w:rPr>
                <w:b/>
                <w:highlight w:val="lightGray"/>
                <w:u w:val="single"/>
              </w:rPr>
              <w:t>TransReceiverType</w:t>
            </w:r>
            <w:proofErr w:type="spellEnd"/>
            <w:r w:rsidRPr="0056528C">
              <w:rPr>
                <w:highlight w:val="lightGray"/>
                <w:u w:val="single"/>
              </w:rPr>
              <w:t>)</w:t>
            </w:r>
          </w:p>
          <w:p w:rsidR="001961C7" w:rsidRPr="00031E8E" w:rsidRDefault="001961C7" w:rsidP="00D26E34">
            <w:pPr>
              <w:pStyle w:val="BoxedElement"/>
              <w:numPr>
                <w:ilvl w:val="0"/>
                <w:numId w:val="11"/>
              </w:numPr>
            </w:pPr>
            <w:r w:rsidRPr="00031E8E">
              <w:t>A required element with the creation date &amp; time of the message.</w:t>
            </w:r>
          </w:p>
          <w:p w:rsidR="001961C7" w:rsidRPr="00031E8E" w:rsidRDefault="001961C7" w:rsidP="00D26E34">
            <w:pPr>
              <w:pStyle w:val="BoxedElement"/>
              <w:numPr>
                <w:ilvl w:val="0"/>
                <w:numId w:val="11"/>
              </w:numPr>
            </w:pPr>
            <w:r w:rsidRPr="00031E8E">
              <w:t>An optional electronic signature that can be used to sign the transaction message</w:t>
            </w:r>
          </w:p>
          <w:p w:rsidR="001961C7" w:rsidRPr="00031E8E" w:rsidRDefault="001961C7" w:rsidP="00D26E34">
            <w:pPr>
              <w:pStyle w:val="BoxedElement"/>
              <w:numPr>
                <w:ilvl w:val="0"/>
                <w:numId w:val="11"/>
              </w:numPr>
            </w:pPr>
            <w:r w:rsidRPr="00031E8E">
              <w:t>An optional ID (</w:t>
            </w:r>
            <w:r w:rsidRPr="00031E8E">
              <w:rPr>
                <w:b/>
              </w:rPr>
              <w:t>BODID</w:t>
            </w:r>
            <w:r w:rsidRPr="00031E8E">
              <w:t xml:space="preserve">) to be applied to exchanged data object.  This should be a GUID (Globally Unique Identifier) that uniquely identifies the data object. </w:t>
            </w:r>
          </w:p>
          <w:p w:rsidR="001961C7" w:rsidRPr="00031E8E" w:rsidRDefault="001961C7" w:rsidP="00D26E34">
            <w:pPr>
              <w:pStyle w:val="BoxedElement"/>
              <w:numPr>
                <w:ilvl w:val="0"/>
                <w:numId w:val="11"/>
              </w:numPr>
            </w:pPr>
            <w:r w:rsidRPr="00031E8E">
              <w:t xml:space="preserve">An optional user area for user extended data. </w:t>
            </w:r>
          </w:p>
          <w:p w:rsidR="001961C7" w:rsidRPr="00031E8E" w:rsidRDefault="001961C7" w:rsidP="00C7462F">
            <w:pPr>
              <w:pStyle w:val="BoxedElement"/>
            </w:pPr>
            <w:r>
              <w:rPr>
                <w:noProof/>
              </w:rPr>
              <w:drawing>
                <wp:inline distT="0" distB="0" distL="0" distR="0" wp14:anchorId="4503141B" wp14:editId="22272514">
                  <wp:extent cx="3706495" cy="2032635"/>
                  <wp:effectExtent l="0" t="0" r="8255" b="5715"/>
                  <wp:docPr id="6" name="Picture 6" descr="Description: COMMON_p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OMMON_p3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6495" cy="2032635"/>
                          </a:xfrm>
                          <a:prstGeom prst="rect">
                            <a:avLst/>
                          </a:prstGeom>
                          <a:noFill/>
                          <a:ln>
                            <a:noFill/>
                          </a:ln>
                        </pic:spPr>
                      </pic:pic>
                    </a:graphicData>
                  </a:graphic>
                </wp:inline>
              </w:drawing>
            </w:r>
          </w:p>
        </w:tc>
      </w:tr>
      <w:tr w:rsidR="001961C7" w:rsidRPr="00031E8E" w:rsidTr="00C7462F">
        <w:trPr>
          <w:cantSplit/>
        </w:trPr>
        <w:tc>
          <w:tcPr>
            <w:tcW w:w="2610" w:type="dxa"/>
          </w:tcPr>
          <w:p w:rsidR="001961C7" w:rsidRPr="0056528C" w:rsidRDefault="001961C7" w:rsidP="00C7462F">
            <w:pPr>
              <w:pStyle w:val="BoxedElement"/>
              <w:rPr>
                <w:b/>
                <w:bCs/>
                <w:i/>
                <w:iCs/>
                <w:highlight w:val="lightGray"/>
                <w:u w:val="single"/>
              </w:rPr>
            </w:pPr>
            <w:proofErr w:type="spellStart"/>
            <w:r w:rsidRPr="0056528C">
              <w:rPr>
                <w:b/>
                <w:bCs/>
                <w:i/>
                <w:iCs/>
                <w:highlight w:val="lightGray"/>
                <w:u w:val="single"/>
              </w:rPr>
              <w:t>TransReceiverType</w:t>
            </w:r>
            <w:proofErr w:type="spellEnd"/>
          </w:p>
          <w:p w:rsidR="001961C7" w:rsidRPr="0056528C" w:rsidRDefault="001961C7" w:rsidP="00C7462F">
            <w:pPr>
              <w:pStyle w:val="BoxedElement"/>
              <w:rPr>
                <w:bCs/>
                <w:iCs/>
                <w:highlight w:val="lightGray"/>
                <w:u w:val="single"/>
              </w:rPr>
            </w:pPr>
            <w:r w:rsidRPr="0056528C">
              <w:rPr>
                <w:bCs/>
                <w:iCs/>
                <w:highlight w:val="lightGray"/>
                <w:u w:val="single"/>
              </w:rPr>
              <w:t>Receiver</w:t>
            </w:r>
          </w:p>
        </w:tc>
        <w:tc>
          <w:tcPr>
            <w:tcW w:w="6300" w:type="dxa"/>
          </w:tcPr>
          <w:p w:rsidR="001961C7" w:rsidRPr="0056528C" w:rsidRDefault="001961C7" w:rsidP="00C7462F">
            <w:pPr>
              <w:pStyle w:val="BoxedElement"/>
              <w:rPr>
                <w:highlight w:val="lightGray"/>
                <w:u w:val="single"/>
              </w:rPr>
            </w:pPr>
            <w:r w:rsidRPr="0056528C">
              <w:rPr>
                <w:highlight w:val="lightGray"/>
                <w:u w:val="single"/>
              </w:rPr>
              <w:t xml:space="preserve">Contains information about the expected receiver of the message. </w:t>
            </w:r>
          </w:p>
          <w:p w:rsidR="001961C7" w:rsidRPr="0056528C" w:rsidRDefault="001961C7" w:rsidP="00C7462F">
            <w:pPr>
              <w:pStyle w:val="BoxedElement"/>
              <w:rPr>
                <w:highlight w:val="lightGray"/>
                <w:u w:val="single"/>
              </w:rPr>
            </w:pPr>
            <w:r w:rsidRPr="0056528C">
              <w:rPr>
                <w:highlight w:val="lightGray"/>
                <w:u w:val="single"/>
              </w:rPr>
              <w:t xml:space="preserve">This contains an optional </w:t>
            </w:r>
            <w:proofErr w:type="spellStart"/>
            <w:r w:rsidRPr="0056528C">
              <w:rPr>
                <w:b/>
                <w:highlight w:val="lightGray"/>
                <w:u w:val="single"/>
              </w:rPr>
              <w:t>LogicalID</w:t>
            </w:r>
            <w:proofErr w:type="spellEnd"/>
            <w:r w:rsidRPr="0056528C">
              <w:rPr>
                <w:highlight w:val="lightGray"/>
                <w:u w:val="single"/>
              </w:rPr>
              <w:t xml:space="preserve"> of the server and application for which the BOD is intended. </w:t>
            </w:r>
          </w:p>
          <w:p w:rsidR="001961C7" w:rsidRPr="0056528C" w:rsidRDefault="001961C7" w:rsidP="00C7462F">
            <w:pPr>
              <w:pStyle w:val="BoxedElement"/>
              <w:rPr>
                <w:highlight w:val="lightGray"/>
                <w:u w:val="single"/>
              </w:rPr>
            </w:pPr>
            <w:r w:rsidRPr="0056528C">
              <w:rPr>
                <w:highlight w:val="lightGray"/>
                <w:u w:val="single"/>
              </w:rPr>
              <w:t xml:space="preserve">This contains an optional </w:t>
            </w:r>
            <w:proofErr w:type="spellStart"/>
            <w:r w:rsidRPr="0056528C">
              <w:rPr>
                <w:b/>
                <w:highlight w:val="lightGray"/>
                <w:u w:val="single"/>
              </w:rPr>
              <w:t>ComponentID</w:t>
            </w:r>
            <w:proofErr w:type="spellEnd"/>
            <w:r w:rsidRPr="0056528C">
              <w:rPr>
                <w:highlight w:val="lightGray"/>
                <w:u w:val="single"/>
              </w:rPr>
              <w:t xml:space="preserve"> of the server and application for which the BOD is intended.  It provides a finer level in addition to the </w:t>
            </w:r>
            <w:proofErr w:type="spellStart"/>
            <w:r w:rsidRPr="0056528C">
              <w:rPr>
                <w:highlight w:val="lightGray"/>
                <w:u w:val="single"/>
              </w:rPr>
              <w:t>LogicalID</w:t>
            </w:r>
            <w:proofErr w:type="spellEnd"/>
            <w:r w:rsidRPr="0056528C">
              <w:rPr>
                <w:highlight w:val="lightGray"/>
                <w:u w:val="single"/>
              </w:rPr>
              <w:t xml:space="preserve">.  </w:t>
            </w:r>
          </w:p>
          <w:p w:rsidR="001961C7" w:rsidRPr="0056528C" w:rsidRDefault="001961C7" w:rsidP="00C7462F">
            <w:pPr>
              <w:pStyle w:val="BoxedElement"/>
              <w:rPr>
                <w:highlight w:val="lightGray"/>
                <w:u w:val="single"/>
              </w:rPr>
            </w:pPr>
            <w:r w:rsidRPr="0056528C">
              <w:rPr>
                <w:highlight w:val="lightGray"/>
                <w:u w:val="single"/>
              </w:rPr>
              <w:t xml:space="preserve">This contains zero or more optional </w:t>
            </w:r>
            <w:r w:rsidRPr="0056528C">
              <w:rPr>
                <w:b/>
                <w:highlight w:val="lightGray"/>
                <w:u w:val="single"/>
              </w:rPr>
              <w:t>ID</w:t>
            </w:r>
            <w:r w:rsidRPr="0056528C">
              <w:rPr>
                <w:highlight w:val="lightGray"/>
                <w:u w:val="single"/>
              </w:rPr>
              <w:t xml:space="preserve">s for the receiver of the message.  </w:t>
            </w:r>
          </w:p>
          <w:p w:rsidR="001961C7" w:rsidRPr="0056528C" w:rsidRDefault="001961C7" w:rsidP="00C7462F">
            <w:pPr>
              <w:pStyle w:val="BoxedElement"/>
              <w:rPr>
                <w:highlight w:val="lightGray"/>
                <w:u w:val="single"/>
              </w:rPr>
            </w:pPr>
            <w:r>
              <w:rPr>
                <w:noProof/>
                <w:u w:val="single"/>
              </w:rPr>
              <w:drawing>
                <wp:inline distT="0" distB="0" distL="0" distR="0" wp14:anchorId="52C63EDD" wp14:editId="1A6692E2">
                  <wp:extent cx="3102610" cy="1085850"/>
                  <wp:effectExtent l="0" t="0" r="2540" b="0"/>
                  <wp:docPr id="5" name="Picture 5" descr="COMMON_p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ON_p38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2610" cy="1085850"/>
                          </a:xfrm>
                          <a:prstGeom prst="rect">
                            <a:avLst/>
                          </a:prstGeom>
                          <a:noFill/>
                          <a:ln>
                            <a:noFill/>
                          </a:ln>
                        </pic:spPr>
                      </pic:pic>
                    </a:graphicData>
                  </a:graphic>
                </wp:inline>
              </w:drawing>
            </w:r>
          </w:p>
        </w:tc>
      </w:tr>
    </w:tbl>
    <w:p w:rsidR="001961C7" w:rsidRDefault="001961C7" w:rsidP="001961C7">
      <w:pPr>
        <w:ind w:left="720"/>
      </w:pPr>
    </w:p>
    <w:p w:rsidR="001961C7" w:rsidRDefault="001961C7" w:rsidP="00D26E34">
      <w:pPr>
        <w:numPr>
          <w:ilvl w:val="1"/>
          <w:numId w:val="3"/>
        </w:numPr>
        <w:spacing w:before="0" w:after="120"/>
      </w:pPr>
      <w:r>
        <w:t xml:space="preserve">A </w:t>
      </w:r>
      <w:proofErr w:type="spellStart"/>
      <w:r w:rsidRPr="00231051">
        <w:rPr>
          <w:b/>
        </w:rPr>
        <w:t>ChangeStatus</w:t>
      </w:r>
      <w:proofErr w:type="spellEnd"/>
      <w:r>
        <w:t xml:space="preserve"> in the </w:t>
      </w:r>
      <w:proofErr w:type="spellStart"/>
      <w:r w:rsidRPr="00231051">
        <w:rPr>
          <w:b/>
        </w:rPr>
        <w:t>ActionCriteria</w:t>
      </w:r>
      <w:proofErr w:type="spellEnd"/>
      <w:r>
        <w:t xml:space="preserve"> in a Process, Change, and Cancel message. </w:t>
      </w:r>
    </w:p>
    <w:tbl>
      <w:tblPr>
        <w:tblW w:w="891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300"/>
      </w:tblGrid>
      <w:tr w:rsidR="001961C7" w:rsidRPr="00031E8E" w:rsidTr="00C7462F">
        <w:trPr>
          <w:cantSplit/>
        </w:trPr>
        <w:tc>
          <w:tcPr>
            <w:tcW w:w="2610" w:type="dxa"/>
          </w:tcPr>
          <w:p w:rsidR="001961C7" w:rsidRPr="00031E8E" w:rsidRDefault="001961C7" w:rsidP="00C7462F">
            <w:pPr>
              <w:pStyle w:val="BoxedElement"/>
              <w:rPr>
                <w:b/>
                <w:bCs/>
                <w:i/>
                <w:iCs/>
              </w:rPr>
            </w:pPr>
            <w:proofErr w:type="spellStart"/>
            <w:r w:rsidRPr="00031E8E">
              <w:rPr>
                <w:b/>
                <w:bCs/>
                <w:i/>
                <w:iCs/>
              </w:rPr>
              <w:lastRenderedPageBreak/>
              <w:t>TransActionCriteriaType</w:t>
            </w:r>
            <w:proofErr w:type="spellEnd"/>
          </w:p>
          <w:p w:rsidR="001961C7" w:rsidRPr="00031E8E" w:rsidRDefault="001961C7" w:rsidP="00C7462F">
            <w:pPr>
              <w:pStyle w:val="BoxedElement"/>
              <w:rPr>
                <w:bCs/>
                <w:iCs/>
              </w:rPr>
            </w:pPr>
            <w:proofErr w:type="spellStart"/>
            <w:r w:rsidRPr="00031E8E">
              <w:rPr>
                <w:bCs/>
                <w:iCs/>
              </w:rPr>
              <w:t>ActionCriteria</w:t>
            </w:r>
            <w:proofErr w:type="spellEnd"/>
          </w:p>
        </w:tc>
        <w:tc>
          <w:tcPr>
            <w:tcW w:w="6300" w:type="dxa"/>
          </w:tcPr>
          <w:p w:rsidR="001961C7" w:rsidRPr="00031E8E" w:rsidRDefault="001961C7" w:rsidP="00C7462F">
            <w:pPr>
              <w:pStyle w:val="BoxedElement"/>
            </w:pPr>
            <w:r w:rsidRPr="00031E8E">
              <w:t xml:space="preserve">Data Type for a SYNC, PROCESS, CHANGE, and CANCEL message.  It contains one optional element </w:t>
            </w:r>
            <w:proofErr w:type="spellStart"/>
            <w:r w:rsidRPr="00031E8E">
              <w:rPr>
                <w:b/>
              </w:rPr>
              <w:t>ActionExpression</w:t>
            </w:r>
            <w:proofErr w:type="spellEnd"/>
            <w:r w:rsidRPr="00031E8E">
              <w:t xml:space="preserve"> (see </w:t>
            </w:r>
            <w:proofErr w:type="spellStart"/>
            <w:r w:rsidRPr="00031E8E">
              <w:rPr>
                <w:b/>
                <w:i/>
              </w:rPr>
              <w:t>TransExpressionType</w:t>
            </w:r>
            <w:proofErr w:type="spellEnd"/>
            <w:r w:rsidRPr="00031E8E">
              <w:t xml:space="preserve">) that contains an action code for SYNC messages. </w:t>
            </w:r>
            <w:r w:rsidRPr="0056528C">
              <w:rPr>
                <w:highlight w:val="lightGray"/>
                <w:u w:val="single"/>
              </w:rPr>
              <w:t xml:space="preserve">It also contains an optional </w:t>
            </w:r>
            <w:proofErr w:type="spellStart"/>
            <w:r w:rsidRPr="0056528C">
              <w:rPr>
                <w:b/>
                <w:highlight w:val="lightGray"/>
                <w:u w:val="single"/>
              </w:rPr>
              <w:t>ChangeStatus</w:t>
            </w:r>
            <w:proofErr w:type="spellEnd"/>
            <w:r w:rsidRPr="0056528C">
              <w:rPr>
                <w:highlight w:val="lightGray"/>
                <w:u w:val="single"/>
              </w:rPr>
              <w:t xml:space="preserve"> (see </w:t>
            </w:r>
            <w:proofErr w:type="spellStart"/>
            <w:r w:rsidRPr="0056528C">
              <w:rPr>
                <w:b/>
                <w:highlight w:val="lightGray"/>
                <w:u w:val="single"/>
              </w:rPr>
              <w:t>TransChangeStatusType</w:t>
            </w:r>
            <w:proofErr w:type="spellEnd"/>
            <w:r w:rsidRPr="0056528C">
              <w:rPr>
                <w:highlight w:val="lightGray"/>
                <w:u w:val="single"/>
              </w:rPr>
              <w:t>) element for a definition of the change.</w:t>
            </w:r>
            <w:r>
              <w:t xml:space="preserve">  </w:t>
            </w:r>
          </w:p>
          <w:p w:rsidR="001961C7" w:rsidRPr="00031E8E" w:rsidRDefault="001961C7" w:rsidP="00C7462F">
            <w:pPr>
              <w:pStyle w:val="BoxedElement"/>
            </w:pPr>
            <w:r w:rsidRPr="00031E8E">
              <w:t xml:space="preserve">If no </w:t>
            </w:r>
            <w:proofErr w:type="spellStart"/>
            <w:r w:rsidRPr="00031E8E">
              <w:rPr>
                <w:b/>
              </w:rPr>
              <w:t>ActionExpression</w:t>
            </w:r>
            <w:proofErr w:type="spellEnd"/>
            <w:r w:rsidRPr="00031E8E">
              <w:t xml:space="preserve"> is defined for a SYNC message, then the action code of “</w:t>
            </w:r>
            <w:r w:rsidRPr="00031E8E">
              <w:rPr>
                <w:b/>
              </w:rPr>
              <w:t>Add</w:t>
            </w:r>
            <w:r w:rsidRPr="00031E8E">
              <w:t>” is the default.</w:t>
            </w:r>
          </w:p>
          <w:p w:rsidR="001961C7" w:rsidRPr="0056528C" w:rsidRDefault="001961C7" w:rsidP="00C7462F">
            <w:pPr>
              <w:pStyle w:val="BoxedElement"/>
              <w:rPr>
                <w:u w:val="single"/>
              </w:rPr>
            </w:pPr>
            <w:r>
              <w:rPr>
                <w:noProof/>
                <w:u w:val="single"/>
              </w:rPr>
              <w:drawing>
                <wp:inline distT="0" distB="0" distL="0" distR="0" wp14:anchorId="6C1D9F79" wp14:editId="477BC7B6">
                  <wp:extent cx="3608705" cy="816610"/>
                  <wp:effectExtent l="0" t="0" r="0" b="2540"/>
                  <wp:docPr id="4" name="Picture 4" descr="Description: COMMON_p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MMON_p3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8705" cy="816610"/>
                          </a:xfrm>
                          <a:prstGeom prst="rect">
                            <a:avLst/>
                          </a:prstGeom>
                          <a:noFill/>
                          <a:ln>
                            <a:noFill/>
                          </a:ln>
                        </pic:spPr>
                      </pic:pic>
                    </a:graphicData>
                  </a:graphic>
                </wp:inline>
              </w:drawing>
            </w:r>
          </w:p>
          <w:p w:rsidR="001961C7" w:rsidRPr="00031E8E" w:rsidRDefault="001961C7" w:rsidP="00C7462F">
            <w:pPr>
              <w:pStyle w:val="BoxedElement"/>
            </w:pPr>
          </w:p>
        </w:tc>
      </w:tr>
    </w:tbl>
    <w:p w:rsidR="001961C7" w:rsidRDefault="001961C7" w:rsidP="001961C7"/>
    <w:p w:rsidR="001961C7" w:rsidRDefault="001961C7" w:rsidP="00D26E34">
      <w:pPr>
        <w:numPr>
          <w:ilvl w:val="0"/>
          <w:numId w:val="3"/>
        </w:numPr>
        <w:spacing w:before="0" w:after="120"/>
      </w:pPr>
      <w:r>
        <w:t>Updated the following types to take into account the new ISA 95.02 and ISA 95.04 definitions (underlined/highlighted):</w:t>
      </w:r>
    </w:p>
    <w:tbl>
      <w:tblPr>
        <w:tblW w:w="891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300"/>
      </w:tblGrid>
      <w:tr w:rsidR="001961C7" w:rsidRPr="00031E8E" w:rsidTr="00C7462F">
        <w:trPr>
          <w:cantSplit/>
        </w:trPr>
        <w:tc>
          <w:tcPr>
            <w:tcW w:w="2610" w:type="dxa"/>
          </w:tcPr>
          <w:p w:rsidR="001961C7" w:rsidRPr="00031E8E" w:rsidRDefault="001961C7" w:rsidP="00C7462F">
            <w:pPr>
              <w:pStyle w:val="BoxedElement"/>
              <w:rPr>
                <w:bCs/>
                <w:iCs/>
              </w:rPr>
            </w:pPr>
            <w:proofErr w:type="spellStart"/>
            <w:r w:rsidRPr="00031E8E">
              <w:rPr>
                <w:b/>
                <w:bCs/>
                <w:i/>
                <w:iCs/>
              </w:rPr>
              <w:t>CapabilityTypeType</w:t>
            </w:r>
            <w:proofErr w:type="spellEnd"/>
            <w:r w:rsidRPr="00031E8E">
              <w:rPr>
                <w:b/>
                <w:bCs/>
                <w:i/>
                <w:iCs/>
              </w:rPr>
              <w:t xml:space="preserve"> </w:t>
            </w:r>
          </w:p>
          <w:p w:rsidR="001961C7" w:rsidRPr="00031E8E" w:rsidRDefault="001961C7" w:rsidP="00C7462F">
            <w:pPr>
              <w:pStyle w:val="BoxedElement"/>
              <w:rPr>
                <w:bCs/>
                <w:iCs/>
              </w:rPr>
            </w:pPr>
            <w:r w:rsidRPr="00031E8E">
              <w:rPr>
                <w:bCs/>
                <w:iCs/>
              </w:rPr>
              <w:t>(</w:t>
            </w:r>
            <w:proofErr w:type="spellStart"/>
            <w:r w:rsidRPr="00031E8E">
              <w:rPr>
                <w:bCs/>
                <w:iCs/>
              </w:rPr>
              <w:t>cc:CodeType</w:t>
            </w:r>
            <w:proofErr w:type="spellEnd"/>
            <w:r w:rsidRPr="00031E8E">
              <w:rPr>
                <w:bCs/>
                <w:iCs/>
              </w:rPr>
              <w:t>)</w:t>
            </w:r>
          </w:p>
        </w:tc>
        <w:tc>
          <w:tcPr>
            <w:tcW w:w="6300" w:type="dxa"/>
          </w:tcPr>
          <w:p w:rsidR="001961C7" w:rsidRPr="00031E8E" w:rsidRDefault="001961C7" w:rsidP="00C7462F">
            <w:pPr>
              <w:pStyle w:val="BoxedElement"/>
            </w:pPr>
            <w:r w:rsidRPr="00031E8E">
              <w:t>Identifies the type of a capability/capacity definition.</w:t>
            </w:r>
          </w:p>
          <w:p w:rsidR="001961C7" w:rsidRPr="00031E8E" w:rsidRDefault="001961C7" w:rsidP="00C7462F">
            <w:pPr>
              <w:pStyle w:val="BoxedElement"/>
            </w:pPr>
            <w:r w:rsidRPr="00031E8E">
              <w:t xml:space="preserve">This may be either a standard type or an application specific extended type.  Standard enumerations are: </w:t>
            </w:r>
            <w:r>
              <w:t>“</w:t>
            </w:r>
            <w:r w:rsidRPr="009A39FC">
              <w:rPr>
                <w:b/>
              </w:rPr>
              <w:t>Used</w:t>
            </w:r>
            <w:r>
              <w:t>”, “</w:t>
            </w:r>
            <w:r w:rsidRPr="009A39FC">
              <w:rPr>
                <w:b/>
              </w:rPr>
              <w:t>Unused</w:t>
            </w:r>
            <w:r>
              <w:t>”, “</w:t>
            </w:r>
            <w:r w:rsidRPr="009A39FC">
              <w:rPr>
                <w:b/>
              </w:rPr>
              <w:t>Total</w:t>
            </w:r>
            <w:r>
              <w:t xml:space="preserve">”, </w:t>
            </w:r>
            <w:r w:rsidRPr="00031E8E">
              <w:t>"</w:t>
            </w:r>
            <w:r w:rsidRPr="00031E8E">
              <w:rPr>
                <w:b/>
                <w:bCs/>
              </w:rPr>
              <w:t>Committed</w:t>
            </w:r>
            <w:r w:rsidRPr="00031E8E">
              <w:t>", "</w:t>
            </w:r>
            <w:r w:rsidRPr="00031E8E">
              <w:rPr>
                <w:b/>
                <w:bCs/>
              </w:rPr>
              <w:t>Available</w:t>
            </w:r>
            <w:r w:rsidRPr="00031E8E">
              <w:t>", "</w:t>
            </w:r>
            <w:r w:rsidRPr="00031E8E">
              <w:rPr>
                <w:b/>
                <w:bCs/>
              </w:rPr>
              <w:t>Unattainable</w:t>
            </w:r>
            <w:r>
              <w:t xml:space="preserve">", and </w:t>
            </w:r>
            <w:r w:rsidRPr="00031E8E">
              <w:t>"</w:t>
            </w:r>
            <w:r w:rsidRPr="00031E8E">
              <w:rPr>
                <w:b/>
                <w:bCs/>
              </w:rPr>
              <w:t>Other</w:t>
            </w:r>
            <w:r w:rsidRPr="00031E8E">
              <w:t>".</w:t>
            </w:r>
          </w:p>
          <w:p w:rsidR="001961C7" w:rsidRPr="0056528C" w:rsidRDefault="001961C7" w:rsidP="00D26E34">
            <w:pPr>
              <w:pStyle w:val="BoxedElement"/>
              <w:numPr>
                <w:ilvl w:val="0"/>
                <w:numId w:val="10"/>
              </w:numPr>
              <w:rPr>
                <w:highlight w:val="lightGray"/>
                <w:u w:val="single"/>
              </w:rPr>
            </w:pPr>
            <w:r w:rsidRPr="0056528C">
              <w:rPr>
                <w:b/>
                <w:highlight w:val="lightGray"/>
                <w:u w:val="single"/>
              </w:rPr>
              <w:t>Used</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A portion of a capacity that was used.</w:t>
            </w:r>
          </w:p>
          <w:p w:rsidR="001961C7" w:rsidRPr="0056528C" w:rsidRDefault="001961C7" w:rsidP="00D26E34">
            <w:pPr>
              <w:pStyle w:val="BoxedElement"/>
              <w:numPr>
                <w:ilvl w:val="0"/>
                <w:numId w:val="10"/>
              </w:numPr>
              <w:rPr>
                <w:highlight w:val="lightGray"/>
                <w:u w:val="single"/>
              </w:rPr>
            </w:pPr>
            <w:r w:rsidRPr="0056528C">
              <w:rPr>
                <w:b/>
                <w:highlight w:val="lightGray"/>
                <w:u w:val="single"/>
              </w:rPr>
              <w:t>Unused</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A portion of a capacity that was unused</w:t>
            </w:r>
          </w:p>
          <w:p w:rsidR="001961C7" w:rsidRPr="0056528C" w:rsidRDefault="001961C7" w:rsidP="00D26E34">
            <w:pPr>
              <w:pStyle w:val="BoxedElement"/>
              <w:numPr>
                <w:ilvl w:val="0"/>
                <w:numId w:val="10"/>
              </w:numPr>
              <w:rPr>
                <w:highlight w:val="lightGray"/>
                <w:u w:val="single"/>
              </w:rPr>
            </w:pPr>
            <w:r w:rsidRPr="0056528C">
              <w:rPr>
                <w:b/>
                <w:highlight w:val="lightGray"/>
                <w:u w:val="single"/>
              </w:rPr>
              <w:t>Total</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The total capacity, </w:t>
            </w:r>
            <w:proofErr w:type="gramStart"/>
            <w:r w:rsidRPr="0056528C">
              <w:rPr>
                <w:highlight w:val="lightGray"/>
                <w:u w:val="single"/>
              </w:rPr>
              <w:t>either used</w:t>
            </w:r>
            <w:proofErr w:type="gramEnd"/>
            <w:r w:rsidRPr="0056528C">
              <w:rPr>
                <w:highlight w:val="lightGray"/>
                <w:u w:val="single"/>
              </w:rPr>
              <w:t xml:space="preserve"> and unused, or committed, available, an unattainable. </w:t>
            </w:r>
          </w:p>
          <w:p w:rsidR="001961C7" w:rsidRPr="00031E8E" w:rsidRDefault="001961C7" w:rsidP="00D26E34">
            <w:pPr>
              <w:pStyle w:val="BoxedElement"/>
              <w:numPr>
                <w:ilvl w:val="0"/>
                <w:numId w:val="10"/>
              </w:numPr>
            </w:pPr>
            <w:r w:rsidRPr="00647004">
              <w:rPr>
                <w:b/>
              </w:rPr>
              <w:t>Committed</w:t>
            </w:r>
            <w:r w:rsidRPr="00031E8E">
              <w:t xml:space="preserve"> </w:t>
            </w:r>
            <w:r w:rsidRPr="00031E8E">
              <w:sym w:font="Wingdings" w:char="F0E0"/>
            </w:r>
            <w:r w:rsidRPr="00031E8E">
              <w:t xml:space="preserve"> The portion of a capacity that is currently in use or is scheduled for use.</w:t>
            </w:r>
          </w:p>
          <w:p w:rsidR="001961C7" w:rsidRPr="00031E8E" w:rsidRDefault="001961C7" w:rsidP="00D26E34">
            <w:pPr>
              <w:pStyle w:val="BoxedElement"/>
              <w:numPr>
                <w:ilvl w:val="0"/>
                <w:numId w:val="10"/>
              </w:numPr>
            </w:pPr>
            <w:r w:rsidRPr="00647004">
              <w:rPr>
                <w:b/>
              </w:rPr>
              <w:t>Available</w:t>
            </w:r>
            <w:r w:rsidRPr="00031E8E">
              <w:t xml:space="preserve"> </w:t>
            </w:r>
            <w:r w:rsidRPr="00031E8E">
              <w:sym w:font="Wingdings" w:char="F0E0"/>
            </w:r>
            <w:r w:rsidRPr="00031E8E">
              <w:t xml:space="preserve"> The portion of a capacity that is currently available for use.</w:t>
            </w:r>
          </w:p>
          <w:p w:rsidR="001961C7" w:rsidRPr="00031E8E" w:rsidRDefault="001961C7" w:rsidP="00D26E34">
            <w:pPr>
              <w:pStyle w:val="BoxedElement"/>
              <w:numPr>
                <w:ilvl w:val="0"/>
                <w:numId w:val="10"/>
              </w:numPr>
            </w:pPr>
            <w:r w:rsidRPr="00647004">
              <w:rPr>
                <w:b/>
              </w:rPr>
              <w:t>Unattainable</w:t>
            </w:r>
            <w:r w:rsidRPr="00031E8E">
              <w:t xml:space="preserve"> </w:t>
            </w:r>
            <w:r w:rsidRPr="00031E8E">
              <w:sym w:font="Wingdings" w:char="F0E0"/>
            </w:r>
            <w:r w:rsidRPr="00031E8E">
              <w:t xml:space="preserve"> The portion of a capacity that is currently not available for use, for example due to scheduled maintenance, unscheduled maintenance, or the current product mix.</w:t>
            </w:r>
          </w:p>
          <w:p w:rsidR="001961C7" w:rsidRPr="00031E8E" w:rsidRDefault="001961C7" w:rsidP="00C7462F">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1961C7" w:rsidRPr="00031E8E" w:rsidTr="00C7462F">
        <w:trPr>
          <w:cantSplit/>
        </w:trPr>
        <w:tc>
          <w:tcPr>
            <w:tcW w:w="2610" w:type="dxa"/>
          </w:tcPr>
          <w:p w:rsidR="001961C7" w:rsidRPr="0056528C" w:rsidRDefault="001961C7" w:rsidP="00C7462F">
            <w:pPr>
              <w:pStyle w:val="BoxedElement"/>
              <w:rPr>
                <w:b/>
                <w:bCs/>
                <w:i/>
                <w:iCs/>
                <w:highlight w:val="lightGray"/>
                <w:u w:val="single"/>
              </w:rPr>
            </w:pPr>
            <w:proofErr w:type="spellStart"/>
            <w:r w:rsidRPr="0056528C">
              <w:rPr>
                <w:b/>
                <w:bCs/>
                <w:i/>
                <w:iCs/>
                <w:highlight w:val="lightGray"/>
                <w:u w:val="single"/>
              </w:rPr>
              <w:t>JobOrderCommandType</w:t>
            </w:r>
            <w:proofErr w:type="spellEnd"/>
          </w:p>
          <w:p w:rsidR="001961C7" w:rsidRPr="0056528C" w:rsidRDefault="001961C7" w:rsidP="00C7462F">
            <w:pPr>
              <w:pStyle w:val="BoxedElement"/>
              <w:rPr>
                <w:bCs/>
                <w:iCs/>
                <w:highlight w:val="lightGray"/>
                <w:u w:val="single"/>
              </w:rPr>
            </w:pPr>
            <w:r w:rsidRPr="0056528C">
              <w:rPr>
                <w:bCs/>
                <w:iCs/>
                <w:highlight w:val="lightGray"/>
                <w:u w:val="single"/>
              </w:rPr>
              <w:t>(</w:t>
            </w:r>
            <w:proofErr w:type="spellStart"/>
            <w:r w:rsidRPr="0056528C">
              <w:rPr>
                <w:bCs/>
                <w:iCs/>
                <w:highlight w:val="lightGray"/>
                <w:u w:val="single"/>
              </w:rPr>
              <w:t>cc:CodeType</w:t>
            </w:r>
            <w:proofErr w:type="spellEnd"/>
            <w:r w:rsidRPr="0056528C">
              <w:rPr>
                <w:bCs/>
                <w:iCs/>
                <w:highlight w:val="lightGray"/>
                <w:u w:val="single"/>
              </w:rPr>
              <w:t>)</w:t>
            </w:r>
          </w:p>
        </w:tc>
        <w:tc>
          <w:tcPr>
            <w:tcW w:w="6300" w:type="dxa"/>
          </w:tcPr>
          <w:p w:rsidR="001961C7" w:rsidRPr="0056528C" w:rsidRDefault="001961C7" w:rsidP="00C7462F">
            <w:pPr>
              <w:pStyle w:val="BoxedElement"/>
              <w:rPr>
                <w:highlight w:val="lightGray"/>
                <w:u w:val="single"/>
              </w:rPr>
            </w:pPr>
            <w:r w:rsidRPr="0056528C">
              <w:rPr>
                <w:highlight w:val="lightGray"/>
                <w:u w:val="single"/>
              </w:rPr>
              <w:t>Identifies a job order command.</w:t>
            </w:r>
          </w:p>
          <w:p w:rsidR="001961C7" w:rsidRPr="0056528C" w:rsidRDefault="001961C7" w:rsidP="00C7462F">
            <w:pPr>
              <w:pStyle w:val="BoxedElement"/>
              <w:rPr>
                <w:highlight w:val="lightGray"/>
                <w:u w:val="single"/>
              </w:rPr>
            </w:pPr>
            <w:r w:rsidRPr="0056528C">
              <w:rPr>
                <w:highlight w:val="lightGray"/>
                <w:u w:val="single"/>
              </w:rPr>
              <w:t>This may be either a standard type or an application specific extended type.  Standard enumerations, taken from ANSI/ISA88.01-2010 are: “</w:t>
            </w:r>
            <w:r w:rsidRPr="0056528C">
              <w:rPr>
                <w:b/>
                <w:highlight w:val="lightGray"/>
                <w:u w:val="single"/>
              </w:rPr>
              <w:t>Start</w:t>
            </w:r>
            <w:r w:rsidRPr="0056528C">
              <w:rPr>
                <w:highlight w:val="lightGray"/>
                <w:u w:val="single"/>
              </w:rPr>
              <w:t>”, “</w:t>
            </w:r>
            <w:r w:rsidRPr="0056528C">
              <w:rPr>
                <w:b/>
                <w:highlight w:val="lightGray"/>
                <w:u w:val="single"/>
              </w:rPr>
              <w:t>Stop</w:t>
            </w:r>
            <w:r w:rsidRPr="0056528C">
              <w:rPr>
                <w:highlight w:val="lightGray"/>
                <w:u w:val="single"/>
              </w:rPr>
              <w:t>”, “</w:t>
            </w:r>
            <w:r w:rsidRPr="0056528C">
              <w:rPr>
                <w:b/>
                <w:highlight w:val="lightGray"/>
                <w:u w:val="single"/>
              </w:rPr>
              <w:t>Hold</w:t>
            </w:r>
            <w:r w:rsidRPr="0056528C">
              <w:rPr>
                <w:highlight w:val="lightGray"/>
                <w:u w:val="single"/>
              </w:rPr>
              <w:t>”, "</w:t>
            </w:r>
            <w:r w:rsidRPr="0056528C">
              <w:rPr>
                <w:b/>
                <w:bCs/>
                <w:highlight w:val="lightGray"/>
                <w:u w:val="single"/>
              </w:rPr>
              <w:t>Restart</w:t>
            </w:r>
            <w:r w:rsidRPr="0056528C">
              <w:rPr>
                <w:highlight w:val="lightGray"/>
                <w:u w:val="single"/>
              </w:rPr>
              <w:t>", "</w:t>
            </w:r>
            <w:r w:rsidRPr="0056528C">
              <w:rPr>
                <w:b/>
                <w:bCs/>
                <w:highlight w:val="lightGray"/>
                <w:u w:val="single"/>
              </w:rPr>
              <w:t>Abort</w:t>
            </w:r>
            <w:r w:rsidRPr="0056528C">
              <w:rPr>
                <w:highlight w:val="lightGray"/>
                <w:u w:val="single"/>
              </w:rPr>
              <w:t>", "</w:t>
            </w:r>
            <w:r w:rsidRPr="0056528C">
              <w:rPr>
                <w:b/>
                <w:bCs/>
                <w:highlight w:val="lightGray"/>
                <w:u w:val="single"/>
              </w:rPr>
              <w:t>Reset</w:t>
            </w:r>
            <w:r w:rsidRPr="0056528C">
              <w:rPr>
                <w:highlight w:val="lightGray"/>
                <w:u w:val="single"/>
              </w:rPr>
              <w:t>", “</w:t>
            </w:r>
            <w:r w:rsidRPr="0056528C">
              <w:rPr>
                <w:b/>
                <w:highlight w:val="lightGray"/>
                <w:u w:val="single"/>
              </w:rPr>
              <w:t>Pause</w:t>
            </w:r>
            <w:r w:rsidRPr="0056528C">
              <w:rPr>
                <w:highlight w:val="lightGray"/>
                <w:u w:val="single"/>
              </w:rPr>
              <w:t>”, “</w:t>
            </w:r>
            <w:r w:rsidRPr="0056528C">
              <w:rPr>
                <w:b/>
                <w:highlight w:val="lightGray"/>
                <w:u w:val="single"/>
              </w:rPr>
              <w:t>Resume</w:t>
            </w:r>
            <w:r w:rsidRPr="0056528C">
              <w:rPr>
                <w:highlight w:val="lightGray"/>
                <w:u w:val="single"/>
              </w:rPr>
              <w:t>” and "</w:t>
            </w:r>
            <w:r w:rsidRPr="0056528C">
              <w:rPr>
                <w:b/>
                <w:bCs/>
                <w:highlight w:val="lightGray"/>
                <w:u w:val="single"/>
              </w:rPr>
              <w:t>Other</w:t>
            </w:r>
            <w:r w:rsidRPr="0056528C">
              <w:rPr>
                <w:highlight w:val="lightGray"/>
                <w:u w:val="single"/>
              </w:rPr>
              <w:t>".</w:t>
            </w:r>
          </w:p>
          <w:p w:rsidR="001961C7" w:rsidRPr="0056528C" w:rsidRDefault="001961C7" w:rsidP="00D26E34">
            <w:pPr>
              <w:pStyle w:val="BoxedElement"/>
              <w:numPr>
                <w:ilvl w:val="0"/>
                <w:numId w:val="10"/>
              </w:numPr>
              <w:rPr>
                <w:highlight w:val="lightGray"/>
                <w:u w:val="single"/>
              </w:rPr>
            </w:pPr>
            <w:r w:rsidRPr="0056528C">
              <w:rPr>
                <w:b/>
                <w:highlight w:val="lightGray"/>
                <w:u w:val="single"/>
              </w:rPr>
              <w:t>Start</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started.</w:t>
            </w:r>
          </w:p>
          <w:p w:rsidR="001961C7" w:rsidRPr="0056528C" w:rsidRDefault="001961C7" w:rsidP="00D26E34">
            <w:pPr>
              <w:pStyle w:val="BoxedElement"/>
              <w:numPr>
                <w:ilvl w:val="0"/>
                <w:numId w:val="10"/>
              </w:numPr>
              <w:rPr>
                <w:highlight w:val="lightGray"/>
                <w:u w:val="single"/>
              </w:rPr>
            </w:pPr>
            <w:r w:rsidRPr="0056528C">
              <w:rPr>
                <w:b/>
                <w:highlight w:val="lightGray"/>
                <w:u w:val="single"/>
              </w:rPr>
              <w:t>Stop</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stopped in a normal manner.</w:t>
            </w:r>
          </w:p>
          <w:p w:rsidR="001961C7" w:rsidRPr="0056528C" w:rsidRDefault="001961C7" w:rsidP="00D26E34">
            <w:pPr>
              <w:pStyle w:val="BoxedElement"/>
              <w:numPr>
                <w:ilvl w:val="0"/>
                <w:numId w:val="10"/>
              </w:numPr>
              <w:rPr>
                <w:highlight w:val="lightGray"/>
                <w:u w:val="single"/>
              </w:rPr>
            </w:pPr>
            <w:r w:rsidRPr="0056528C">
              <w:rPr>
                <w:b/>
                <w:highlight w:val="lightGray"/>
                <w:u w:val="single"/>
              </w:rPr>
              <w:t>Hold</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w:t>
            </w:r>
            <w:proofErr w:type="gramStart"/>
            <w:r w:rsidRPr="0056528C">
              <w:rPr>
                <w:highlight w:val="lightGray"/>
                <w:u w:val="single"/>
              </w:rPr>
              <w:t>job order</w:t>
            </w:r>
            <w:proofErr w:type="gramEnd"/>
            <w:r w:rsidRPr="0056528C">
              <w:rPr>
                <w:highlight w:val="lightGray"/>
                <w:u w:val="single"/>
              </w:rPr>
              <w:t xml:space="preserve"> is to be held for an indeterminate time until restarted.</w:t>
            </w:r>
          </w:p>
          <w:p w:rsidR="001961C7" w:rsidRPr="0056528C" w:rsidRDefault="001961C7" w:rsidP="00D26E34">
            <w:pPr>
              <w:pStyle w:val="BoxedElement"/>
              <w:numPr>
                <w:ilvl w:val="0"/>
                <w:numId w:val="10"/>
              </w:numPr>
              <w:rPr>
                <w:highlight w:val="lightGray"/>
                <w:u w:val="single"/>
              </w:rPr>
            </w:pPr>
            <w:r w:rsidRPr="0056528C">
              <w:rPr>
                <w:b/>
                <w:highlight w:val="lightGray"/>
                <w:u w:val="single"/>
              </w:rPr>
              <w:t>Restart</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restarted after a hold.</w:t>
            </w:r>
          </w:p>
          <w:p w:rsidR="001961C7" w:rsidRPr="0056528C" w:rsidRDefault="001961C7" w:rsidP="00D26E34">
            <w:pPr>
              <w:pStyle w:val="BoxedElement"/>
              <w:numPr>
                <w:ilvl w:val="0"/>
                <w:numId w:val="10"/>
              </w:numPr>
              <w:rPr>
                <w:highlight w:val="lightGray"/>
                <w:u w:val="single"/>
              </w:rPr>
            </w:pPr>
            <w:r w:rsidRPr="0056528C">
              <w:rPr>
                <w:b/>
                <w:highlight w:val="lightGray"/>
                <w:u w:val="single"/>
              </w:rPr>
              <w:t>Abort</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stopped in an aborted state.</w:t>
            </w:r>
          </w:p>
          <w:p w:rsidR="001961C7" w:rsidRPr="0056528C" w:rsidRDefault="001961C7" w:rsidP="00D26E34">
            <w:pPr>
              <w:pStyle w:val="BoxedElement"/>
              <w:numPr>
                <w:ilvl w:val="0"/>
                <w:numId w:val="10"/>
              </w:numPr>
              <w:rPr>
                <w:highlight w:val="lightGray"/>
                <w:u w:val="single"/>
              </w:rPr>
            </w:pPr>
            <w:r w:rsidRPr="0056528C">
              <w:rPr>
                <w:b/>
                <w:highlight w:val="lightGray"/>
                <w:u w:val="single"/>
              </w:rPr>
              <w:t>Reset</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placed into the idle state.</w:t>
            </w:r>
          </w:p>
          <w:p w:rsidR="001961C7" w:rsidRPr="0056528C" w:rsidRDefault="001961C7" w:rsidP="00D26E34">
            <w:pPr>
              <w:pStyle w:val="BoxedElement"/>
              <w:numPr>
                <w:ilvl w:val="0"/>
                <w:numId w:val="10"/>
              </w:numPr>
              <w:rPr>
                <w:highlight w:val="lightGray"/>
                <w:u w:val="single"/>
              </w:rPr>
            </w:pPr>
            <w:r w:rsidRPr="0056528C">
              <w:rPr>
                <w:b/>
                <w:highlight w:val="lightGray"/>
                <w:u w:val="single"/>
              </w:rPr>
              <w:t>Pause</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paused for a short time until it is resumed.</w:t>
            </w:r>
          </w:p>
          <w:p w:rsidR="001961C7" w:rsidRPr="0056528C" w:rsidRDefault="001961C7" w:rsidP="00D26E34">
            <w:pPr>
              <w:pStyle w:val="BoxedElement"/>
              <w:numPr>
                <w:ilvl w:val="0"/>
                <w:numId w:val="10"/>
              </w:numPr>
              <w:rPr>
                <w:highlight w:val="lightGray"/>
                <w:u w:val="single"/>
              </w:rPr>
            </w:pPr>
            <w:r w:rsidRPr="0056528C">
              <w:rPr>
                <w:b/>
                <w:highlight w:val="lightGray"/>
                <w:u w:val="single"/>
              </w:rPr>
              <w:t>Resume</w:t>
            </w:r>
            <w:r w:rsidRPr="0056528C">
              <w:rPr>
                <w:highlight w:val="lightGray"/>
                <w:u w:val="single"/>
              </w:rPr>
              <w:t xml:space="preserve"> </w:t>
            </w:r>
            <w:r w:rsidRPr="0056528C">
              <w:rPr>
                <w:highlight w:val="lightGray"/>
                <w:u w:val="single"/>
              </w:rPr>
              <w:sym w:font="Wingdings" w:char="F0E0"/>
            </w:r>
            <w:r w:rsidRPr="0056528C">
              <w:rPr>
                <w:highlight w:val="lightGray"/>
                <w:u w:val="single"/>
              </w:rPr>
              <w:t xml:space="preserve"> Indicates that the job order is to be resumed after a pause.</w:t>
            </w:r>
          </w:p>
          <w:p w:rsidR="001961C7" w:rsidRPr="0056528C" w:rsidRDefault="001961C7" w:rsidP="00C7462F">
            <w:pPr>
              <w:pStyle w:val="BoxedElement"/>
              <w:rPr>
                <w:highlight w:val="lightGray"/>
                <w:u w:val="single"/>
              </w:rPr>
            </w:pPr>
            <w:r w:rsidRPr="0056528C">
              <w:rPr>
                <w:highlight w:val="lightGray"/>
                <w:u w:val="single"/>
              </w:rPr>
              <w:t>If “Other” then the type is an application specific extension and the value is defined in the attribute “</w:t>
            </w:r>
            <w:proofErr w:type="spellStart"/>
            <w:r w:rsidRPr="0056528C">
              <w:rPr>
                <w:highlight w:val="lightGray"/>
                <w:u w:val="single"/>
              </w:rPr>
              <w:t>OtherValue</w:t>
            </w:r>
            <w:proofErr w:type="spellEnd"/>
            <w:r w:rsidRPr="0056528C">
              <w:rPr>
                <w:highlight w:val="lightGray"/>
                <w:u w:val="single"/>
              </w:rPr>
              <w:t>”.</w:t>
            </w:r>
          </w:p>
          <w:p w:rsidR="001961C7" w:rsidRPr="0056528C" w:rsidRDefault="001961C7" w:rsidP="00C7462F">
            <w:pPr>
              <w:pStyle w:val="BoxedElement"/>
              <w:rPr>
                <w:highlight w:val="lightGray"/>
                <w:u w:val="single"/>
              </w:rPr>
            </w:pPr>
          </w:p>
          <w:p w:rsidR="001961C7" w:rsidRPr="0056528C" w:rsidRDefault="001961C7" w:rsidP="00C7462F">
            <w:pPr>
              <w:pStyle w:val="BoxedElement"/>
              <w:rPr>
                <w:highlight w:val="lightGray"/>
                <w:u w:val="single"/>
              </w:rPr>
            </w:pPr>
            <w:r w:rsidRPr="0056528C">
              <w:rPr>
                <w:i/>
                <w:sz w:val="16"/>
                <w:highlight w:val="lightGray"/>
                <w:u w:val="single"/>
              </w:rPr>
              <w:t>NOTE: These definitions are from the ISA 88.01 ed2 standard.</w:t>
            </w:r>
          </w:p>
        </w:tc>
      </w:tr>
      <w:tr w:rsidR="001961C7" w:rsidRPr="00031E8E" w:rsidTr="00C7462F">
        <w:trPr>
          <w:cantSplit/>
        </w:trPr>
        <w:tc>
          <w:tcPr>
            <w:tcW w:w="2610" w:type="dxa"/>
          </w:tcPr>
          <w:p w:rsidR="001961C7" w:rsidRPr="003E15E9" w:rsidRDefault="001961C7" w:rsidP="00C7462F">
            <w:pPr>
              <w:pStyle w:val="BoxedElement"/>
              <w:rPr>
                <w:bCs/>
                <w:iCs/>
              </w:rPr>
            </w:pPr>
            <w:proofErr w:type="spellStart"/>
            <w:r w:rsidRPr="003E15E9">
              <w:rPr>
                <w:b/>
                <w:bCs/>
                <w:i/>
                <w:iCs/>
              </w:rPr>
              <w:lastRenderedPageBreak/>
              <w:t>MaterialUseType</w:t>
            </w:r>
            <w:proofErr w:type="spellEnd"/>
          </w:p>
          <w:p w:rsidR="001961C7" w:rsidRPr="003E15E9" w:rsidRDefault="001961C7" w:rsidP="00C7462F">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6300" w:type="dxa"/>
          </w:tcPr>
          <w:p w:rsidR="001961C7" w:rsidRPr="003E15E9" w:rsidRDefault="001961C7" w:rsidP="00C7462F">
            <w:pPr>
              <w:pStyle w:val="BoxedElement"/>
            </w:pPr>
            <w:r w:rsidRPr="003E15E9">
              <w:t xml:space="preserve">An identification of the type of material use.  </w:t>
            </w:r>
          </w:p>
          <w:p w:rsidR="001961C7" w:rsidRDefault="001961C7" w:rsidP="00C7462F">
            <w:pPr>
              <w:pStyle w:val="BoxedElement"/>
            </w:pPr>
            <w:r w:rsidRPr="003E15E9">
              <w:t xml:space="preserve">This may be either a standard type (ANSI/ISA-95) or an application specific extended type. </w:t>
            </w:r>
          </w:p>
          <w:p w:rsidR="001961C7" w:rsidRPr="003E15E9" w:rsidRDefault="001961C7" w:rsidP="00C7462F">
            <w:pPr>
              <w:pStyle w:val="BoxedElement"/>
            </w:pPr>
            <w:r w:rsidRPr="003E15E9">
              <w:t xml:space="preserve"> </w:t>
            </w:r>
            <w:r>
              <w:t xml:space="preserve">Defined values for production operations </w:t>
            </w:r>
            <w:r w:rsidRPr="003E15E9">
              <w:t>are: “</w:t>
            </w:r>
            <w:r w:rsidRPr="003E15E9">
              <w:rPr>
                <w:b/>
                <w:bCs/>
              </w:rPr>
              <w:t>Consumed</w:t>
            </w:r>
            <w:r w:rsidRPr="003E15E9">
              <w:t>”, “</w:t>
            </w:r>
            <w:r w:rsidRPr="003E15E9">
              <w:rPr>
                <w:b/>
                <w:bCs/>
              </w:rPr>
              <w:t>Produced</w:t>
            </w:r>
            <w:r w:rsidRPr="003E15E9">
              <w:t>”, “</w:t>
            </w:r>
            <w:r w:rsidRPr="003E15E9">
              <w:rPr>
                <w:b/>
                <w:bCs/>
              </w:rPr>
              <w:t>Consumable</w:t>
            </w:r>
            <w:r>
              <w:t xml:space="preserve">” </w:t>
            </w:r>
            <w:r w:rsidRPr="003E15E9">
              <w:t xml:space="preserve">and </w:t>
            </w:r>
            <w:r w:rsidRPr="003E15E9">
              <w:rPr>
                <w:b/>
                <w:bCs/>
              </w:rPr>
              <w:t>Other</w:t>
            </w:r>
          </w:p>
          <w:p w:rsidR="001961C7" w:rsidRPr="0056528C" w:rsidRDefault="001961C7" w:rsidP="00C7462F">
            <w:pPr>
              <w:pStyle w:val="BoxedElement"/>
              <w:rPr>
                <w:highlight w:val="lightGray"/>
                <w:u w:val="single"/>
              </w:rPr>
            </w:pPr>
            <w:r w:rsidRPr="0056528C">
              <w:rPr>
                <w:highlight w:val="lightGray"/>
                <w:u w:val="single"/>
              </w:rPr>
              <w:t xml:space="preserve">Defined values for maintenance operations are: </w:t>
            </w:r>
            <w:r w:rsidRPr="0056528C">
              <w:rPr>
                <w:b/>
                <w:highlight w:val="lightGray"/>
                <w:u w:val="single"/>
              </w:rPr>
              <w:t>Consumable</w:t>
            </w:r>
            <w:r w:rsidRPr="0056528C">
              <w:rPr>
                <w:highlight w:val="lightGray"/>
                <w:u w:val="single"/>
              </w:rPr>
              <w:t xml:space="preserve">, </w:t>
            </w:r>
            <w:r w:rsidRPr="0056528C">
              <w:rPr>
                <w:b/>
                <w:highlight w:val="lightGray"/>
                <w:u w:val="single"/>
              </w:rPr>
              <w:t>Replaced Asset</w:t>
            </w:r>
            <w:r w:rsidRPr="0056528C">
              <w:rPr>
                <w:highlight w:val="lightGray"/>
                <w:u w:val="single"/>
              </w:rPr>
              <w:t xml:space="preserve">, </w:t>
            </w:r>
            <w:r w:rsidRPr="0056528C">
              <w:rPr>
                <w:b/>
                <w:highlight w:val="lightGray"/>
                <w:u w:val="single"/>
              </w:rPr>
              <w:t>Replacement Asset</w:t>
            </w:r>
            <w:r w:rsidRPr="0056528C">
              <w:rPr>
                <w:highlight w:val="lightGray"/>
                <w:u w:val="single"/>
              </w:rPr>
              <w:t xml:space="preserve"> and </w:t>
            </w:r>
            <w:r w:rsidRPr="0056528C">
              <w:rPr>
                <w:b/>
                <w:bCs/>
                <w:highlight w:val="lightGray"/>
                <w:u w:val="single"/>
              </w:rPr>
              <w:t>Other</w:t>
            </w:r>
          </w:p>
          <w:p w:rsidR="001961C7" w:rsidRPr="0056528C" w:rsidRDefault="001961C7" w:rsidP="00C7462F">
            <w:pPr>
              <w:pStyle w:val="BoxedElement"/>
              <w:rPr>
                <w:highlight w:val="lightGray"/>
                <w:u w:val="single"/>
              </w:rPr>
            </w:pPr>
            <w:r w:rsidRPr="0056528C">
              <w:rPr>
                <w:highlight w:val="lightGray"/>
                <w:u w:val="single"/>
              </w:rPr>
              <w:t xml:space="preserve">Defined values for quality operations are: </w:t>
            </w:r>
            <w:r w:rsidRPr="0056528C">
              <w:rPr>
                <w:b/>
                <w:highlight w:val="lightGray"/>
                <w:u w:val="single"/>
              </w:rPr>
              <w:t>Consumable</w:t>
            </w:r>
            <w:r w:rsidRPr="0056528C">
              <w:rPr>
                <w:highlight w:val="lightGray"/>
                <w:u w:val="single"/>
              </w:rPr>
              <w:t xml:space="preserve">, </w:t>
            </w:r>
            <w:r w:rsidRPr="0056528C">
              <w:rPr>
                <w:b/>
                <w:highlight w:val="lightGray"/>
                <w:u w:val="single"/>
              </w:rPr>
              <w:t>Sample</w:t>
            </w:r>
            <w:r w:rsidRPr="0056528C">
              <w:rPr>
                <w:highlight w:val="lightGray"/>
                <w:u w:val="single"/>
              </w:rPr>
              <w:t xml:space="preserve">, </w:t>
            </w:r>
            <w:r w:rsidRPr="0056528C">
              <w:rPr>
                <w:b/>
                <w:highlight w:val="lightGray"/>
                <w:u w:val="single"/>
              </w:rPr>
              <w:t>Returned Sample</w:t>
            </w:r>
            <w:r w:rsidRPr="0056528C">
              <w:rPr>
                <w:highlight w:val="lightGray"/>
                <w:u w:val="single"/>
              </w:rPr>
              <w:t xml:space="preserve"> and </w:t>
            </w:r>
            <w:r w:rsidRPr="0056528C">
              <w:rPr>
                <w:b/>
                <w:bCs/>
                <w:highlight w:val="lightGray"/>
                <w:u w:val="single"/>
              </w:rPr>
              <w:t>Other</w:t>
            </w:r>
          </w:p>
          <w:p w:rsidR="001961C7" w:rsidRPr="00B0046D" w:rsidRDefault="001961C7" w:rsidP="00C7462F">
            <w:pPr>
              <w:pStyle w:val="BoxedElement"/>
              <w:rPr>
                <w:b/>
                <w:u w:val="single"/>
              </w:rPr>
            </w:pPr>
            <w:r w:rsidRPr="0056528C">
              <w:rPr>
                <w:highlight w:val="lightGray"/>
                <w:u w:val="single"/>
              </w:rPr>
              <w:t xml:space="preserve">Defined values for inventory operations are: </w:t>
            </w:r>
            <w:r w:rsidRPr="0056528C">
              <w:rPr>
                <w:b/>
                <w:highlight w:val="lightGray"/>
                <w:u w:val="single"/>
              </w:rPr>
              <w:t>Consumable</w:t>
            </w:r>
            <w:r w:rsidRPr="0056528C">
              <w:rPr>
                <w:highlight w:val="lightGray"/>
                <w:u w:val="single"/>
              </w:rPr>
              <w:t xml:space="preserve">, </w:t>
            </w:r>
            <w:r w:rsidRPr="0056528C">
              <w:rPr>
                <w:b/>
                <w:highlight w:val="lightGray"/>
                <w:u w:val="single"/>
              </w:rPr>
              <w:t>Carrier</w:t>
            </w:r>
            <w:r w:rsidRPr="0056528C">
              <w:rPr>
                <w:highlight w:val="lightGray"/>
                <w:u w:val="single"/>
              </w:rPr>
              <w:t xml:space="preserve">, </w:t>
            </w:r>
            <w:r w:rsidRPr="0056528C">
              <w:rPr>
                <w:b/>
                <w:highlight w:val="lightGray"/>
                <w:u w:val="single"/>
              </w:rPr>
              <w:t>Returned Carrier</w:t>
            </w:r>
            <w:r w:rsidRPr="0056528C">
              <w:rPr>
                <w:highlight w:val="lightGray"/>
                <w:u w:val="single"/>
              </w:rPr>
              <w:t xml:space="preserve"> and </w:t>
            </w:r>
            <w:r w:rsidRPr="0056528C">
              <w:rPr>
                <w:b/>
                <w:bCs/>
                <w:highlight w:val="lightGray"/>
                <w:u w:val="single"/>
              </w:rPr>
              <w:t>Other</w:t>
            </w:r>
          </w:p>
          <w:p w:rsidR="001961C7" w:rsidRPr="003E15E9" w:rsidRDefault="001961C7" w:rsidP="00C7462F">
            <w:pPr>
              <w:pStyle w:val="BoxedElement"/>
            </w:pPr>
            <w:r w:rsidRPr="003E15E9">
              <w:t>If “Other” then the type is an application specific extension and the value is defined in the attribute “</w:t>
            </w:r>
            <w:proofErr w:type="spellStart"/>
            <w:r w:rsidRPr="003E15E9">
              <w:t>OtherValue</w:t>
            </w:r>
            <w:proofErr w:type="spellEnd"/>
            <w:r w:rsidRPr="003E15E9">
              <w:t>”.</w:t>
            </w:r>
          </w:p>
        </w:tc>
      </w:tr>
    </w:tbl>
    <w:p w:rsidR="001961C7" w:rsidRDefault="001961C7" w:rsidP="001961C7"/>
    <w:p w:rsidR="001961C7" w:rsidRDefault="001961C7" w:rsidP="00D26E34">
      <w:pPr>
        <w:numPr>
          <w:ilvl w:val="0"/>
          <w:numId w:val="3"/>
        </w:numPr>
        <w:spacing w:before="0" w:after="120"/>
      </w:pPr>
      <w:r>
        <w:t xml:space="preserve">Update to the figures in the Personnel, Equipment, Material, and Physical Asset schemas to reflect the recursive model for the properties.  </w:t>
      </w:r>
    </w:p>
    <w:p w:rsidR="001961C7" w:rsidRDefault="001961C7" w:rsidP="001961C7">
      <w:pPr>
        <w:jc w:val="both"/>
      </w:pPr>
      <w:r>
        <w:t xml:space="preserve">  </w:t>
      </w:r>
    </w:p>
    <w:p w:rsidR="001961C7" w:rsidRDefault="001961C7" w:rsidP="001961C7">
      <w:pPr>
        <w:jc w:val="both"/>
      </w:pPr>
    </w:p>
    <w:p w:rsidR="001961C7" w:rsidRDefault="001961C7" w:rsidP="001961C7">
      <w:pPr>
        <w:jc w:val="both"/>
      </w:pPr>
    </w:p>
    <w:p w:rsidR="001961C7" w:rsidRDefault="001961C7" w:rsidP="001961C7">
      <w:pPr>
        <w:pStyle w:val="Heading1"/>
        <w:pageBreakBefore/>
      </w:pPr>
      <w:bookmarkStart w:id="8" w:name="_Toc351195369"/>
      <w:r>
        <w:lastRenderedPageBreak/>
        <w:t>BATCHML Changes</w:t>
      </w:r>
      <w:bookmarkEnd w:id="8"/>
    </w:p>
    <w:p w:rsidR="001961C7" w:rsidRDefault="001961C7" w:rsidP="001961C7">
      <w:pPr>
        <w:jc w:val="both"/>
      </w:pPr>
      <w:r>
        <w:rPr>
          <w:noProof/>
        </w:rPr>
        <w:drawing>
          <wp:inline distT="0" distB="0" distL="0" distR="0" wp14:anchorId="72A97A8A" wp14:editId="6ACEEFC6">
            <wp:extent cx="2498090" cy="1346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8090" cy="1346835"/>
                    </a:xfrm>
                    <a:prstGeom prst="rect">
                      <a:avLst/>
                    </a:prstGeom>
                    <a:noFill/>
                    <a:ln>
                      <a:noFill/>
                    </a:ln>
                    <a:effectLst/>
                  </pic:spPr>
                </pic:pic>
              </a:graphicData>
            </a:graphic>
          </wp:inline>
        </w:drawing>
      </w:r>
    </w:p>
    <w:p w:rsidR="001961C7" w:rsidRDefault="001961C7" w:rsidP="001961C7">
      <w:pPr>
        <w:jc w:val="both"/>
      </w:pPr>
    </w:p>
    <w:p w:rsidR="001961C7" w:rsidRDefault="001961C7" w:rsidP="00D26E34">
      <w:pPr>
        <w:numPr>
          <w:ilvl w:val="0"/>
          <w:numId w:val="2"/>
        </w:numPr>
        <w:spacing w:before="0" w:after="120"/>
        <w:jc w:val="both"/>
      </w:pPr>
      <w:r>
        <w:t xml:space="preserve">Correction to the extended type referenced in the </w:t>
      </w:r>
      <w:proofErr w:type="spellStart"/>
      <w:r>
        <w:t>FromIDType</w:t>
      </w:r>
      <w:proofErr w:type="spellEnd"/>
      <w:r>
        <w:t xml:space="preserve"> in the BatchML-V05-BatchInformation schema, as per V0500 Errata #2.</w:t>
      </w:r>
    </w:p>
    <w:p w:rsidR="001961C7" w:rsidRDefault="001961C7" w:rsidP="00D26E34">
      <w:pPr>
        <w:numPr>
          <w:ilvl w:val="0"/>
          <w:numId w:val="2"/>
        </w:numPr>
        <w:spacing w:before="0" w:after="120"/>
        <w:jc w:val="both"/>
      </w:pPr>
      <w:r>
        <w:t>Added the ANSI/ISA 95.04 elements to the Batch Production Record specification. These elements include:</w:t>
      </w:r>
    </w:p>
    <w:p w:rsidR="001961C7" w:rsidRDefault="001961C7" w:rsidP="00D26E34">
      <w:pPr>
        <w:numPr>
          <w:ilvl w:val="1"/>
          <w:numId w:val="2"/>
        </w:numPr>
        <w:spacing w:before="0" w:after="120"/>
        <w:jc w:val="both"/>
      </w:pPr>
      <w:r>
        <w:t>Work Master</w:t>
      </w:r>
    </w:p>
    <w:p w:rsidR="001961C7" w:rsidRDefault="001961C7" w:rsidP="00D26E34">
      <w:pPr>
        <w:numPr>
          <w:ilvl w:val="1"/>
          <w:numId w:val="2"/>
        </w:numPr>
        <w:spacing w:before="0" w:after="120"/>
        <w:jc w:val="both"/>
      </w:pPr>
      <w:r>
        <w:t>Work Directive</w:t>
      </w:r>
    </w:p>
    <w:p w:rsidR="001961C7" w:rsidRDefault="001961C7" w:rsidP="00D26E34">
      <w:pPr>
        <w:numPr>
          <w:ilvl w:val="1"/>
          <w:numId w:val="2"/>
        </w:numPr>
        <w:spacing w:before="0" w:after="120"/>
        <w:jc w:val="both"/>
      </w:pPr>
      <w:r>
        <w:t>Work Schedule</w:t>
      </w:r>
    </w:p>
    <w:p w:rsidR="001961C7" w:rsidRDefault="001961C7" w:rsidP="00D26E34">
      <w:pPr>
        <w:numPr>
          <w:ilvl w:val="1"/>
          <w:numId w:val="2"/>
        </w:numPr>
        <w:spacing w:before="0" w:after="120"/>
        <w:jc w:val="both"/>
      </w:pPr>
      <w:r>
        <w:t xml:space="preserve">Work Performance.  </w:t>
      </w:r>
    </w:p>
    <w:p w:rsidR="001961C7" w:rsidRDefault="001961C7" w:rsidP="001961C7">
      <w:pPr>
        <w:ind w:left="360"/>
        <w:jc w:val="both"/>
      </w:pPr>
    </w:p>
    <w:p w:rsidR="001961C7" w:rsidRDefault="001961C7" w:rsidP="001961C7">
      <w:pPr>
        <w:jc w:val="both"/>
      </w:pPr>
    </w:p>
    <w:p w:rsidR="008750E9" w:rsidRPr="00BE017C" w:rsidRDefault="00CD3E66" w:rsidP="00D12D36">
      <w:pPr>
        <w:pStyle w:val="Body"/>
        <w:pageBreakBefore/>
        <w:ind w:left="2880"/>
      </w:pPr>
      <w:bookmarkStart w:id="9" w:name="_TOC4649"/>
      <w:bookmarkEnd w:id="5"/>
      <w:bookmarkEnd w:id="9"/>
      <w:r>
        <w:rPr>
          <w:noProof/>
        </w:rPr>
        <w:lastRenderedPageBreak/>
        <w:drawing>
          <wp:anchor distT="0" distB="0" distL="114300" distR="114300" simplePos="0" relativeHeight="251657728" behindDoc="0" locked="0" layoutInCell="1" allowOverlap="1" wp14:anchorId="1FD171A6" wp14:editId="4101A461">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D6B" w:rsidRDefault="00716D6B">
      <w:r>
        <w:separator/>
      </w:r>
    </w:p>
  </w:endnote>
  <w:endnote w:type="continuationSeparator" w:id="0">
    <w:p w:rsidR="00716D6B" w:rsidRDefault="00716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C682225" wp14:editId="51F2CC3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6A924874" wp14:editId="08F2737E">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4D79A0">
      <w:rPr>
        <w:rFonts w:ascii="Calibri" w:hAnsi="Calibri"/>
        <w:noProof/>
        <w:color w:val="FFFFFF"/>
      </w:rPr>
      <w:t>10</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DD4A2A" w:rsidRPr="00DD4A2A">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4D79A0">
      <w:rPr>
        <w:rFonts w:ascii="Calibri" w:hAnsi="Calibri"/>
        <w:noProof/>
        <w:color w:val="FFFFFF"/>
      </w:rPr>
      <w:t>March 15, 2013 at 13:03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BB3BD0E" wp14:editId="596880B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DD4A2A" w:rsidRPr="00DD4A2A">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4D79A0">
      <w:rPr>
        <w:rFonts w:ascii="Calibri" w:hAnsi="Calibri"/>
        <w:noProof/>
        <w:color w:val="FFFFFF"/>
      </w:rPr>
      <w:t>11</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DD4A2A">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4D79A0">
      <w:rPr>
        <w:rFonts w:ascii="Calibri" w:hAnsi="Calibri"/>
        <w:noProof/>
        <w:color w:val="FFFFFF"/>
      </w:rPr>
      <w:t>March 15, 2013 at 13:03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4D696563" wp14:editId="5F63587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1467EDE" wp14:editId="087DBAC2">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D6B" w:rsidRDefault="00716D6B">
      <w:r>
        <w:separator/>
      </w:r>
    </w:p>
  </w:footnote>
  <w:footnote w:type="continuationSeparator" w:id="0">
    <w:p w:rsidR="00716D6B" w:rsidRDefault="00716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D79A0" w:rsidRPr="004D79A0">
        <w:rPr>
          <w:rFonts w:ascii="Arial" w:eastAsia="Times New Roman" w:hAnsi="Arial" w:cs="Arial"/>
          <w:noProof/>
          <w:color w:val="FFFFFF"/>
          <w:szCs w:val="18"/>
        </w:rPr>
        <w:t>Release Notes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4D79A0">
      <w:rPr>
        <w:rFonts w:asciiTheme="minorHAnsi" w:hAnsiTheme="minorHAnsi"/>
        <w:noProof/>
        <w:color w:val="FFFFFF" w:themeColor="background1"/>
        <w:sz w:val="20"/>
      </w:rPr>
      <w:t>B2MML-BatchML-V0600-Release Notes.docx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40D9B341" wp14:editId="7ABE9755">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7CC08618" wp14:editId="00E54E6B">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5E82"/>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803C3"/>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D433A7"/>
    <w:multiLevelType w:val="hybridMultilevel"/>
    <w:tmpl w:val="859C56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22002C5"/>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297472"/>
    <w:multiLevelType w:val="hybridMultilevel"/>
    <w:tmpl w:val="3386F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1B85324"/>
    <w:multiLevelType w:val="hybridMultilevel"/>
    <w:tmpl w:val="B4EE91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FD04EA"/>
    <w:multiLevelType w:val="hybridMultilevel"/>
    <w:tmpl w:val="6E867E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FAF4FF7"/>
    <w:multiLevelType w:val="hybridMultilevel"/>
    <w:tmpl w:val="FFCE11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8E34E7"/>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A96BA0"/>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D92742"/>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FD5101"/>
    <w:multiLevelType w:val="hybridMultilevel"/>
    <w:tmpl w:val="50F2BE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7"/>
  </w:num>
  <w:num w:numId="4">
    <w:abstractNumId w:val="9"/>
  </w:num>
  <w:num w:numId="5">
    <w:abstractNumId w:val="8"/>
  </w:num>
  <w:num w:numId="6">
    <w:abstractNumId w:val="11"/>
  </w:num>
  <w:num w:numId="7">
    <w:abstractNumId w:val="0"/>
  </w:num>
  <w:num w:numId="8">
    <w:abstractNumId w:val="3"/>
  </w:num>
  <w:num w:numId="9">
    <w:abstractNumId w:val="10"/>
  </w:num>
  <w:num w:numId="10">
    <w:abstractNumId w:val="2"/>
  </w:num>
  <w:num w:numId="11">
    <w:abstractNumId w:val="4"/>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2A"/>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961C7"/>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D79A0"/>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16D6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26E34"/>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A2A"/>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BoxedElement">
    <w:name w:val="Boxed Element"/>
    <w:basedOn w:val="Normal"/>
    <w:rsid w:val="001961C7"/>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BoxedElement">
    <w:name w:val="Boxed Element"/>
    <w:basedOn w:val="Normal"/>
    <w:rsid w:val="001961C7"/>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www.me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B5FF7B23-EBF2-4A89-BB52-5F0DDFCD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3</TotalTime>
  <Pages>15</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Release Notes</vt:lpstr>
    </vt:vector>
  </TitlesOfParts>
  <Company>MESA</Company>
  <LinksUpToDate>false</LinksUpToDate>
  <CharactersWithSpaces>12383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BlueBook</dc:creator>
  <cp:lastModifiedBy>BlueBook</cp:lastModifiedBy>
  <cp:revision>3</cp:revision>
  <cp:lastPrinted>2012-08-16T19:02:00Z</cp:lastPrinted>
  <dcterms:created xsi:type="dcterms:W3CDTF">2013-03-15T17:56:00Z</dcterms:created>
  <dcterms:modified xsi:type="dcterms:W3CDTF">2013-03-16T15:08:00Z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B2MML-BatchML-Release Notes</vt:lpwstr>
  </property>
</Properties>
</file>