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CF1A00">
        <w:rPr>
          <w:sz w:val="56"/>
        </w:rPr>
        <w:t>Transaction Profile</w:t>
      </w:r>
      <w:r w:rsidRPr="009F7882">
        <w:rPr>
          <w:sz w:val="56"/>
        </w:rPr>
        <w:fldChar w:fldCharType="end"/>
      </w:r>
    </w:p>
    <w:p w:rsidR="00BF1C44" w:rsidRDefault="00BF1C44" w:rsidP="00BF1C44">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BF1C44" w:rsidRDefault="00BF1C44" w:rsidP="00BF1C44">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CF1A00">
        <w:rPr>
          <w:sz w:val="56"/>
        </w:rPr>
        <w:t>B2MML-TransactionProfile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BF1C44">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CF1A0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CF1A00" w:rsidRDefault="00CF1A00">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_Toc415482836 \h </w:instrText>
      </w:r>
      <w:r>
        <w:rPr>
          <w:noProof/>
        </w:rPr>
      </w:r>
      <w:r>
        <w:rPr>
          <w:noProof/>
        </w:rPr>
        <w:fldChar w:fldCharType="separate"/>
      </w:r>
      <w:r>
        <w:rPr>
          <w:noProof/>
        </w:rPr>
        <w:t>3</w:t>
      </w:r>
      <w:r>
        <w:rPr>
          <w:noProof/>
        </w:rPr>
        <w:fldChar w:fldCharType="end"/>
      </w:r>
    </w:p>
    <w:p w:rsidR="00CF1A00" w:rsidRDefault="00CF1A00">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_Toc415482837 \h </w:instrText>
      </w:r>
      <w:r>
        <w:rPr>
          <w:noProof/>
        </w:rPr>
      </w:r>
      <w:r>
        <w:rPr>
          <w:noProof/>
        </w:rPr>
        <w:fldChar w:fldCharType="separate"/>
      </w:r>
      <w:r>
        <w:rPr>
          <w:noProof/>
        </w:rPr>
        <w:t>4</w:t>
      </w:r>
      <w:r>
        <w:rPr>
          <w:noProof/>
        </w:rPr>
        <w:fldChar w:fldCharType="end"/>
      </w:r>
    </w:p>
    <w:p w:rsidR="00CF1A00" w:rsidRDefault="00CF1A00">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_Toc415482838 \h </w:instrText>
      </w:r>
      <w:r>
        <w:rPr>
          <w:noProof/>
        </w:rPr>
      </w:r>
      <w:r>
        <w:rPr>
          <w:noProof/>
        </w:rPr>
        <w:fldChar w:fldCharType="separate"/>
      </w:r>
      <w:r>
        <w:rPr>
          <w:noProof/>
        </w:rPr>
        <w:t>4</w:t>
      </w:r>
      <w:r>
        <w:rPr>
          <w:noProof/>
        </w:rPr>
        <w:fldChar w:fldCharType="end"/>
      </w:r>
    </w:p>
    <w:p w:rsidR="00CF1A00" w:rsidRDefault="00CF1A00">
      <w:pPr>
        <w:pStyle w:val="TOC2"/>
        <w:rPr>
          <w:rFonts w:asciiTheme="minorHAnsi" w:eastAsiaTheme="minorEastAsia" w:hAnsiTheme="minorHAnsi" w:cstheme="minorBidi"/>
          <w:noProof/>
          <w:color w:val="auto"/>
          <w:szCs w:val="22"/>
        </w:rPr>
      </w:pPr>
      <w:r>
        <w:rPr>
          <w:noProof/>
        </w:rPr>
        <w:t>Transaction Profile</w:t>
      </w:r>
      <w:r>
        <w:rPr>
          <w:noProof/>
        </w:rPr>
        <w:tab/>
      </w:r>
      <w:r>
        <w:rPr>
          <w:noProof/>
        </w:rPr>
        <w:fldChar w:fldCharType="begin"/>
      </w:r>
      <w:r>
        <w:rPr>
          <w:noProof/>
        </w:rPr>
        <w:instrText xml:space="preserve"> PAGEREF _Toc415482839 \h </w:instrText>
      </w:r>
      <w:r>
        <w:rPr>
          <w:noProof/>
        </w:rPr>
      </w:r>
      <w:r>
        <w:rPr>
          <w:noProof/>
        </w:rPr>
        <w:fldChar w:fldCharType="separate"/>
      </w:r>
      <w:r>
        <w:rPr>
          <w:noProof/>
        </w:rPr>
        <w:t>4</w:t>
      </w:r>
      <w:r>
        <w:rPr>
          <w:noProof/>
        </w:rPr>
        <w:fldChar w:fldCharType="end"/>
      </w:r>
    </w:p>
    <w:p w:rsidR="00CF1A00" w:rsidRDefault="00CF1A00">
      <w:pPr>
        <w:pStyle w:val="TOC2"/>
        <w:rPr>
          <w:rFonts w:asciiTheme="minorHAnsi" w:eastAsiaTheme="minorEastAsia" w:hAnsiTheme="minorHAnsi" w:cstheme="minorBidi"/>
          <w:noProof/>
          <w:color w:val="auto"/>
          <w:szCs w:val="22"/>
        </w:rPr>
      </w:pPr>
      <w:r>
        <w:rPr>
          <w:noProof/>
        </w:rPr>
        <w:t>Supported Action</w:t>
      </w:r>
      <w:r>
        <w:rPr>
          <w:noProof/>
        </w:rPr>
        <w:tab/>
      </w:r>
      <w:r>
        <w:rPr>
          <w:noProof/>
        </w:rPr>
        <w:fldChar w:fldCharType="begin"/>
      </w:r>
      <w:r>
        <w:rPr>
          <w:noProof/>
        </w:rPr>
        <w:instrText xml:space="preserve"> PAGEREF _Toc415482840 \h </w:instrText>
      </w:r>
      <w:r>
        <w:rPr>
          <w:noProof/>
        </w:rPr>
      </w:r>
      <w:r>
        <w:rPr>
          <w:noProof/>
        </w:rPr>
        <w:fldChar w:fldCharType="separate"/>
      </w:r>
      <w:r>
        <w:rPr>
          <w:noProof/>
        </w:rPr>
        <w:t>4</w:t>
      </w:r>
      <w:r>
        <w:rPr>
          <w:noProof/>
        </w:rPr>
        <w:fldChar w:fldCharType="end"/>
      </w:r>
    </w:p>
    <w:p w:rsidR="00CF1A00" w:rsidRDefault="00CF1A00">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_Toc415482841 \h </w:instrText>
      </w:r>
      <w:r>
        <w:rPr>
          <w:noProof/>
        </w:rPr>
      </w:r>
      <w:r>
        <w:rPr>
          <w:noProof/>
        </w:rPr>
        <w:fldChar w:fldCharType="separate"/>
      </w:r>
      <w:r>
        <w:rPr>
          <w:noProof/>
        </w:rPr>
        <w:t>5</w:t>
      </w:r>
      <w:r>
        <w:rPr>
          <w:noProof/>
        </w:rPr>
        <w:fldChar w:fldCharType="end"/>
      </w:r>
    </w:p>
    <w:p w:rsidR="00CF1A00" w:rsidRDefault="00CF1A00">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_Toc415482842 \h </w:instrText>
      </w:r>
      <w:r>
        <w:rPr>
          <w:noProof/>
        </w:rPr>
      </w:r>
      <w:r>
        <w:rPr>
          <w:noProof/>
        </w:rPr>
        <w:fldChar w:fldCharType="separate"/>
      </w:r>
      <w:r>
        <w:rPr>
          <w:noProof/>
        </w:rPr>
        <w:t>7</w:t>
      </w:r>
      <w:r>
        <w:rPr>
          <w:noProof/>
        </w:rPr>
        <w:fldChar w:fldCharType="end"/>
      </w:r>
    </w:p>
    <w:p w:rsidR="00CF1A00" w:rsidRDefault="00CF1A00">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_Toc415482843 \h </w:instrText>
      </w:r>
      <w:r>
        <w:rPr>
          <w:noProof/>
        </w:rPr>
      </w:r>
      <w:r>
        <w:rPr>
          <w:noProof/>
        </w:rPr>
        <w:fldChar w:fldCharType="separate"/>
      </w:r>
      <w:r>
        <w:rPr>
          <w:noProof/>
        </w:rPr>
        <w:t>8</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2836"/>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530"/>
        <w:gridCol w:w="1710"/>
        <w:gridCol w:w="4950"/>
      </w:tblGrid>
      <w:tr w:rsidR="00D93D20" w:rsidRPr="00684152" w:rsidTr="001B5799">
        <w:tc>
          <w:tcPr>
            <w:tcW w:w="1188" w:type="dxa"/>
          </w:tcPr>
          <w:p w:rsidR="00D93D20" w:rsidRPr="00684152" w:rsidRDefault="00D93D20" w:rsidP="001B5799">
            <w:pPr>
              <w:rPr>
                <w:b/>
                <w:bCs/>
              </w:rPr>
            </w:pPr>
            <w:bookmarkStart w:id="2" w:name="_TOC335"/>
            <w:bookmarkStart w:id="3" w:name="_Toc105748800"/>
            <w:bookmarkEnd w:id="2"/>
            <w:r w:rsidRPr="00684152">
              <w:rPr>
                <w:b/>
                <w:bCs/>
              </w:rPr>
              <w:t>Change</w:t>
            </w:r>
          </w:p>
        </w:tc>
        <w:tc>
          <w:tcPr>
            <w:tcW w:w="1530" w:type="dxa"/>
          </w:tcPr>
          <w:p w:rsidR="00D93D20" w:rsidRPr="00684152" w:rsidRDefault="00D93D20" w:rsidP="001B5799">
            <w:pPr>
              <w:rPr>
                <w:b/>
                <w:bCs/>
              </w:rPr>
            </w:pPr>
            <w:r w:rsidRPr="00684152">
              <w:rPr>
                <w:b/>
                <w:bCs/>
              </w:rPr>
              <w:t>Date</w:t>
            </w:r>
          </w:p>
        </w:tc>
        <w:tc>
          <w:tcPr>
            <w:tcW w:w="1710" w:type="dxa"/>
          </w:tcPr>
          <w:p w:rsidR="00D93D20" w:rsidRPr="00684152" w:rsidRDefault="00D93D20" w:rsidP="001B5799">
            <w:pPr>
              <w:rPr>
                <w:b/>
                <w:bCs/>
              </w:rPr>
            </w:pPr>
            <w:r w:rsidRPr="00684152">
              <w:rPr>
                <w:b/>
                <w:bCs/>
              </w:rPr>
              <w:t>Person</w:t>
            </w:r>
          </w:p>
        </w:tc>
        <w:tc>
          <w:tcPr>
            <w:tcW w:w="4950" w:type="dxa"/>
          </w:tcPr>
          <w:p w:rsidR="00D93D20" w:rsidRPr="00684152" w:rsidRDefault="00D93D20" w:rsidP="001B5799">
            <w:pPr>
              <w:rPr>
                <w:b/>
                <w:bCs/>
              </w:rPr>
            </w:pPr>
            <w:r w:rsidRPr="00684152">
              <w:rPr>
                <w:b/>
                <w:bCs/>
              </w:rPr>
              <w:t>Description</w:t>
            </w:r>
          </w:p>
        </w:tc>
      </w:tr>
      <w:tr w:rsidR="00D93D20" w:rsidRPr="00684152" w:rsidTr="001B5799">
        <w:tc>
          <w:tcPr>
            <w:tcW w:w="1188" w:type="dxa"/>
          </w:tcPr>
          <w:p w:rsidR="00D93D20" w:rsidRPr="00684152" w:rsidRDefault="00D93D20" w:rsidP="001B5799">
            <w:r w:rsidRPr="00684152">
              <w:t>V04</w:t>
            </w:r>
          </w:p>
        </w:tc>
        <w:tc>
          <w:tcPr>
            <w:tcW w:w="1530" w:type="dxa"/>
          </w:tcPr>
          <w:p w:rsidR="00D93D20" w:rsidRPr="00684152" w:rsidRDefault="00D93D20" w:rsidP="001B5799">
            <w:r w:rsidRPr="00684152">
              <w:t>04 June 2007</w:t>
            </w:r>
          </w:p>
        </w:tc>
        <w:tc>
          <w:tcPr>
            <w:tcW w:w="1710" w:type="dxa"/>
          </w:tcPr>
          <w:p w:rsidR="00D93D20" w:rsidRPr="00684152" w:rsidRDefault="00D93D20" w:rsidP="001B5799">
            <w:r w:rsidRPr="00684152">
              <w:t>Dennis Brandl</w:t>
            </w:r>
          </w:p>
        </w:tc>
        <w:tc>
          <w:tcPr>
            <w:tcW w:w="4950" w:type="dxa"/>
          </w:tcPr>
          <w:p w:rsidR="00D93D20" w:rsidRPr="00684152" w:rsidRDefault="00D93D20" w:rsidP="00D93D20">
            <w:pPr>
              <w:numPr>
                <w:ilvl w:val="0"/>
                <w:numId w:val="49"/>
              </w:numPr>
              <w:spacing w:before="0"/>
            </w:pPr>
            <w:r w:rsidRPr="00684152">
              <w:t>Initial version with transaction elements</w:t>
            </w:r>
          </w:p>
        </w:tc>
      </w:tr>
      <w:tr w:rsidR="00D93D20" w:rsidRPr="00684152" w:rsidTr="001B5799">
        <w:tc>
          <w:tcPr>
            <w:tcW w:w="1188" w:type="dxa"/>
          </w:tcPr>
          <w:p w:rsidR="00D93D20" w:rsidRPr="00684152" w:rsidRDefault="00D93D20" w:rsidP="001B5799">
            <w:r w:rsidRPr="00684152">
              <w:t>V0401</w:t>
            </w:r>
          </w:p>
        </w:tc>
        <w:tc>
          <w:tcPr>
            <w:tcW w:w="1530" w:type="dxa"/>
          </w:tcPr>
          <w:p w:rsidR="00D93D20" w:rsidRPr="00684152" w:rsidRDefault="00D93D20" w:rsidP="001B5799">
            <w:r>
              <w:t>Oct</w:t>
            </w:r>
            <w:r w:rsidRPr="00684152">
              <w:t xml:space="preserve"> 2008</w:t>
            </w:r>
          </w:p>
        </w:tc>
        <w:tc>
          <w:tcPr>
            <w:tcW w:w="1710" w:type="dxa"/>
          </w:tcPr>
          <w:p w:rsidR="00D93D20" w:rsidRPr="00684152" w:rsidRDefault="00D93D20" w:rsidP="001B5799">
            <w:r w:rsidRPr="00684152">
              <w:t>Dennis Brandl</w:t>
            </w:r>
          </w:p>
        </w:tc>
        <w:tc>
          <w:tcPr>
            <w:tcW w:w="4950" w:type="dxa"/>
          </w:tcPr>
          <w:p w:rsidR="00D93D20" w:rsidRPr="00684152" w:rsidRDefault="00D93D20" w:rsidP="00D93D20">
            <w:pPr>
              <w:numPr>
                <w:ilvl w:val="0"/>
                <w:numId w:val="49"/>
              </w:numPr>
              <w:spacing w:before="0"/>
            </w:pPr>
            <w:r w:rsidRPr="00684152">
              <w:t>Updated version number</w:t>
            </w:r>
          </w:p>
        </w:tc>
      </w:tr>
      <w:tr w:rsidR="00D93D20" w:rsidRPr="00684152" w:rsidTr="001B5799">
        <w:tc>
          <w:tcPr>
            <w:tcW w:w="1188" w:type="dxa"/>
          </w:tcPr>
          <w:p w:rsidR="00D93D20" w:rsidRPr="00684152" w:rsidRDefault="00D93D20" w:rsidP="001B5799">
            <w:r>
              <w:t>V0500</w:t>
            </w:r>
          </w:p>
        </w:tc>
        <w:tc>
          <w:tcPr>
            <w:tcW w:w="1530" w:type="dxa"/>
          </w:tcPr>
          <w:p w:rsidR="00D93D20" w:rsidRDefault="00D93D20" w:rsidP="001B5799">
            <w:r>
              <w:t>Mar 2011</w:t>
            </w:r>
          </w:p>
        </w:tc>
        <w:tc>
          <w:tcPr>
            <w:tcW w:w="1710" w:type="dxa"/>
          </w:tcPr>
          <w:p w:rsidR="00D93D20" w:rsidRPr="00684152" w:rsidRDefault="00D93D20" w:rsidP="001B5799">
            <w:r>
              <w:t>Dennis Brandl</w:t>
            </w:r>
          </w:p>
        </w:tc>
        <w:tc>
          <w:tcPr>
            <w:tcW w:w="4950" w:type="dxa"/>
          </w:tcPr>
          <w:p w:rsidR="00D93D20" w:rsidRPr="00684152" w:rsidRDefault="00D93D20" w:rsidP="001B5799">
            <w:r w:rsidRPr="00CD5C5C">
              <w:t>Updated version documentation and WBF name in copyright.</w:t>
            </w:r>
            <w:r>
              <w:t xml:space="preserve"> Updated list of objects types. </w:t>
            </w:r>
          </w:p>
        </w:tc>
      </w:tr>
      <w:tr w:rsidR="00D93D20" w:rsidRPr="00684152" w:rsidTr="001B5799">
        <w:tc>
          <w:tcPr>
            <w:tcW w:w="1188" w:type="dxa"/>
          </w:tcPr>
          <w:p w:rsidR="00D93D20" w:rsidRDefault="00D93D20" w:rsidP="001B5799">
            <w:r>
              <w:t>V0600</w:t>
            </w:r>
          </w:p>
        </w:tc>
        <w:tc>
          <w:tcPr>
            <w:tcW w:w="1530" w:type="dxa"/>
          </w:tcPr>
          <w:p w:rsidR="00D93D20" w:rsidRDefault="00D93D20" w:rsidP="001B5799">
            <w:r>
              <w:t>Aug 2012</w:t>
            </w:r>
          </w:p>
        </w:tc>
        <w:tc>
          <w:tcPr>
            <w:tcW w:w="1710" w:type="dxa"/>
          </w:tcPr>
          <w:p w:rsidR="00D93D20" w:rsidRDefault="00D93D20" w:rsidP="001B5799">
            <w:r>
              <w:t>Dennis Brandl</w:t>
            </w:r>
          </w:p>
        </w:tc>
        <w:tc>
          <w:tcPr>
            <w:tcW w:w="4950" w:type="dxa"/>
          </w:tcPr>
          <w:p w:rsidR="00D93D20" w:rsidRPr="00CD5C5C" w:rsidRDefault="00D93D20" w:rsidP="001B5799">
            <w:r>
              <w:t>Updated MESA Copyright and branding</w:t>
            </w:r>
          </w:p>
        </w:tc>
      </w:tr>
      <w:tr w:rsidR="00560B74" w:rsidRPr="00684152" w:rsidTr="001B5799">
        <w:tc>
          <w:tcPr>
            <w:tcW w:w="1188" w:type="dxa"/>
          </w:tcPr>
          <w:p w:rsidR="00560B74" w:rsidRDefault="00BF1C44" w:rsidP="001B5799">
            <w:r>
              <w:t>V0700</w:t>
            </w:r>
          </w:p>
        </w:tc>
        <w:tc>
          <w:tcPr>
            <w:tcW w:w="1530" w:type="dxa"/>
          </w:tcPr>
          <w:p w:rsidR="00560B74" w:rsidRDefault="00BF1C44" w:rsidP="001B5799">
            <w:r>
              <w:t>Aug 2016</w:t>
            </w:r>
          </w:p>
        </w:tc>
        <w:tc>
          <w:tcPr>
            <w:tcW w:w="1710" w:type="dxa"/>
          </w:tcPr>
          <w:p w:rsidR="00560B74" w:rsidRDefault="00560B74" w:rsidP="001B5799">
            <w:r>
              <w:t>D. Brandl</w:t>
            </w:r>
          </w:p>
        </w:tc>
        <w:tc>
          <w:tcPr>
            <w:tcW w:w="4950" w:type="dxa"/>
          </w:tcPr>
          <w:p w:rsidR="00560B74" w:rsidRDefault="00560B74" w:rsidP="001B5799">
            <w:r>
              <w:t>Updated version number only</w:t>
            </w:r>
          </w:p>
        </w:tc>
      </w:tr>
    </w:tbl>
    <w:p w:rsidR="00D93D20" w:rsidRPr="00684152" w:rsidRDefault="00D93D20" w:rsidP="00D93D20"/>
    <w:p w:rsidR="00D93D20" w:rsidRPr="00684152" w:rsidRDefault="00D93D20" w:rsidP="00D93D20">
      <w:pPr>
        <w:autoSpaceDE w:val="0"/>
        <w:autoSpaceDN w:val="0"/>
        <w:adjustRightInd w:val="0"/>
        <w:rPr>
          <w:rFonts w:cs="Arial"/>
          <w:sz w:val="18"/>
        </w:rPr>
      </w:pPr>
    </w:p>
    <w:p w:rsidR="00BF1C44" w:rsidRDefault="00BF1C44" w:rsidP="00D93D20">
      <w:pPr>
        <w:pStyle w:val="BoxedElement"/>
        <w:spacing w:before="0" w:after="0"/>
        <w:rPr>
          <w:rFonts w:cs="Arial"/>
        </w:rPr>
      </w:pPr>
    </w:p>
    <w:p w:rsidR="00BF1C44" w:rsidRPr="00BF1C44" w:rsidRDefault="00BF1C44" w:rsidP="00BF1C44"/>
    <w:p w:rsidR="00BF1C44" w:rsidRPr="00BF1C44" w:rsidRDefault="00BF1C44" w:rsidP="00BF1C44"/>
    <w:p w:rsidR="00BF1C44" w:rsidRPr="00BF1C44" w:rsidRDefault="00BF1C44" w:rsidP="00BF1C44"/>
    <w:p w:rsidR="00BF1C44" w:rsidRPr="00BF1C44" w:rsidRDefault="00BF1C44" w:rsidP="00BF1C44"/>
    <w:p w:rsidR="00BF1C44" w:rsidRPr="00BF1C44" w:rsidRDefault="00BF1C44" w:rsidP="00BF1C44"/>
    <w:p w:rsidR="00BF1C44" w:rsidRPr="00BF1C44" w:rsidRDefault="00BF1C44" w:rsidP="00BF1C44">
      <w:pPr>
        <w:tabs>
          <w:tab w:val="left" w:pos="2364"/>
        </w:tabs>
      </w:pPr>
      <w:r>
        <w:tab/>
      </w:r>
      <w:bookmarkStart w:id="4" w:name="_GoBack"/>
      <w:bookmarkEnd w:id="4"/>
    </w:p>
    <w:p w:rsidR="00D93D20" w:rsidRPr="00BF1C44" w:rsidRDefault="00BF1C44" w:rsidP="00BF1C44">
      <w:pPr>
        <w:tabs>
          <w:tab w:val="left" w:pos="2364"/>
        </w:tabs>
        <w:sectPr w:rsidR="00D93D20" w:rsidRPr="00BF1C44" w:rsidSect="00D93D20">
          <w:pgSz w:w="12240" w:h="15840"/>
          <w:pgMar w:top="1440" w:right="1440" w:bottom="1440" w:left="1440" w:header="288" w:footer="288" w:gutter="0"/>
          <w:cols w:space="720"/>
          <w:docGrid w:linePitch="299"/>
        </w:sectPr>
      </w:pPr>
      <w:r>
        <w:tab/>
      </w:r>
    </w:p>
    <w:p w:rsidR="00D93D20" w:rsidRPr="00684152" w:rsidRDefault="00D93D20" w:rsidP="00D93D20">
      <w:pPr>
        <w:pStyle w:val="Heading1"/>
        <w:tabs>
          <w:tab w:val="num" w:pos="432"/>
        </w:tabs>
        <w:spacing w:before="240" w:after="60" w:line="240" w:lineRule="auto"/>
        <w:ind w:left="432" w:hanging="432"/>
      </w:pPr>
      <w:bookmarkStart w:id="5" w:name="_Toc151497046"/>
      <w:bookmarkStart w:id="6" w:name="_Toc415482837"/>
      <w:r w:rsidRPr="00684152">
        <w:lastRenderedPageBreak/>
        <w:t>Schema Scope</w:t>
      </w:r>
      <w:bookmarkEnd w:id="5"/>
      <w:bookmarkEnd w:id="6"/>
    </w:p>
    <w:p w:rsidR="00D93D20" w:rsidRPr="00684152" w:rsidRDefault="00D93D20" w:rsidP="00D93D20">
      <w:r w:rsidRPr="00684152">
        <w:t>This document defines the information about transaction profile definitions that may be exchanged between business systems and manufacturing operations systems.  This information is based on the data models and attributes defined in the ANSI/ISA 95</w:t>
      </w:r>
      <w:r w:rsidR="00560B74">
        <w:t xml:space="preserve"> </w:t>
      </w:r>
      <w:r w:rsidRPr="00684152">
        <w:t xml:space="preserve">2 Enterprise/Control System Integration standard. Contact ISA (The Instrumentation, System, and Automation Society) for copies of the standard. Additional information on the standard is available at </w:t>
      </w:r>
      <w:hyperlink r:id="rId20" w:history="1">
        <w:r w:rsidRPr="00684152">
          <w:rPr>
            <w:rStyle w:val="Hyperlink"/>
            <w:rFonts w:eastAsia="ヒラギノ角ゴ Pro W3"/>
          </w:rPr>
          <w:t>www.isa.org</w:t>
        </w:r>
      </w:hyperlink>
      <w:r w:rsidRPr="00684152">
        <w:t xml:space="preserve">. </w:t>
      </w:r>
    </w:p>
    <w:p w:rsidR="00D93D20" w:rsidRPr="00684152" w:rsidRDefault="00D93D20" w:rsidP="00D93D20">
      <w:pPr>
        <w:pStyle w:val="Heading2"/>
        <w:numPr>
          <w:ilvl w:val="1"/>
          <w:numId w:val="0"/>
        </w:numPr>
        <w:tabs>
          <w:tab w:val="num" w:pos="576"/>
        </w:tabs>
        <w:spacing w:before="240" w:after="60" w:line="240" w:lineRule="auto"/>
        <w:ind w:left="576" w:hanging="576"/>
      </w:pPr>
      <w:bookmarkStart w:id="7" w:name="_Toc151497047"/>
      <w:bookmarkStart w:id="8" w:name="_Toc415482838"/>
      <w:r w:rsidRPr="00684152">
        <w:t>Key Information Assumptions</w:t>
      </w:r>
      <w:bookmarkEnd w:id="7"/>
      <w:bookmarkEnd w:id="8"/>
    </w:p>
    <w:p w:rsidR="00D93D20" w:rsidRPr="00684152" w:rsidRDefault="00D93D20" w:rsidP="00D93D20">
      <w:r w:rsidRPr="00684152">
        <w:t xml:space="preserve">The data represented in these schemas is derived from the UML model below.  This model is defined in the ANSI/ISA 95.00.05 standard.  The information model defines a transaction profile as a collection of supported action definitions. </w:t>
      </w:r>
    </w:p>
    <w:p w:rsidR="00D93D20" w:rsidRPr="00684152" w:rsidRDefault="00D93D20" w:rsidP="00D93D20"/>
    <w:p w:rsidR="00D93D20" w:rsidRPr="00684152" w:rsidRDefault="00D93D20" w:rsidP="00D93D20">
      <w:pPr>
        <w:jc w:val="center"/>
      </w:pPr>
      <w:r w:rsidRPr="00684152">
        <w:object w:dxaOrig="7166" w:dyaOrig="5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65pt;height:98.85pt" o:ole="">
            <v:imagedata r:id="rId21" o:title="" croptop="7523f" cropbottom="33929f" cropleft="25621f" cropright="23764f"/>
          </v:shape>
          <o:OLEObject Type="Embed" ProgID="PowerPoint.Slide.8" ShapeID="_x0000_i1025" DrawAspect="Content" ObjectID="_1531920560" r:id="rId22"/>
        </w:object>
      </w:r>
    </w:p>
    <w:p w:rsidR="00D93D20" w:rsidRPr="00684152" w:rsidRDefault="00D93D20" w:rsidP="00D93D20">
      <w:pPr>
        <w:jc w:val="center"/>
      </w:pPr>
      <w:r w:rsidRPr="00684152">
        <w:t>Model of Transaction Profile Information</w:t>
      </w:r>
    </w:p>
    <w:p w:rsidR="00D93D20" w:rsidRPr="00684152" w:rsidRDefault="00D93D20" w:rsidP="00D93D20"/>
    <w:p w:rsidR="00D93D20" w:rsidRPr="00684152" w:rsidRDefault="00D93D20" w:rsidP="00D93D20">
      <w:r w:rsidRPr="00684152">
        <w:t>This schema uses a common schema for definition of elements that are used in multiple schemas.  See the document defining the Common schema for definition of the common elements.</w:t>
      </w:r>
    </w:p>
    <w:p w:rsidR="00D93D20" w:rsidRPr="00684152" w:rsidRDefault="00D93D20" w:rsidP="00D93D20">
      <w:pPr>
        <w:pStyle w:val="Heading2"/>
        <w:numPr>
          <w:ilvl w:val="1"/>
          <w:numId w:val="0"/>
        </w:numPr>
        <w:tabs>
          <w:tab w:val="num" w:pos="576"/>
        </w:tabs>
        <w:spacing w:before="240" w:after="60" w:line="240" w:lineRule="auto"/>
        <w:ind w:left="576" w:hanging="576"/>
      </w:pPr>
      <w:bookmarkStart w:id="9" w:name="_Toc151497048"/>
      <w:bookmarkStart w:id="10" w:name="_Toc415482839"/>
      <w:r w:rsidRPr="00684152">
        <w:t>Transaction Profile</w:t>
      </w:r>
      <w:bookmarkEnd w:id="9"/>
      <w:bookmarkEnd w:id="10"/>
    </w:p>
    <w:p w:rsidR="00D93D20" w:rsidRPr="00684152" w:rsidRDefault="00D93D20" w:rsidP="00D93D20">
      <w:r w:rsidRPr="00684152">
        <w:t xml:space="preserve">A TransactionProfile contains a set of supported transaction actions.  There is only one transaction defined for a TransactionProfile, a GET transaction.  This allows an application to query another application to obtain what B2MML transaction services the server provides. </w:t>
      </w:r>
    </w:p>
    <w:p w:rsidR="00D93D20" w:rsidRPr="00684152" w:rsidRDefault="00D93D20" w:rsidP="00D93D20">
      <w:pPr>
        <w:pStyle w:val="Heading2"/>
        <w:numPr>
          <w:ilvl w:val="1"/>
          <w:numId w:val="0"/>
        </w:numPr>
        <w:tabs>
          <w:tab w:val="num" w:pos="576"/>
        </w:tabs>
        <w:spacing w:before="240" w:after="60" w:line="240" w:lineRule="auto"/>
        <w:ind w:left="576" w:hanging="576"/>
      </w:pPr>
      <w:bookmarkStart w:id="11" w:name="_Toc151497049"/>
      <w:bookmarkStart w:id="12" w:name="_Toc415482840"/>
      <w:r w:rsidRPr="00684152">
        <w:t>Supported Action</w:t>
      </w:r>
      <w:bookmarkEnd w:id="11"/>
      <w:bookmarkEnd w:id="12"/>
    </w:p>
    <w:p w:rsidR="00D93D20" w:rsidRPr="00684152" w:rsidRDefault="00D93D20" w:rsidP="00D93D20">
      <w:r w:rsidRPr="00684152">
        <w:t>A SupportedAction contains a definition of a single transaction that is supported by an application.  This includes the verb that is supported (GET, PROCESS, CHANGE, CANCEL, CONFIRM, SYNC ADD, SYNC CHANGE, and SYNC DELETE) and the noun (object type) that is supported.</w:t>
      </w:r>
    </w:p>
    <w:p w:rsidR="00D93D20" w:rsidRPr="00684152" w:rsidRDefault="00D93D20" w:rsidP="00D93D20"/>
    <w:p w:rsidR="00D93D20" w:rsidRPr="00684152" w:rsidRDefault="00D93D20" w:rsidP="00D93D20"/>
    <w:p w:rsidR="00D93D20" w:rsidRPr="00684152" w:rsidRDefault="00D93D20" w:rsidP="00D93D20">
      <w:pPr>
        <w:pStyle w:val="Heading1"/>
        <w:pageBreakBefore/>
        <w:tabs>
          <w:tab w:val="num" w:pos="432"/>
        </w:tabs>
        <w:spacing w:before="240" w:after="60" w:line="240" w:lineRule="auto"/>
        <w:ind w:left="432" w:hanging="432"/>
      </w:pPr>
      <w:bookmarkStart w:id="13" w:name="_Toc151497050"/>
      <w:bookmarkStart w:id="14" w:name="_Toc415482841"/>
      <w:r w:rsidRPr="00684152">
        <w:lastRenderedPageBreak/>
        <w:t>Element Definitions</w:t>
      </w:r>
      <w:bookmarkEnd w:id="13"/>
      <w:bookmarkEnd w:id="14"/>
    </w:p>
    <w:p w:rsidR="00D93D20" w:rsidRPr="00684152" w:rsidRDefault="00D93D20" w:rsidP="00D93D20"/>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5850"/>
      </w:tblGrid>
      <w:tr w:rsidR="00D93D20" w:rsidRPr="00684152" w:rsidTr="001B5799">
        <w:trPr>
          <w:cantSplit/>
          <w:tblHeader/>
        </w:trPr>
        <w:tc>
          <w:tcPr>
            <w:tcW w:w="3978" w:type="dxa"/>
            <w:shd w:val="clear" w:color="auto" w:fill="000000"/>
          </w:tcPr>
          <w:p w:rsidR="00D93D20" w:rsidRPr="00684152" w:rsidRDefault="00D93D20" w:rsidP="001B5799">
            <w:pPr>
              <w:pStyle w:val="BoxedElement"/>
              <w:rPr>
                <w:b/>
                <w:bCs/>
                <w:color w:val="FFFFFF"/>
              </w:rPr>
            </w:pPr>
            <w:r w:rsidRPr="00684152">
              <w:rPr>
                <w:b/>
                <w:bCs/>
                <w:color w:val="FFFFFF"/>
              </w:rPr>
              <w:t>Element/Type</w:t>
            </w:r>
          </w:p>
        </w:tc>
        <w:tc>
          <w:tcPr>
            <w:tcW w:w="5850" w:type="dxa"/>
            <w:shd w:val="clear" w:color="auto" w:fill="000000"/>
          </w:tcPr>
          <w:p w:rsidR="00D93D20" w:rsidRPr="00684152" w:rsidRDefault="00D93D20" w:rsidP="001B5799">
            <w:pPr>
              <w:pStyle w:val="BoxedElement"/>
              <w:rPr>
                <w:b/>
                <w:bCs/>
                <w:color w:val="FFFFFF"/>
              </w:rPr>
            </w:pPr>
            <w:r w:rsidRPr="00684152">
              <w:rPr>
                <w:b/>
                <w:bCs/>
                <w:color w:val="FFFFFF"/>
              </w:rPr>
              <w:t>Description</w:t>
            </w:r>
          </w:p>
        </w:tc>
      </w:tr>
      <w:tr w:rsidR="00D93D20" w:rsidRPr="00684152" w:rsidTr="001B5799">
        <w:trPr>
          <w:cantSplit/>
        </w:trPr>
        <w:tc>
          <w:tcPr>
            <w:tcW w:w="3978" w:type="dxa"/>
          </w:tcPr>
          <w:p w:rsidR="00D93D20" w:rsidRPr="00684152" w:rsidRDefault="00D93D20" w:rsidP="001B5799">
            <w:pPr>
              <w:pStyle w:val="BoxedElement"/>
              <w:rPr>
                <w:b/>
                <w:bCs/>
                <w:i/>
                <w:iCs/>
              </w:rPr>
            </w:pPr>
            <w:r w:rsidRPr="00684152">
              <w:rPr>
                <w:b/>
                <w:bCs/>
                <w:i/>
                <w:iCs/>
              </w:rPr>
              <w:t>TransactionProfile</w:t>
            </w:r>
          </w:p>
        </w:tc>
        <w:tc>
          <w:tcPr>
            <w:tcW w:w="5850" w:type="dxa"/>
          </w:tcPr>
          <w:p w:rsidR="00D93D20" w:rsidRPr="00684152" w:rsidRDefault="00D93D20" w:rsidP="001B5799">
            <w:pPr>
              <w:pStyle w:val="BoxedElement"/>
            </w:pPr>
            <w:r w:rsidRPr="00684152">
              <w:t xml:space="preserve">A complex type that includes an identification of the transaction profile, a location (scope) of the profile, the published date of the profile, and any supported actions. </w:t>
            </w:r>
          </w:p>
          <w:p w:rsidR="00D93D20" w:rsidRPr="00684152" w:rsidRDefault="00D93D20" w:rsidP="001B5799">
            <w:pPr>
              <w:pStyle w:val="BoxedElement"/>
              <w:jc w:val="center"/>
            </w:pPr>
            <w:r>
              <w:rPr>
                <w:rFonts w:cs="Arial"/>
                <w:noProof/>
                <w:sz w:val="24"/>
                <w:szCs w:val="24"/>
              </w:rPr>
              <w:drawing>
                <wp:inline distT="0" distB="0" distL="0" distR="0" wp14:anchorId="14671209" wp14:editId="512B93BF">
                  <wp:extent cx="36068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6800" cy="2857500"/>
                          </a:xfrm>
                          <a:prstGeom prst="rect">
                            <a:avLst/>
                          </a:prstGeom>
                          <a:noFill/>
                          <a:ln>
                            <a:noFill/>
                          </a:ln>
                        </pic:spPr>
                      </pic:pic>
                    </a:graphicData>
                  </a:graphic>
                </wp:inline>
              </w:drawing>
            </w:r>
          </w:p>
        </w:tc>
      </w:tr>
    </w:tbl>
    <w:p w:rsidR="00D93D20" w:rsidRPr="00684152" w:rsidRDefault="00D93D20" w:rsidP="00D93D20">
      <w:r w:rsidRPr="00684152">
        <w:br w:type="page"/>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5850"/>
      </w:tblGrid>
      <w:tr w:rsidR="00D93D20" w:rsidRPr="00684152" w:rsidTr="001B5799">
        <w:trPr>
          <w:cantSplit/>
        </w:trPr>
        <w:tc>
          <w:tcPr>
            <w:tcW w:w="3978" w:type="dxa"/>
          </w:tcPr>
          <w:p w:rsidR="00D93D20" w:rsidRPr="00684152" w:rsidRDefault="00D93D20" w:rsidP="001B5799">
            <w:pPr>
              <w:pStyle w:val="BoxedElement"/>
              <w:rPr>
                <w:b/>
                <w:bCs/>
                <w:i/>
                <w:iCs/>
              </w:rPr>
            </w:pPr>
            <w:r w:rsidRPr="00684152">
              <w:rPr>
                <w:b/>
                <w:bCs/>
                <w:i/>
                <w:iCs/>
              </w:rPr>
              <w:lastRenderedPageBreak/>
              <w:t>SupportedAction</w:t>
            </w:r>
          </w:p>
        </w:tc>
        <w:tc>
          <w:tcPr>
            <w:tcW w:w="5850" w:type="dxa"/>
          </w:tcPr>
          <w:p w:rsidR="00D93D20" w:rsidRPr="00684152" w:rsidRDefault="00D93D20" w:rsidP="001B5799">
            <w:pPr>
              <w:pStyle w:val="BoxedElement"/>
            </w:pPr>
            <w:r w:rsidRPr="00684152">
              <w:t>A complex type that contains:</w:t>
            </w:r>
          </w:p>
          <w:p w:rsidR="00D93D20" w:rsidRPr="00684152" w:rsidRDefault="00D93D20" w:rsidP="00D93D20">
            <w:pPr>
              <w:pStyle w:val="BoxedElement"/>
              <w:numPr>
                <w:ilvl w:val="0"/>
                <w:numId w:val="49"/>
              </w:numPr>
            </w:pPr>
            <w:r w:rsidRPr="00684152">
              <w:t>An identification of the supported action.</w:t>
            </w:r>
          </w:p>
          <w:p w:rsidR="00D93D20" w:rsidRPr="00684152" w:rsidRDefault="00D93D20" w:rsidP="00D93D20">
            <w:pPr>
              <w:pStyle w:val="BoxedElement"/>
              <w:numPr>
                <w:ilvl w:val="0"/>
                <w:numId w:val="49"/>
              </w:numPr>
            </w:pPr>
            <w:r w:rsidRPr="00684152">
              <w:t>An optional description of the supported action.</w:t>
            </w:r>
          </w:p>
          <w:p w:rsidR="00D93D20" w:rsidRPr="00684152" w:rsidRDefault="00D93D20" w:rsidP="00D93D20">
            <w:pPr>
              <w:pStyle w:val="BoxedElement"/>
              <w:numPr>
                <w:ilvl w:val="0"/>
                <w:numId w:val="49"/>
              </w:numPr>
            </w:pPr>
            <w:r w:rsidRPr="00684152">
              <w:t>The verb that is defined for the supported action.</w:t>
            </w:r>
          </w:p>
          <w:p w:rsidR="00D93D20" w:rsidRPr="00684152" w:rsidRDefault="00D93D20" w:rsidP="00D93D20">
            <w:pPr>
              <w:pStyle w:val="BoxedElement"/>
              <w:numPr>
                <w:ilvl w:val="0"/>
                <w:numId w:val="49"/>
              </w:numPr>
            </w:pPr>
            <w:r w:rsidRPr="00684152">
              <w:t>The noun that is defined for the supported action.</w:t>
            </w:r>
          </w:p>
          <w:p w:rsidR="00D93D20" w:rsidRPr="00684152" w:rsidRDefault="00D93D20" w:rsidP="00D93D20">
            <w:pPr>
              <w:pStyle w:val="BoxedElement"/>
              <w:numPr>
                <w:ilvl w:val="0"/>
                <w:numId w:val="49"/>
              </w:numPr>
            </w:pPr>
            <w:r w:rsidRPr="00684152">
              <w:t>An indication (True or False) that the responder can act as an information user.</w:t>
            </w:r>
          </w:p>
          <w:p w:rsidR="00D93D20" w:rsidRPr="00684152" w:rsidRDefault="00D93D20" w:rsidP="00D93D20">
            <w:pPr>
              <w:pStyle w:val="BoxedElement"/>
              <w:numPr>
                <w:ilvl w:val="0"/>
                <w:numId w:val="49"/>
              </w:numPr>
            </w:pPr>
            <w:r w:rsidRPr="00684152">
              <w:t>An indication (True or False) that the responder can act as an information provider.</w:t>
            </w:r>
          </w:p>
          <w:p w:rsidR="00D93D20" w:rsidRPr="00684152" w:rsidRDefault="00D93D20" w:rsidP="00D93D20">
            <w:pPr>
              <w:pStyle w:val="BoxedElement"/>
              <w:numPr>
                <w:ilvl w:val="0"/>
                <w:numId w:val="49"/>
              </w:numPr>
            </w:pPr>
            <w:r w:rsidRPr="00684152">
              <w:t>An indication (True or False) that the responder can act as an information Sender.</w:t>
            </w:r>
          </w:p>
          <w:p w:rsidR="00D93D20" w:rsidRPr="00684152" w:rsidRDefault="00D93D20" w:rsidP="00D93D20">
            <w:pPr>
              <w:pStyle w:val="BoxedElement"/>
              <w:numPr>
                <w:ilvl w:val="0"/>
                <w:numId w:val="49"/>
              </w:numPr>
            </w:pPr>
            <w:r w:rsidRPr="00684152">
              <w:t>An indication (True or False) that the responder can act as an information Receiver.</w:t>
            </w:r>
          </w:p>
          <w:p w:rsidR="00D93D20" w:rsidRPr="00684152" w:rsidRDefault="00D93D20" w:rsidP="00D93D20">
            <w:pPr>
              <w:pStyle w:val="BoxedElement"/>
              <w:numPr>
                <w:ilvl w:val="0"/>
                <w:numId w:val="49"/>
              </w:numPr>
            </w:pPr>
            <w:r w:rsidRPr="00684152">
              <w:t xml:space="preserve">An indication (True or False) that the responder supports wildcard specifications in object identifications. </w:t>
            </w:r>
          </w:p>
          <w:p w:rsidR="00D93D20" w:rsidRPr="00684152" w:rsidRDefault="00D93D20" w:rsidP="00D93D20">
            <w:pPr>
              <w:pStyle w:val="BoxedElement"/>
              <w:numPr>
                <w:ilvl w:val="0"/>
                <w:numId w:val="49"/>
              </w:numPr>
            </w:pPr>
            <w:r w:rsidRPr="00684152">
              <w:t>An indication (True or False) that the responder supports wildcard specifications in property identifications.</w:t>
            </w:r>
          </w:p>
          <w:p w:rsidR="00D93D20" w:rsidRPr="00684152" w:rsidRDefault="00D93D20" w:rsidP="001B5799">
            <w:pPr>
              <w:pStyle w:val="BoxedElement"/>
              <w:jc w:val="center"/>
            </w:pPr>
            <w:r>
              <w:rPr>
                <w:rFonts w:cs="Arial"/>
                <w:noProof/>
                <w:sz w:val="24"/>
                <w:szCs w:val="24"/>
              </w:rPr>
              <w:drawing>
                <wp:inline distT="0" distB="0" distL="0" distR="0" wp14:anchorId="0FCFF43C" wp14:editId="37D96037">
                  <wp:extent cx="3594100" cy="381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4100" cy="3810000"/>
                          </a:xfrm>
                          <a:prstGeom prst="rect">
                            <a:avLst/>
                          </a:prstGeom>
                          <a:noFill/>
                          <a:ln>
                            <a:noFill/>
                          </a:ln>
                        </pic:spPr>
                      </pic:pic>
                    </a:graphicData>
                  </a:graphic>
                </wp:inline>
              </w:drawing>
            </w:r>
          </w:p>
        </w:tc>
      </w:tr>
      <w:tr w:rsidR="00D93D20" w:rsidRPr="00684152" w:rsidTr="001B5799">
        <w:trPr>
          <w:cantSplit/>
        </w:trPr>
        <w:tc>
          <w:tcPr>
            <w:tcW w:w="3978" w:type="dxa"/>
          </w:tcPr>
          <w:p w:rsidR="00D93D20" w:rsidRPr="00BD33D9" w:rsidRDefault="00D93D20" w:rsidP="001B5799">
            <w:pPr>
              <w:pStyle w:val="BoxedElement"/>
              <w:rPr>
                <w:b/>
                <w:bCs/>
                <w:i/>
                <w:iCs/>
              </w:rPr>
            </w:pPr>
            <w:r w:rsidRPr="00BD33D9">
              <w:rPr>
                <w:b/>
                <w:bCs/>
                <w:i/>
                <w:iCs/>
              </w:rPr>
              <w:lastRenderedPageBreak/>
              <w:t>TransactionNounType</w:t>
            </w:r>
          </w:p>
        </w:tc>
        <w:tc>
          <w:tcPr>
            <w:tcW w:w="5850" w:type="dxa"/>
          </w:tcPr>
          <w:p w:rsidR="00D93D20" w:rsidRPr="00BD33D9" w:rsidRDefault="00D93D20" w:rsidP="001B5799">
            <w:pPr>
              <w:pStyle w:val="BoxedElement"/>
            </w:pPr>
            <w:r w:rsidRPr="00BD33D9">
              <w:t xml:space="preserve">A string used to indicate the noun supported by a transaction that is defined in a TransactionProfile. The value must be one of the following standard enumerations: </w:t>
            </w:r>
          </w:p>
          <w:p w:rsidR="00D93D20" w:rsidRPr="00BD33D9" w:rsidRDefault="00D93D20" w:rsidP="001B5799">
            <w:pPr>
              <w:pStyle w:val="BoxedElement"/>
            </w:pPr>
            <w:r w:rsidRPr="00BD33D9">
              <w:t>“</w:t>
            </w:r>
            <w:r w:rsidRPr="00BD33D9">
              <w:rPr>
                <w:b/>
              </w:rPr>
              <w:t>PERSONNEL CLASS</w:t>
            </w:r>
            <w:r w:rsidRPr="00BD33D9">
              <w:t>", “</w:t>
            </w:r>
            <w:r w:rsidRPr="00BD33D9">
              <w:rPr>
                <w:b/>
              </w:rPr>
              <w:t>PERSON</w:t>
            </w:r>
            <w:r w:rsidRPr="00BD33D9">
              <w:t>", “</w:t>
            </w:r>
            <w:r w:rsidRPr="00BD33D9">
              <w:rPr>
                <w:b/>
              </w:rPr>
              <w:t>QUALIFICATION TEST</w:t>
            </w:r>
            <w:r w:rsidRPr="00BD33D9">
              <w:t>", “</w:t>
            </w:r>
            <w:r w:rsidRPr="00BD33D9">
              <w:rPr>
                <w:b/>
              </w:rPr>
              <w:t>EQUIPMENT CLASS</w:t>
            </w:r>
            <w:r w:rsidRPr="00BD33D9">
              <w:t>", “</w:t>
            </w:r>
            <w:r w:rsidRPr="00BD33D9">
              <w:rPr>
                <w:b/>
              </w:rPr>
              <w:t>EQUIPMENT</w:t>
            </w:r>
            <w:r w:rsidRPr="00BD33D9">
              <w:t>", “</w:t>
            </w:r>
            <w:r w:rsidRPr="00BD33D9">
              <w:rPr>
                <w:b/>
              </w:rPr>
              <w:t>CAPABILITY TEST</w:t>
            </w:r>
            <w:r w:rsidRPr="00BD33D9">
              <w:t>", “</w:t>
            </w:r>
            <w:r w:rsidRPr="00BD33D9">
              <w:rPr>
                <w:b/>
              </w:rPr>
              <w:t>MAINTENANCE REQUEST</w:t>
            </w:r>
            <w:r w:rsidRPr="00BD33D9">
              <w:t>", “</w:t>
            </w:r>
            <w:r w:rsidRPr="00BD33D9">
              <w:rPr>
                <w:b/>
              </w:rPr>
              <w:t>MAINTENANCE WORK ORDER</w:t>
            </w:r>
            <w:r w:rsidRPr="00BD33D9">
              <w:t>", “</w:t>
            </w:r>
            <w:r w:rsidRPr="00BD33D9">
              <w:rPr>
                <w:b/>
              </w:rPr>
              <w:t>MAINTENANCE RESPONSE</w:t>
            </w:r>
            <w:r w:rsidRPr="00BD33D9">
              <w:t>", “</w:t>
            </w:r>
            <w:r w:rsidRPr="00BD33D9">
              <w:rPr>
                <w:b/>
              </w:rPr>
              <w:t>MATERIAL CLAS</w:t>
            </w:r>
            <w:r w:rsidRPr="00BD33D9">
              <w:t>S", "</w:t>
            </w:r>
            <w:r w:rsidRPr="00BD33D9">
              <w:rPr>
                <w:b/>
              </w:rPr>
              <w:t>MATERIAL DEFINITION</w:t>
            </w:r>
            <w:r w:rsidRPr="00BD33D9">
              <w:t>", “</w:t>
            </w:r>
            <w:r w:rsidRPr="00BD33D9">
              <w:rPr>
                <w:b/>
              </w:rPr>
              <w:t>MATERIAL LOT</w:t>
            </w:r>
            <w:r w:rsidRPr="00BD33D9">
              <w:t>", “</w:t>
            </w:r>
            <w:r w:rsidRPr="00BD33D9">
              <w:rPr>
                <w:b/>
              </w:rPr>
              <w:t>MATERIAL SUBLOT</w:t>
            </w:r>
            <w:r w:rsidRPr="00BD33D9">
              <w:t>", "</w:t>
            </w:r>
            <w:r w:rsidRPr="00BD33D9">
              <w:rPr>
                <w:b/>
              </w:rPr>
              <w:t>MATERIAL TEST</w:t>
            </w:r>
            <w:r w:rsidRPr="00BD33D9">
              <w:t>", "</w:t>
            </w:r>
            <w:r w:rsidRPr="00BD33D9">
              <w:rPr>
                <w:b/>
              </w:rPr>
              <w:t>PROCESS SEGMENT</w:t>
            </w:r>
            <w:r w:rsidRPr="00BD33D9">
              <w:t>", "</w:t>
            </w:r>
            <w:r w:rsidRPr="00BD33D9">
              <w:rPr>
                <w:b/>
              </w:rPr>
              <w:t>OPERATIONS CAPABILITY</w:t>
            </w:r>
            <w:r w:rsidRPr="00BD33D9">
              <w:t>", “</w:t>
            </w:r>
            <w:r w:rsidRPr="00BD33D9">
              <w:rPr>
                <w:b/>
              </w:rPr>
              <w:t>OPERATIONS DEFINITION</w:t>
            </w:r>
            <w:r w:rsidRPr="00BD33D9">
              <w:t>", “</w:t>
            </w:r>
            <w:r w:rsidRPr="00BD33D9">
              <w:rPr>
                <w:b/>
              </w:rPr>
              <w:t>OPERATIONS SCHEDULE</w:t>
            </w:r>
            <w:r w:rsidRPr="00BD33D9">
              <w:t>", “</w:t>
            </w:r>
            <w:r w:rsidRPr="00BD33D9">
              <w:rPr>
                <w:b/>
              </w:rPr>
              <w:t>OPERATIONS PERFORMANCE</w:t>
            </w:r>
            <w:r w:rsidRPr="00BD33D9">
              <w:t>", "</w:t>
            </w:r>
            <w:r w:rsidRPr="00BD33D9">
              <w:rPr>
                <w:b/>
              </w:rPr>
              <w:t>PRODUCTION CAPABILITY</w:t>
            </w:r>
            <w:r w:rsidRPr="00BD33D9">
              <w:t>", “</w:t>
            </w:r>
            <w:r w:rsidRPr="00BD33D9">
              <w:rPr>
                <w:b/>
              </w:rPr>
              <w:t>PRODUCT DEFINITION</w:t>
            </w:r>
            <w:r w:rsidRPr="00BD33D9">
              <w:t>", “</w:t>
            </w:r>
            <w:r w:rsidRPr="00BD33D9">
              <w:rPr>
                <w:b/>
              </w:rPr>
              <w:t>PRODUCTION SCHEDULE</w:t>
            </w:r>
            <w:r w:rsidRPr="00BD33D9">
              <w:t>", “</w:t>
            </w:r>
            <w:r w:rsidRPr="00BD33D9">
              <w:rPr>
                <w:b/>
              </w:rPr>
              <w:t>PRODUCTION PERFORMANCE</w:t>
            </w:r>
            <w:r w:rsidRPr="00BD33D9">
              <w:t>", “</w:t>
            </w:r>
            <w:r w:rsidRPr="00BD33D9">
              <w:rPr>
                <w:b/>
              </w:rPr>
              <w:t>TRANSACTION PROFILE</w:t>
            </w:r>
            <w:r w:rsidRPr="00BD33D9">
              <w:t>",</w:t>
            </w:r>
            <w:r>
              <w:t xml:space="preserve"> </w:t>
            </w:r>
            <w:r w:rsidRPr="00AD1993">
              <w:rPr>
                <w:b/>
              </w:rPr>
              <w:t xml:space="preserve">“RESOURCE RELATIONSHIP NETWORK", “RESOURCE NETWORK </w:t>
            </w:r>
            <w:r>
              <w:rPr>
                <w:b/>
              </w:rPr>
              <w:t>CONNECTION INFORMATION</w:t>
            </w:r>
            <w:r w:rsidRPr="00AD1993">
              <w:rPr>
                <w:b/>
              </w:rPr>
              <w:t xml:space="preserve">", “WORK ALERT", “WORK ALERT DEFINITION", "WORK ALERT INFORMATION", "WORK DEFINITION INFORMATION", “WORK DIRECTIVE", "WORK MASTER", "WORK FLOW INFORMATION", "WORK FLOW SPECIFICATION", "WORK FLOW SPECIFICATION TYPE", "WORK SCHEDULE", “JOB LIST", “WORK PERFORMANCE", </w:t>
            </w:r>
            <w:r>
              <w:rPr>
                <w:b/>
              </w:rPr>
              <w:t xml:space="preserve">“JOB RESPONSE”, </w:t>
            </w:r>
            <w:r w:rsidRPr="00AD1993">
              <w:rPr>
                <w:b/>
              </w:rPr>
              <w:t xml:space="preserve">"WORK CAPABILITY", "WORK CAPABILITY INFORMATION", </w:t>
            </w:r>
            <w:r w:rsidRPr="00AD1993">
              <w:t>“</w:t>
            </w:r>
            <w:r w:rsidRPr="00AD1993">
              <w:rPr>
                <w:b/>
              </w:rPr>
              <w:t>CONFIRM BOD</w:t>
            </w:r>
            <w:r w:rsidRPr="00AD1993">
              <w:t>”, or “</w:t>
            </w:r>
            <w:r w:rsidRPr="00AD1993">
              <w:rPr>
                <w:b/>
              </w:rPr>
              <w:t>Other</w:t>
            </w:r>
            <w:r w:rsidRPr="00AD1993">
              <w:t>”</w:t>
            </w:r>
          </w:p>
          <w:p w:rsidR="00D93D20" w:rsidRPr="00BD33D9" w:rsidRDefault="00D93D20" w:rsidP="001B5799">
            <w:pPr>
              <w:pStyle w:val="BoxedElement"/>
            </w:pPr>
            <w:r w:rsidRPr="00BD33D9">
              <w:t>If “Other” then the type is an application specific extension and the value is defined in the attribute “OtherValue”.</w:t>
            </w:r>
          </w:p>
        </w:tc>
      </w:tr>
      <w:tr w:rsidR="00D93D20" w:rsidRPr="00684152" w:rsidTr="001B5799">
        <w:trPr>
          <w:cantSplit/>
        </w:trPr>
        <w:tc>
          <w:tcPr>
            <w:tcW w:w="3978" w:type="dxa"/>
          </w:tcPr>
          <w:p w:rsidR="00D93D20" w:rsidRPr="00684152" w:rsidRDefault="00D93D20" w:rsidP="001B5799">
            <w:pPr>
              <w:pStyle w:val="BoxedElement"/>
              <w:rPr>
                <w:b/>
                <w:bCs/>
                <w:i/>
                <w:iCs/>
              </w:rPr>
            </w:pPr>
            <w:r w:rsidRPr="00684152">
              <w:rPr>
                <w:b/>
                <w:bCs/>
                <w:i/>
                <w:iCs/>
              </w:rPr>
              <w:t>TransactionVerbType</w:t>
            </w:r>
          </w:p>
        </w:tc>
        <w:tc>
          <w:tcPr>
            <w:tcW w:w="5850" w:type="dxa"/>
          </w:tcPr>
          <w:p w:rsidR="00D93D20" w:rsidRPr="00684152" w:rsidRDefault="00D93D20" w:rsidP="001B5799">
            <w:pPr>
              <w:pStyle w:val="BoxedElement"/>
            </w:pPr>
            <w:r w:rsidRPr="00684152">
              <w:t xml:space="preserve">A string used to indicate a verb transaction set that is defined in a TransactionProfile. The value must be one of the following standard enumerations: </w:t>
            </w:r>
          </w:p>
          <w:p w:rsidR="00D93D20" w:rsidRPr="00684152" w:rsidRDefault="00D93D20" w:rsidP="001B5799">
            <w:pPr>
              <w:pStyle w:val="BoxedElement"/>
            </w:pPr>
            <w:r w:rsidRPr="00684152">
              <w:t>“</w:t>
            </w:r>
            <w:r w:rsidRPr="00684152">
              <w:rPr>
                <w:b/>
              </w:rPr>
              <w:t>GET</w:t>
            </w:r>
            <w:r w:rsidRPr="00684152">
              <w:t>”, “</w:t>
            </w:r>
            <w:r w:rsidRPr="00684152">
              <w:rPr>
                <w:b/>
              </w:rPr>
              <w:t>PROCESS</w:t>
            </w:r>
            <w:r w:rsidRPr="00684152">
              <w:t>”, “</w:t>
            </w:r>
            <w:r w:rsidRPr="00684152">
              <w:rPr>
                <w:b/>
              </w:rPr>
              <w:t>CHANGE</w:t>
            </w:r>
            <w:r w:rsidRPr="00684152">
              <w:t>”, “</w:t>
            </w:r>
            <w:r w:rsidRPr="00684152">
              <w:rPr>
                <w:b/>
              </w:rPr>
              <w:t>CANCEL</w:t>
            </w:r>
            <w:r w:rsidRPr="00684152">
              <w:t>”, “</w:t>
            </w:r>
            <w:r w:rsidRPr="00684152">
              <w:rPr>
                <w:b/>
              </w:rPr>
              <w:t>CONFIRM</w:t>
            </w:r>
            <w:r w:rsidRPr="00684152">
              <w:t>”, “</w:t>
            </w:r>
            <w:r w:rsidRPr="00684152">
              <w:rPr>
                <w:b/>
              </w:rPr>
              <w:t>SYNC ADD</w:t>
            </w:r>
            <w:r w:rsidRPr="00684152">
              <w:t>”, “</w:t>
            </w:r>
            <w:r w:rsidRPr="00684152">
              <w:rPr>
                <w:b/>
              </w:rPr>
              <w:t>SYNC CHANGE</w:t>
            </w:r>
            <w:r w:rsidRPr="00684152">
              <w:t>”, “</w:t>
            </w:r>
            <w:r w:rsidRPr="00684152">
              <w:rPr>
                <w:b/>
              </w:rPr>
              <w:t>SYNC DELETE</w:t>
            </w:r>
            <w:r w:rsidRPr="00684152">
              <w:t>”, or “</w:t>
            </w:r>
            <w:r w:rsidRPr="00684152">
              <w:rPr>
                <w:b/>
              </w:rPr>
              <w:t>Other</w:t>
            </w:r>
            <w:r w:rsidRPr="00684152">
              <w:t xml:space="preserve">”. </w:t>
            </w:r>
          </w:p>
          <w:p w:rsidR="00D93D20" w:rsidRPr="00684152" w:rsidRDefault="00D93D20" w:rsidP="00D93D20">
            <w:pPr>
              <w:pStyle w:val="BoxedElement"/>
              <w:numPr>
                <w:ilvl w:val="0"/>
                <w:numId w:val="50"/>
              </w:numPr>
              <w:spacing w:before="0"/>
            </w:pPr>
            <w:r w:rsidRPr="00684152">
              <w:t xml:space="preserve">GET </w:t>
            </w:r>
            <w:r w:rsidRPr="00684152">
              <w:sym w:font="Wingdings" w:char="F0E0"/>
            </w:r>
            <w:r w:rsidRPr="00684152">
              <w:t xml:space="preserve"> Supports the GET/SHOW transaction</w:t>
            </w:r>
          </w:p>
          <w:p w:rsidR="00D93D20" w:rsidRPr="00684152" w:rsidRDefault="00D93D20" w:rsidP="00D93D20">
            <w:pPr>
              <w:pStyle w:val="BoxedElement"/>
              <w:numPr>
                <w:ilvl w:val="0"/>
                <w:numId w:val="50"/>
              </w:numPr>
              <w:spacing w:before="0"/>
            </w:pPr>
            <w:r w:rsidRPr="00684152">
              <w:t xml:space="preserve">PROCESS </w:t>
            </w:r>
            <w:r w:rsidRPr="00684152">
              <w:sym w:font="Wingdings" w:char="F0E0"/>
            </w:r>
            <w:r w:rsidRPr="00684152">
              <w:t xml:space="preserve"> Supports the PROCESS/ACKNOWLEDGE transaction</w:t>
            </w:r>
          </w:p>
          <w:p w:rsidR="00D93D20" w:rsidRPr="00684152" w:rsidRDefault="00D93D20" w:rsidP="00D93D20">
            <w:pPr>
              <w:pStyle w:val="BoxedElement"/>
              <w:numPr>
                <w:ilvl w:val="0"/>
                <w:numId w:val="50"/>
              </w:numPr>
              <w:spacing w:before="0"/>
            </w:pPr>
            <w:r w:rsidRPr="00684152">
              <w:t xml:space="preserve">CHANGE </w:t>
            </w:r>
            <w:r w:rsidRPr="00684152">
              <w:sym w:font="Wingdings" w:char="F0E0"/>
            </w:r>
            <w:r w:rsidRPr="00684152">
              <w:t xml:space="preserve"> Supports the CHANGE/RESPOND transaction</w:t>
            </w:r>
          </w:p>
          <w:p w:rsidR="00D93D20" w:rsidRPr="00684152" w:rsidRDefault="00D93D20" w:rsidP="00D93D20">
            <w:pPr>
              <w:pStyle w:val="BoxedElement"/>
              <w:numPr>
                <w:ilvl w:val="0"/>
                <w:numId w:val="50"/>
              </w:numPr>
              <w:spacing w:before="0"/>
            </w:pPr>
            <w:r w:rsidRPr="00684152">
              <w:t xml:space="preserve">CANCEL </w:t>
            </w:r>
            <w:r w:rsidRPr="00684152">
              <w:sym w:font="Wingdings" w:char="F0E0"/>
            </w:r>
            <w:r w:rsidRPr="00684152">
              <w:t xml:space="preserve"> Supports the CANCEL transaction</w:t>
            </w:r>
          </w:p>
          <w:p w:rsidR="00D93D20" w:rsidRPr="00684152" w:rsidRDefault="00D93D20" w:rsidP="00D93D20">
            <w:pPr>
              <w:pStyle w:val="BoxedElement"/>
              <w:numPr>
                <w:ilvl w:val="0"/>
                <w:numId w:val="50"/>
              </w:numPr>
              <w:spacing w:before="0"/>
            </w:pPr>
            <w:r w:rsidRPr="00684152">
              <w:t xml:space="preserve">CONFIRM </w:t>
            </w:r>
            <w:r w:rsidRPr="00684152">
              <w:sym w:font="Wingdings" w:char="F0E0"/>
            </w:r>
            <w:r w:rsidRPr="00684152">
              <w:t xml:space="preserve"> Supports a CONFIRM response</w:t>
            </w:r>
          </w:p>
          <w:p w:rsidR="00D93D20" w:rsidRPr="00684152" w:rsidRDefault="00D93D20" w:rsidP="00D93D20">
            <w:pPr>
              <w:pStyle w:val="BoxedElement"/>
              <w:numPr>
                <w:ilvl w:val="0"/>
                <w:numId w:val="50"/>
              </w:numPr>
              <w:spacing w:before="0"/>
            </w:pPr>
            <w:r w:rsidRPr="00684152">
              <w:t xml:space="preserve">SYNC ADD </w:t>
            </w:r>
            <w:r w:rsidRPr="00684152">
              <w:sym w:font="Wingdings" w:char="F0E0"/>
            </w:r>
            <w:r w:rsidRPr="00684152">
              <w:t xml:space="preserve"> Supports the SYNC ADD transaction</w:t>
            </w:r>
          </w:p>
          <w:p w:rsidR="00D93D20" w:rsidRPr="00684152" w:rsidRDefault="00D93D20" w:rsidP="00D93D20">
            <w:pPr>
              <w:pStyle w:val="BoxedElement"/>
              <w:numPr>
                <w:ilvl w:val="0"/>
                <w:numId w:val="50"/>
              </w:numPr>
              <w:spacing w:before="0"/>
            </w:pPr>
            <w:r w:rsidRPr="00684152">
              <w:t xml:space="preserve">SYNC CHANGE </w:t>
            </w:r>
            <w:r w:rsidRPr="00684152">
              <w:sym w:font="Wingdings" w:char="F0E0"/>
            </w:r>
            <w:r w:rsidRPr="00684152">
              <w:t xml:space="preserve"> Supports the SYNC CHANGE transaction</w:t>
            </w:r>
          </w:p>
          <w:p w:rsidR="00D93D20" w:rsidRPr="00684152" w:rsidRDefault="00D93D20" w:rsidP="00D93D20">
            <w:pPr>
              <w:pStyle w:val="BoxedElement"/>
              <w:numPr>
                <w:ilvl w:val="0"/>
                <w:numId w:val="50"/>
              </w:numPr>
              <w:spacing w:before="0"/>
            </w:pPr>
            <w:r w:rsidRPr="00684152">
              <w:t xml:space="preserve">SYNC DELETE </w:t>
            </w:r>
            <w:r w:rsidRPr="00684152">
              <w:sym w:font="Wingdings" w:char="F0E0"/>
            </w:r>
            <w:r w:rsidRPr="00684152">
              <w:t xml:space="preserve"> Supports the SYNC DELETE transaction</w:t>
            </w:r>
          </w:p>
          <w:p w:rsidR="00D93D20" w:rsidRPr="00684152" w:rsidRDefault="00D93D20" w:rsidP="001B5799">
            <w:pPr>
              <w:pStyle w:val="BoxedElement"/>
            </w:pPr>
            <w:r w:rsidRPr="00684152">
              <w:t>If “Other” then the type is an application specific extension and the value is defined in the attribute “OtherValue”.</w:t>
            </w:r>
          </w:p>
        </w:tc>
      </w:tr>
    </w:tbl>
    <w:p w:rsidR="00D93D20" w:rsidRPr="00684152" w:rsidRDefault="00D93D20" w:rsidP="00D93D20"/>
    <w:p w:rsidR="00D93D20" w:rsidRPr="00684152" w:rsidRDefault="00D93D20" w:rsidP="00D93D20">
      <w:pPr>
        <w:pStyle w:val="Heading1"/>
        <w:tabs>
          <w:tab w:val="num" w:pos="432"/>
        </w:tabs>
        <w:spacing w:before="240" w:after="60" w:line="240" w:lineRule="auto"/>
        <w:ind w:left="432" w:hanging="432"/>
      </w:pPr>
      <w:bookmarkStart w:id="15" w:name="_Toc151188372"/>
      <w:bookmarkStart w:id="16" w:name="_Toc151497051"/>
      <w:bookmarkStart w:id="17" w:name="_Toc415482842"/>
      <w:r w:rsidRPr="00684152">
        <w:t>Transaction Elements</w:t>
      </w:r>
      <w:bookmarkEnd w:id="15"/>
      <w:bookmarkEnd w:id="16"/>
      <w:bookmarkEnd w:id="17"/>
    </w:p>
    <w:p w:rsidR="00D93D20" w:rsidRPr="00684152" w:rsidRDefault="00D93D20" w:rsidP="00D93D20">
      <w:r w:rsidRPr="00684152">
        <w:t xml:space="preserve">The following elements are defined to support the ISA 95 Part 5 transactions, using the transaction data types defined in the B2MML-Common.xsd schema. </w:t>
      </w:r>
    </w:p>
    <w:p w:rsidR="00D93D20" w:rsidRPr="00684152" w:rsidRDefault="00D93D20" w:rsidP="00D93D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8"/>
        <w:gridCol w:w="6696"/>
      </w:tblGrid>
      <w:tr w:rsidR="00D93D20" w:rsidRPr="00684152" w:rsidTr="001B5799">
        <w:trPr>
          <w:cantSplit/>
          <w:tblHeader/>
        </w:trPr>
        <w:tc>
          <w:tcPr>
            <w:tcW w:w="3168" w:type="dxa"/>
            <w:shd w:val="clear" w:color="auto" w:fill="000000"/>
          </w:tcPr>
          <w:p w:rsidR="00D93D20" w:rsidRPr="004D4604" w:rsidRDefault="00D93D20" w:rsidP="001B5799">
            <w:pPr>
              <w:rPr>
                <w:b/>
                <w:color w:val="FFFFFF"/>
              </w:rPr>
            </w:pPr>
            <w:r w:rsidRPr="004D4604">
              <w:rPr>
                <w:b/>
                <w:color w:val="FFFFFF"/>
              </w:rPr>
              <w:t>Transaction Profile Information Elements</w:t>
            </w:r>
          </w:p>
        </w:tc>
        <w:tc>
          <w:tcPr>
            <w:tcW w:w="6696" w:type="dxa"/>
            <w:shd w:val="clear" w:color="auto" w:fill="000000"/>
          </w:tcPr>
          <w:p w:rsidR="00D93D20" w:rsidRPr="004D4604" w:rsidRDefault="00D93D20" w:rsidP="001B5799">
            <w:pPr>
              <w:rPr>
                <w:b/>
                <w:color w:val="FFFFFF"/>
              </w:rPr>
            </w:pPr>
            <w:r w:rsidRPr="004D4604">
              <w:rPr>
                <w:b/>
                <w:color w:val="FFFFFF"/>
              </w:rPr>
              <w:t>Description</w:t>
            </w:r>
          </w:p>
        </w:tc>
      </w:tr>
      <w:tr w:rsidR="00D93D20" w:rsidRPr="00684152" w:rsidTr="001B5799">
        <w:tc>
          <w:tcPr>
            <w:tcW w:w="3168" w:type="dxa"/>
          </w:tcPr>
          <w:p w:rsidR="00D93D20" w:rsidRPr="00684152" w:rsidRDefault="00D93D20" w:rsidP="001B5799">
            <w:r w:rsidRPr="00684152">
              <w:t>GetTransactionProfile</w:t>
            </w:r>
          </w:p>
        </w:tc>
        <w:tc>
          <w:tcPr>
            <w:tcW w:w="6696" w:type="dxa"/>
          </w:tcPr>
          <w:p w:rsidR="00D93D20" w:rsidRPr="00684152" w:rsidRDefault="00D93D20" w:rsidP="001B5799">
            <w:r w:rsidRPr="00684152">
              <w:t xml:space="preserve">Get </w:t>
            </w:r>
            <w:r w:rsidRPr="004D4604">
              <w:rPr>
                <w:i/>
              </w:rPr>
              <w:t>TransactionProfile</w:t>
            </w:r>
            <w:r w:rsidRPr="00684152">
              <w:t xml:space="preserve"> definitions. </w:t>
            </w:r>
          </w:p>
        </w:tc>
      </w:tr>
      <w:tr w:rsidR="00D93D20" w:rsidRPr="00684152" w:rsidTr="001B5799">
        <w:tc>
          <w:tcPr>
            <w:tcW w:w="3168" w:type="dxa"/>
          </w:tcPr>
          <w:p w:rsidR="00D93D20" w:rsidRPr="00684152" w:rsidRDefault="00D93D20" w:rsidP="001B5799">
            <w:r w:rsidRPr="00684152">
              <w:t>ShowTransactionProfile</w:t>
            </w:r>
          </w:p>
        </w:tc>
        <w:tc>
          <w:tcPr>
            <w:tcW w:w="6696" w:type="dxa"/>
          </w:tcPr>
          <w:p w:rsidR="00D93D20" w:rsidRPr="00684152" w:rsidRDefault="00D93D20" w:rsidP="001B5799">
            <w:r w:rsidRPr="00684152">
              <w:t xml:space="preserve">Response from a </w:t>
            </w:r>
            <w:r w:rsidRPr="004D4604">
              <w:rPr>
                <w:i/>
              </w:rPr>
              <w:t>GetTransactionProfile</w:t>
            </w:r>
            <w:r w:rsidRPr="00684152">
              <w:t xml:space="preserve"> message.</w:t>
            </w:r>
          </w:p>
        </w:tc>
      </w:tr>
    </w:tbl>
    <w:p w:rsidR="00D93D20" w:rsidRPr="00684152" w:rsidRDefault="00D93D20" w:rsidP="00D93D20"/>
    <w:p w:rsidR="00D93D20" w:rsidRPr="00684152" w:rsidRDefault="00D93D20" w:rsidP="00D93D20">
      <w:pPr>
        <w:pStyle w:val="Heading1"/>
        <w:pageBreakBefore/>
        <w:tabs>
          <w:tab w:val="num" w:pos="432"/>
        </w:tabs>
        <w:spacing w:before="240" w:after="60" w:line="240" w:lineRule="auto"/>
        <w:ind w:left="432" w:hanging="432"/>
      </w:pPr>
      <w:bookmarkStart w:id="18" w:name="_Toc151497052"/>
      <w:bookmarkStart w:id="19" w:name="_Toc415482843"/>
      <w:r w:rsidRPr="00684152">
        <w:lastRenderedPageBreak/>
        <w:t>Diagram Convention</w:t>
      </w:r>
      <w:bookmarkEnd w:id="18"/>
      <w:bookmarkEnd w:id="19"/>
    </w:p>
    <w:p w:rsidR="00D93D20" w:rsidRPr="00684152" w:rsidRDefault="00D93D20" w:rsidP="00D93D20">
      <w:r w:rsidRPr="00684152">
        <w:t xml:space="preserve">The schema diagrams using the following convention to illustrate the structure of the schema elements, the type of the elements and attributes, and the rules for optional elements and repetition.  </w:t>
      </w:r>
    </w:p>
    <w:p w:rsidR="00D93D20" w:rsidRPr="00684152" w:rsidRDefault="00D93D20" w:rsidP="00D93D20">
      <w:pPr>
        <w:pStyle w:val="SchemaSource"/>
      </w:pPr>
    </w:p>
    <w:p w:rsidR="00D93D20" w:rsidRPr="00684152" w:rsidRDefault="00D93D20" w:rsidP="00D93D20">
      <w:pPr>
        <w:pStyle w:val="SchemaSource"/>
        <w:jc w:val="center"/>
      </w:pPr>
      <w:r>
        <w:rPr>
          <w:noProof/>
        </w:rPr>
        <w:drawing>
          <wp:inline distT="0" distB="0" distL="0" distR="0" wp14:anchorId="294CDD39" wp14:editId="04CF92E0">
            <wp:extent cx="4521200" cy="551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21200" cy="5511800"/>
                    </a:xfrm>
                    <a:prstGeom prst="rect">
                      <a:avLst/>
                    </a:prstGeom>
                    <a:noFill/>
                    <a:ln>
                      <a:noFill/>
                    </a:ln>
                  </pic:spPr>
                </pic:pic>
              </a:graphicData>
            </a:graphic>
          </wp:inline>
        </w:drawing>
      </w:r>
    </w:p>
    <w:p w:rsidR="00D93D20" w:rsidRPr="00684152" w:rsidRDefault="00D93D20" w:rsidP="00D93D20"/>
    <w:p w:rsidR="00A669CE" w:rsidRDefault="00DE7599" w:rsidP="00EB2998">
      <w:pPr>
        <w:pStyle w:val="Body"/>
      </w:pPr>
      <w:r w:rsidRPr="00BE017C">
        <w:br w:type="page"/>
      </w:r>
    </w:p>
    <w:p w:rsidR="008750E9" w:rsidRPr="00BE017C" w:rsidRDefault="00CD3E66" w:rsidP="00D12D36">
      <w:pPr>
        <w:pStyle w:val="Body"/>
        <w:pageBreakBefore/>
        <w:ind w:left="2880"/>
      </w:pPr>
      <w:bookmarkStart w:id="20" w:name="_TOC4649"/>
      <w:bookmarkEnd w:id="3"/>
      <w:bookmarkEnd w:id="20"/>
      <w:r>
        <w:rPr>
          <w:noProof/>
        </w:rPr>
        <w:lastRenderedPageBreak/>
        <w:drawing>
          <wp:anchor distT="0" distB="0" distL="114300" distR="114300" simplePos="0" relativeHeight="251663360" behindDoc="0" locked="0" layoutInCell="1" allowOverlap="1" wp14:anchorId="2A425393" wp14:editId="4D8CEAB8">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6"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7"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28"/>
      <w:footerReference w:type="first" r:id="rId29"/>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EDE" w:rsidRDefault="009D0EDE">
      <w:r>
        <w:separator/>
      </w:r>
    </w:p>
  </w:endnote>
  <w:endnote w:type="continuationSeparator" w:id="0">
    <w:p w:rsidR="009D0EDE" w:rsidRDefault="009D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6CD1EB0"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09E2721"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702AFD41" wp14:editId="3C4289D2">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AFD41"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5FAE03A5" wp14:editId="31CEC049">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03A5"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BF1C44" w:rsidRPr="00BF1C44">
        <w:rPr>
          <w:rFonts w:ascii="Calibri" w:hAnsi="Calibri"/>
          <w:color w:val="FFFFFF"/>
        </w:rPr>
        <w:t>2016</w:t>
      </w:r>
    </w:fldSimple>
    <w:r w:rsidR="00BF1C44">
      <w:rPr>
        <w:rFonts w:ascii="Calibri" w:hAnsi="Calibri"/>
        <w:color w:val="FFFFFF"/>
      </w:rPr>
      <w:t xml:space="preserve">, </w:t>
    </w:r>
    <w:r>
      <w:rPr>
        <w:rFonts w:ascii="Calibri" w:hAnsi="Calibri"/>
        <w:color w:val="FFFFFF"/>
      </w:rPr>
      <w:t xml:space="preserve">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F1C44">
      <w:rPr>
        <w:rFonts w:ascii="Calibri" w:hAnsi="Calibri"/>
        <w:noProof/>
        <w:color w:val="FFFFFF"/>
      </w:rPr>
      <w:t>6</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78360BFE" wp14:editId="4C7714F2">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60BFE"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BF1C44" w:rsidRPr="00BF1C44">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F1C44">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0BDE389C" wp14:editId="672E77FC">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E389C"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7CBDEB0A" wp14:editId="1CEEDF70">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DEB0A"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EDE" w:rsidRDefault="009D0EDE">
      <w:r>
        <w:separator/>
      </w:r>
    </w:p>
  </w:footnote>
  <w:footnote w:type="continuationSeparator" w:id="0">
    <w:p w:rsidR="009D0EDE" w:rsidRDefault="009D0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D93D20" w:rsidRPr="00D93D20">
        <w:rPr>
          <w:rFonts w:ascii="Arial" w:eastAsia="Times New Roman" w:hAnsi="Arial" w:cs="Arial"/>
          <w:noProof/>
          <w:color w:val="FFFFFF"/>
          <w:szCs w:val="18"/>
        </w:rPr>
        <w:t>Transaction Profile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BF1C44">
      <w:rPr>
        <w:rFonts w:asciiTheme="minorHAnsi" w:hAnsiTheme="minorHAnsi"/>
        <w:noProof/>
        <w:color w:val="FFFFFF" w:themeColor="background1"/>
        <w:sz w:val="20"/>
      </w:rPr>
      <w:t>B2MML-TransactionProfile.docx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1312" behindDoc="1" locked="0" layoutInCell="1" allowOverlap="1" wp14:anchorId="16CC261F" wp14:editId="30DF3905">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C261F" id="Rectangle 57" o:spid="_x0000_s1028"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7E9B52C6" wp14:editId="27C36D98">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B52C6"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031ED"/>
    <w:multiLevelType w:val="hybridMultilevel"/>
    <w:tmpl w:val="0540E6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BA05A59"/>
    <w:multiLevelType w:val="hybridMultilevel"/>
    <w:tmpl w:val="F5B261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2"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6"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8"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9"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2"/>
  </w:num>
  <w:num w:numId="16">
    <w:abstractNumId w:val="49"/>
  </w:num>
  <w:num w:numId="17">
    <w:abstractNumId w:val="25"/>
  </w:num>
  <w:num w:numId="18">
    <w:abstractNumId w:val="29"/>
  </w:num>
  <w:num w:numId="19">
    <w:abstractNumId w:val="35"/>
  </w:num>
  <w:num w:numId="20">
    <w:abstractNumId w:val="11"/>
  </w:num>
  <w:num w:numId="21">
    <w:abstractNumId w:val="44"/>
  </w:num>
  <w:num w:numId="22">
    <w:abstractNumId w:val="45"/>
  </w:num>
  <w:num w:numId="23">
    <w:abstractNumId w:val="19"/>
  </w:num>
  <w:num w:numId="24">
    <w:abstractNumId w:val="34"/>
  </w:num>
  <w:num w:numId="25">
    <w:abstractNumId w:val="37"/>
  </w:num>
  <w:num w:numId="26">
    <w:abstractNumId w:val="47"/>
  </w:num>
  <w:num w:numId="27">
    <w:abstractNumId w:val="41"/>
  </w:num>
  <w:num w:numId="28">
    <w:abstractNumId w:val="48"/>
  </w:num>
  <w:num w:numId="29">
    <w:abstractNumId w:val="24"/>
  </w:num>
  <w:num w:numId="30">
    <w:abstractNumId w:val="22"/>
  </w:num>
  <w:num w:numId="31">
    <w:abstractNumId w:val="16"/>
  </w:num>
  <w:num w:numId="32">
    <w:abstractNumId w:val="17"/>
  </w:num>
  <w:num w:numId="33">
    <w:abstractNumId w:val="20"/>
  </w:num>
  <w:num w:numId="34">
    <w:abstractNumId w:val="23"/>
  </w:num>
  <w:num w:numId="35">
    <w:abstractNumId w:val="36"/>
  </w:num>
  <w:num w:numId="36">
    <w:abstractNumId w:val="18"/>
  </w:num>
  <w:num w:numId="37">
    <w:abstractNumId w:val="15"/>
  </w:num>
  <w:num w:numId="38">
    <w:abstractNumId w:val="46"/>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3"/>
  </w:num>
  <w:num w:numId="49">
    <w:abstractNumId w:val="40"/>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DF9"/>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C3DF9"/>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60B74"/>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31906"/>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0EDE"/>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D5E23"/>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BF1C44"/>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0632"/>
    <w:rsid w:val="00C82E95"/>
    <w:rsid w:val="00C8559C"/>
    <w:rsid w:val="00C85E9A"/>
    <w:rsid w:val="00C901E3"/>
    <w:rsid w:val="00CA06EF"/>
    <w:rsid w:val="00CA337B"/>
    <w:rsid w:val="00CA7074"/>
    <w:rsid w:val="00CC251B"/>
    <w:rsid w:val="00CC2BC8"/>
    <w:rsid w:val="00CC3DC5"/>
    <w:rsid w:val="00CC796E"/>
    <w:rsid w:val="00CD3E66"/>
    <w:rsid w:val="00CD3F36"/>
    <w:rsid w:val="00CF1A00"/>
    <w:rsid w:val="00CF2064"/>
    <w:rsid w:val="00D0078F"/>
    <w:rsid w:val="00D00D75"/>
    <w:rsid w:val="00D012B8"/>
    <w:rsid w:val="00D10912"/>
    <w:rsid w:val="00D10CA2"/>
    <w:rsid w:val="00D12D36"/>
    <w:rsid w:val="00D132DE"/>
    <w:rsid w:val="00D14958"/>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93D2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9E4"/>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6ACDA5-3C84-42D9-BA9E-26E266A7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93D2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93D20"/>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emf"/><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hyperlink" Target="http://www.mesa.org" TargetMode="Externa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136DE28-9F22-475E-A734-00673DC7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8</TotalTime>
  <Pages>11</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Transaction Profile</vt:lpstr>
    </vt:vector>
  </TitlesOfParts>
  <Company>MESA</Company>
  <LinksUpToDate>false</LinksUpToDate>
  <CharactersWithSpaces>8728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Profile</dc:title>
  <dc:creator>BlueBook</dc:creator>
  <cp:lastModifiedBy>Dennis Brandl</cp:lastModifiedBy>
  <cp:revision>7</cp:revision>
  <cp:lastPrinted>2012-08-16T19:02:00Z</cp:lastPrinted>
  <dcterms:created xsi:type="dcterms:W3CDTF">2013-03-15T19:52:00Z</dcterms:created>
  <dcterms:modified xsi:type="dcterms:W3CDTF">2016-08-05T20:43:00Z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B2MML-TransactionProfile</vt:lpwstr>
  </property>
</Properties>
</file>