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8F7F6" w14:textId="45273FF7" w:rsidR="00F21844" w:rsidRPr="00A00048" w:rsidRDefault="00A00048" w:rsidP="00E22393">
      <w:pPr>
        <w:spacing w:after="80"/>
        <w:outlineLvl w:val="0"/>
        <w:rPr>
          <w:b/>
          <w:sz w:val="22"/>
          <w:szCs w:val="22"/>
        </w:rPr>
      </w:pPr>
      <w:r>
        <w:rPr>
          <w:b/>
        </w:rPr>
        <w:t xml:space="preserve">#.#.# </w:t>
      </w:r>
      <w:r w:rsidRPr="00A00048">
        <w:rPr>
          <w:b/>
        </w:rPr>
        <w:t xml:space="preserve">Section </w:t>
      </w:r>
      <w:r w:rsidR="00E82D5D" w:rsidRPr="00A00048">
        <w:rPr>
          <w:b/>
          <w:sz w:val="22"/>
          <w:szCs w:val="22"/>
        </w:rPr>
        <w:t>Introduction</w:t>
      </w:r>
    </w:p>
    <w:p w14:paraId="7DA1D0DF" w14:textId="585B1FEC" w:rsidR="007237EC" w:rsidRPr="0063574B" w:rsidRDefault="00932EF2" w:rsidP="00E22393">
      <w:pPr>
        <w:spacing w:after="80"/>
        <w:rPr>
          <w:sz w:val="22"/>
          <w:szCs w:val="22"/>
        </w:rPr>
      </w:pPr>
      <w:r w:rsidRPr="0063574B">
        <w:rPr>
          <w:sz w:val="22"/>
          <w:szCs w:val="22"/>
        </w:rPr>
        <w:t xml:space="preserve">Observations that constrain the incision of Buttermilk Creek since deglaciation provide key information to the modeling effort by supplying the time-variable elevation of the watershed outlet. Incision of the watershed after retreat of glacial ice </w:t>
      </w:r>
      <w:r w:rsidR="00227233" w:rsidRPr="0063574B">
        <w:rPr>
          <w:sz w:val="22"/>
          <w:szCs w:val="22"/>
        </w:rPr>
        <w:t>occurred</w:t>
      </w:r>
      <w:r w:rsidRPr="0063574B">
        <w:rPr>
          <w:sz w:val="22"/>
          <w:szCs w:val="22"/>
        </w:rPr>
        <w:t xml:space="preserve"> </w:t>
      </w:r>
      <w:r w:rsidR="00B202D5" w:rsidRPr="0063574B">
        <w:rPr>
          <w:sz w:val="22"/>
          <w:szCs w:val="22"/>
        </w:rPr>
        <w:t xml:space="preserve">in response to </w:t>
      </w:r>
      <w:r w:rsidR="00227233" w:rsidRPr="0063574B">
        <w:rPr>
          <w:sz w:val="22"/>
          <w:szCs w:val="22"/>
        </w:rPr>
        <w:t xml:space="preserve">the </w:t>
      </w:r>
      <w:r w:rsidR="00B202D5" w:rsidRPr="0063574B">
        <w:rPr>
          <w:sz w:val="22"/>
          <w:szCs w:val="22"/>
        </w:rPr>
        <w:t>lowering of the</w:t>
      </w:r>
      <w:r w:rsidR="009660D6">
        <w:rPr>
          <w:sz w:val="22"/>
          <w:szCs w:val="22"/>
        </w:rPr>
        <w:t xml:space="preserve"> junction of</w:t>
      </w:r>
      <w:r w:rsidR="00B202D5" w:rsidRPr="0063574B">
        <w:rPr>
          <w:sz w:val="22"/>
          <w:szCs w:val="22"/>
        </w:rPr>
        <w:t xml:space="preserve"> </w:t>
      </w:r>
      <w:r w:rsidRPr="0063574B">
        <w:rPr>
          <w:sz w:val="22"/>
          <w:szCs w:val="22"/>
        </w:rPr>
        <w:t>Franks Creek</w:t>
      </w:r>
      <w:r w:rsidR="009660D6">
        <w:rPr>
          <w:sz w:val="22"/>
          <w:szCs w:val="22"/>
        </w:rPr>
        <w:t xml:space="preserve"> and </w:t>
      </w:r>
      <w:r w:rsidRPr="0063574B">
        <w:rPr>
          <w:sz w:val="22"/>
          <w:szCs w:val="22"/>
        </w:rPr>
        <w:t>Buttermilk Creek</w:t>
      </w:r>
      <w:r w:rsidR="006650B1" w:rsidRPr="0063574B">
        <w:rPr>
          <w:sz w:val="22"/>
          <w:szCs w:val="22"/>
        </w:rPr>
        <w:t>; t</w:t>
      </w:r>
      <w:r w:rsidR="00E82D5D" w:rsidRPr="0063574B">
        <w:rPr>
          <w:sz w:val="22"/>
          <w:szCs w:val="22"/>
        </w:rPr>
        <w:t>hus,</w:t>
      </w:r>
      <w:r w:rsidR="00B202D5" w:rsidRPr="0063574B">
        <w:rPr>
          <w:sz w:val="22"/>
          <w:szCs w:val="22"/>
        </w:rPr>
        <w:t xml:space="preserve"> the timing of the incision of the outlet</w:t>
      </w:r>
      <w:r w:rsidR="00E82D5D" w:rsidRPr="0063574B">
        <w:rPr>
          <w:sz w:val="22"/>
          <w:szCs w:val="22"/>
        </w:rPr>
        <w:t xml:space="preserve"> serves as a boundary condition to the model runs. </w:t>
      </w:r>
      <w:r w:rsidR="00A4450F" w:rsidRPr="0063574B">
        <w:rPr>
          <w:sz w:val="22"/>
          <w:szCs w:val="22"/>
        </w:rPr>
        <w:t xml:space="preserve">In order to be usable to the suite of models developed by the EWG erosion team, </w:t>
      </w:r>
      <w:r w:rsidR="003A67A9" w:rsidRPr="0063574B">
        <w:rPr>
          <w:sz w:val="22"/>
          <w:szCs w:val="22"/>
        </w:rPr>
        <w:t>the incision history</w:t>
      </w:r>
      <w:r w:rsidR="00F037CD" w:rsidRPr="0063574B">
        <w:rPr>
          <w:sz w:val="22"/>
          <w:szCs w:val="22"/>
        </w:rPr>
        <w:t xml:space="preserve"> constrained by geomorphic and </w:t>
      </w:r>
      <w:r w:rsidR="00040DB9">
        <w:rPr>
          <w:sz w:val="22"/>
          <w:szCs w:val="22"/>
        </w:rPr>
        <w:t>geochronologic</w:t>
      </w:r>
      <w:r w:rsidR="00F037CD" w:rsidRPr="0063574B">
        <w:rPr>
          <w:sz w:val="22"/>
          <w:szCs w:val="22"/>
        </w:rPr>
        <w:t xml:space="preserve"> evidence</w:t>
      </w:r>
      <w:r w:rsidR="003A67A9" w:rsidRPr="0063574B">
        <w:rPr>
          <w:sz w:val="22"/>
          <w:szCs w:val="22"/>
        </w:rPr>
        <w:t xml:space="preserve"> must be supplied </w:t>
      </w:r>
      <w:r w:rsidR="00883155" w:rsidRPr="0063574B">
        <w:rPr>
          <w:sz w:val="22"/>
          <w:szCs w:val="22"/>
        </w:rPr>
        <w:t xml:space="preserve">as </w:t>
      </w:r>
      <w:r w:rsidR="00F037CD" w:rsidRPr="0063574B">
        <w:rPr>
          <w:sz w:val="22"/>
          <w:szCs w:val="22"/>
        </w:rPr>
        <w:t>value pairs</w:t>
      </w:r>
      <w:r w:rsidR="00883155" w:rsidRPr="0063574B">
        <w:rPr>
          <w:sz w:val="22"/>
          <w:szCs w:val="22"/>
        </w:rPr>
        <w:t xml:space="preserve"> of time and elevation above modern river level. Here we </w:t>
      </w:r>
      <w:r w:rsidR="00093180" w:rsidRPr="0063574B">
        <w:rPr>
          <w:sz w:val="22"/>
          <w:szCs w:val="22"/>
        </w:rPr>
        <w:t xml:space="preserve">supply </w:t>
      </w:r>
      <w:r w:rsidR="00173D26">
        <w:rPr>
          <w:sz w:val="22"/>
          <w:szCs w:val="22"/>
        </w:rPr>
        <w:t>two</w:t>
      </w:r>
      <w:r w:rsidR="00093180" w:rsidRPr="0063574B">
        <w:rPr>
          <w:sz w:val="22"/>
          <w:szCs w:val="22"/>
        </w:rPr>
        <w:t xml:space="preserve"> alternative scenarios </w:t>
      </w:r>
      <w:r w:rsidR="00233423" w:rsidRPr="0063574B">
        <w:rPr>
          <w:sz w:val="22"/>
          <w:szCs w:val="22"/>
        </w:rPr>
        <w:t>for river incision</w:t>
      </w:r>
      <w:r w:rsidR="007237EC" w:rsidRPr="0063574B">
        <w:rPr>
          <w:sz w:val="22"/>
          <w:szCs w:val="22"/>
        </w:rPr>
        <w:t xml:space="preserve"> </w:t>
      </w:r>
      <w:r w:rsidR="00233423" w:rsidRPr="0063574B">
        <w:rPr>
          <w:sz w:val="22"/>
          <w:szCs w:val="22"/>
        </w:rPr>
        <w:t xml:space="preserve">that </w:t>
      </w:r>
      <w:r w:rsidR="00213D7A" w:rsidRPr="0063574B">
        <w:rPr>
          <w:sz w:val="22"/>
          <w:szCs w:val="22"/>
        </w:rPr>
        <w:t xml:space="preserve">we recommend </w:t>
      </w:r>
      <w:r w:rsidR="00F037CD" w:rsidRPr="0063574B">
        <w:rPr>
          <w:sz w:val="22"/>
          <w:szCs w:val="22"/>
        </w:rPr>
        <w:t>for</w:t>
      </w:r>
      <w:r w:rsidR="00213D7A" w:rsidRPr="0063574B">
        <w:rPr>
          <w:sz w:val="22"/>
          <w:szCs w:val="22"/>
        </w:rPr>
        <w:t xml:space="preserve"> </w:t>
      </w:r>
      <w:r w:rsidR="00F037CD" w:rsidRPr="0063574B">
        <w:rPr>
          <w:sz w:val="22"/>
          <w:szCs w:val="22"/>
        </w:rPr>
        <w:t>implementation</w:t>
      </w:r>
      <w:r w:rsidR="00213D7A" w:rsidRPr="0063574B">
        <w:rPr>
          <w:sz w:val="22"/>
          <w:szCs w:val="22"/>
        </w:rPr>
        <w:t xml:space="preserve"> by the modeling team</w:t>
      </w:r>
      <w:r w:rsidR="00227233" w:rsidRPr="0063574B">
        <w:rPr>
          <w:sz w:val="22"/>
          <w:szCs w:val="22"/>
        </w:rPr>
        <w:t xml:space="preserve"> (Tables 1</w:t>
      </w:r>
      <w:r w:rsidR="00B7223E">
        <w:rPr>
          <w:sz w:val="22"/>
          <w:szCs w:val="22"/>
        </w:rPr>
        <w:t xml:space="preserve"> and </w:t>
      </w:r>
      <w:r w:rsidR="00040DB9">
        <w:rPr>
          <w:sz w:val="22"/>
          <w:szCs w:val="22"/>
        </w:rPr>
        <w:t>2</w:t>
      </w:r>
      <w:r w:rsidR="00227233" w:rsidRPr="0063574B">
        <w:rPr>
          <w:sz w:val="22"/>
          <w:szCs w:val="22"/>
        </w:rPr>
        <w:t>, Figure 1)</w:t>
      </w:r>
      <w:r w:rsidR="00213D7A" w:rsidRPr="0063574B">
        <w:rPr>
          <w:sz w:val="22"/>
          <w:szCs w:val="22"/>
        </w:rPr>
        <w:t xml:space="preserve">. </w:t>
      </w:r>
    </w:p>
    <w:p w14:paraId="0B0172AD" w14:textId="539FBA9F" w:rsidR="00D618B8" w:rsidRPr="0063574B" w:rsidRDefault="00213D7A" w:rsidP="00E22393">
      <w:pPr>
        <w:spacing w:after="80"/>
        <w:rPr>
          <w:b/>
          <w:sz w:val="22"/>
          <w:szCs w:val="22"/>
        </w:rPr>
      </w:pPr>
      <w:r w:rsidRPr="0063574B">
        <w:rPr>
          <w:b/>
          <w:sz w:val="22"/>
          <w:szCs w:val="22"/>
        </w:rPr>
        <w:t xml:space="preserve">Scenario 1: </w:t>
      </w:r>
      <w:r w:rsidR="00433270" w:rsidRPr="0063574B">
        <w:rPr>
          <w:b/>
          <w:sz w:val="22"/>
          <w:szCs w:val="22"/>
        </w:rPr>
        <w:t xml:space="preserve">Meander </w:t>
      </w:r>
      <w:r w:rsidR="007237EC" w:rsidRPr="0063574B">
        <w:rPr>
          <w:b/>
          <w:sz w:val="22"/>
          <w:szCs w:val="22"/>
        </w:rPr>
        <w:t>Scenario</w:t>
      </w:r>
    </w:p>
    <w:p w14:paraId="1ACDD84B" w14:textId="50F8F5B1" w:rsidR="007237EC" w:rsidRPr="0063574B" w:rsidRDefault="00203353" w:rsidP="00E22393">
      <w:pPr>
        <w:spacing w:after="80"/>
        <w:rPr>
          <w:sz w:val="22"/>
          <w:szCs w:val="22"/>
        </w:rPr>
      </w:pPr>
      <w:r w:rsidRPr="0063574B">
        <w:rPr>
          <w:sz w:val="22"/>
          <w:szCs w:val="22"/>
        </w:rPr>
        <w:t xml:space="preserve">The first scenario, </w:t>
      </w:r>
      <w:r w:rsidR="0086029E" w:rsidRPr="0063574B">
        <w:rPr>
          <w:sz w:val="22"/>
          <w:szCs w:val="22"/>
        </w:rPr>
        <w:t>termed</w:t>
      </w:r>
      <w:r w:rsidRPr="0063574B">
        <w:rPr>
          <w:sz w:val="22"/>
          <w:szCs w:val="22"/>
        </w:rPr>
        <w:t xml:space="preserve"> the Meander Scenario</w:t>
      </w:r>
      <w:r w:rsidR="0086029E" w:rsidRPr="0063574B">
        <w:rPr>
          <w:sz w:val="22"/>
          <w:szCs w:val="22"/>
        </w:rPr>
        <w:t>,</w:t>
      </w:r>
      <w:r w:rsidRPr="0063574B">
        <w:rPr>
          <w:sz w:val="22"/>
          <w:szCs w:val="22"/>
        </w:rPr>
        <w:t xml:space="preserve"> is</w:t>
      </w:r>
      <w:r w:rsidR="003F777B" w:rsidRPr="0063574B">
        <w:rPr>
          <w:sz w:val="22"/>
          <w:szCs w:val="22"/>
        </w:rPr>
        <w:t xml:space="preserve"> predominantly</w:t>
      </w:r>
      <w:r w:rsidRPr="0063574B">
        <w:rPr>
          <w:sz w:val="22"/>
          <w:szCs w:val="22"/>
        </w:rPr>
        <w:t xml:space="preserve"> based on the </w:t>
      </w:r>
      <w:r w:rsidR="00494D52" w:rsidRPr="0063574B">
        <w:rPr>
          <w:sz w:val="22"/>
          <w:szCs w:val="22"/>
        </w:rPr>
        <w:t xml:space="preserve">dates from </w:t>
      </w:r>
      <w:r w:rsidR="003F777B" w:rsidRPr="0063574B">
        <w:rPr>
          <w:sz w:val="22"/>
          <w:szCs w:val="22"/>
        </w:rPr>
        <w:t xml:space="preserve">the </w:t>
      </w:r>
      <w:r w:rsidR="00494D52" w:rsidRPr="0063574B">
        <w:rPr>
          <w:sz w:val="22"/>
          <w:szCs w:val="22"/>
        </w:rPr>
        <w:t xml:space="preserve">Abandoned </w:t>
      </w:r>
      <w:r w:rsidR="003F777B" w:rsidRPr="0063574B">
        <w:rPr>
          <w:sz w:val="22"/>
          <w:szCs w:val="22"/>
        </w:rPr>
        <w:t>Meander site</w:t>
      </w:r>
      <w:r w:rsidR="00227233" w:rsidRPr="0063574B">
        <w:rPr>
          <w:sz w:val="22"/>
          <w:szCs w:val="22"/>
        </w:rPr>
        <w:t xml:space="preserve"> (Table 1).</w:t>
      </w:r>
      <w:r w:rsidR="003F777B" w:rsidRPr="0063574B">
        <w:rPr>
          <w:sz w:val="22"/>
          <w:szCs w:val="22"/>
        </w:rPr>
        <w:t xml:space="preserve"> </w:t>
      </w:r>
      <w:r w:rsidR="00227233" w:rsidRPr="0063574B">
        <w:rPr>
          <w:sz w:val="22"/>
          <w:szCs w:val="22"/>
        </w:rPr>
        <w:t xml:space="preserve">This scenario </w:t>
      </w:r>
      <w:r w:rsidR="00576991" w:rsidRPr="0063574B">
        <w:rPr>
          <w:sz w:val="22"/>
          <w:szCs w:val="22"/>
        </w:rPr>
        <w:t xml:space="preserve">also </w:t>
      </w:r>
      <w:r w:rsidR="00227233" w:rsidRPr="0063574B">
        <w:rPr>
          <w:sz w:val="22"/>
          <w:szCs w:val="22"/>
        </w:rPr>
        <w:t>uses a combination of observations of sediment burial (OSL) and buried wood (</w:t>
      </w:r>
      <w:r w:rsidR="00227233" w:rsidRPr="0063574B">
        <w:rPr>
          <w:sz w:val="22"/>
          <w:szCs w:val="22"/>
          <w:vertAlign w:val="superscript"/>
        </w:rPr>
        <w:t>14</w:t>
      </w:r>
      <w:r w:rsidR="00227233" w:rsidRPr="0063574B">
        <w:rPr>
          <w:sz w:val="22"/>
          <w:szCs w:val="22"/>
        </w:rPr>
        <w:t xml:space="preserve">C) dating to indicate that </w:t>
      </w:r>
      <w:r w:rsidR="00494D52" w:rsidRPr="0063574B">
        <w:rPr>
          <w:sz w:val="22"/>
          <w:szCs w:val="22"/>
        </w:rPr>
        <w:t xml:space="preserve">Buttermilk Creek had reached its present grade approximately </w:t>
      </w:r>
      <w:r w:rsidR="00F21844" w:rsidRPr="0063574B">
        <w:rPr>
          <w:sz w:val="22"/>
          <w:szCs w:val="22"/>
        </w:rPr>
        <w:t>2.5 ka (thousand years before 1950)</w:t>
      </w:r>
      <w:r w:rsidR="00227233" w:rsidRPr="0063574B">
        <w:rPr>
          <w:sz w:val="22"/>
          <w:szCs w:val="22"/>
        </w:rPr>
        <w:t>.</w:t>
      </w:r>
      <w:r w:rsidR="00494D52" w:rsidRPr="0063574B">
        <w:rPr>
          <w:sz w:val="22"/>
          <w:szCs w:val="22"/>
        </w:rPr>
        <w:t xml:space="preserve"> </w:t>
      </w:r>
      <w:r w:rsidR="00227233" w:rsidRPr="0063574B">
        <w:rPr>
          <w:sz w:val="22"/>
          <w:szCs w:val="22"/>
        </w:rPr>
        <w:t>This interpretation assumes that the dates on buried wood do not represent preservation</w:t>
      </w:r>
      <w:r w:rsidR="00576991" w:rsidRPr="0063574B">
        <w:rPr>
          <w:sz w:val="22"/>
          <w:szCs w:val="22"/>
        </w:rPr>
        <w:t xml:space="preserve"> of</w:t>
      </w:r>
      <w:r w:rsidR="00227233" w:rsidRPr="0063574B">
        <w:rPr>
          <w:sz w:val="22"/>
          <w:szCs w:val="22"/>
        </w:rPr>
        <w:t xml:space="preserve"> the absolute oldest point in time </w:t>
      </w:r>
      <w:r w:rsidR="00576991" w:rsidRPr="0063574B">
        <w:rPr>
          <w:sz w:val="22"/>
          <w:szCs w:val="22"/>
        </w:rPr>
        <w:t>that</w:t>
      </w:r>
      <w:r w:rsidR="00227233" w:rsidRPr="0063574B">
        <w:rPr>
          <w:sz w:val="22"/>
          <w:szCs w:val="22"/>
        </w:rPr>
        <w:t xml:space="preserve"> Buttermilk Creek occupied its current grade</w:t>
      </w:r>
      <w:r w:rsidR="00576991" w:rsidRPr="0063574B">
        <w:rPr>
          <w:sz w:val="22"/>
          <w:szCs w:val="22"/>
        </w:rPr>
        <w:t>. Thus</w:t>
      </w:r>
      <w:r w:rsidR="00040DB9">
        <w:rPr>
          <w:sz w:val="22"/>
          <w:szCs w:val="22"/>
        </w:rPr>
        <w:t>,</w:t>
      </w:r>
      <w:r w:rsidR="00576991" w:rsidRPr="0063574B">
        <w:rPr>
          <w:sz w:val="22"/>
          <w:szCs w:val="22"/>
        </w:rPr>
        <w:t xml:space="preserve"> it</w:t>
      </w:r>
      <w:r w:rsidR="00227233" w:rsidRPr="0063574B">
        <w:rPr>
          <w:sz w:val="22"/>
          <w:szCs w:val="22"/>
        </w:rPr>
        <w:t xml:space="preserve"> uses the sediment burial </w:t>
      </w:r>
      <w:r w:rsidR="00246130">
        <w:rPr>
          <w:sz w:val="22"/>
          <w:szCs w:val="22"/>
        </w:rPr>
        <w:t xml:space="preserve">(OSL) </w:t>
      </w:r>
      <w:r w:rsidR="00227233" w:rsidRPr="0063574B">
        <w:rPr>
          <w:sz w:val="22"/>
          <w:szCs w:val="22"/>
        </w:rPr>
        <w:t>date of 2.5 ka</w:t>
      </w:r>
      <w:r w:rsidR="00576991" w:rsidRPr="0063574B">
        <w:rPr>
          <w:sz w:val="22"/>
          <w:szCs w:val="22"/>
        </w:rPr>
        <w:t xml:space="preserve"> as the point at which Buttermilk Creek occupied its current grade</w:t>
      </w:r>
      <w:r w:rsidR="00227233" w:rsidRPr="0063574B">
        <w:rPr>
          <w:sz w:val="22"/>
          <w:szCs w:val="22"/>
        </w:rPr>
        <w:t xml:space="preserve">. </w:t>
      </w:r>
      <w:r w:rsidR="0086029E" w:rsidRPr="0063574B">
        <w:rPr>
          <w:sz w:val="22"/>
          <w:szCs w:val="22"/>
        </w:rPr>
        <w:t xml:space="preserve">The Abandoned Meander is located upstream of the </w:t>
      </w:r>
      <w:r w:rsidR="003017BE">
        <w:rPr>
          <w:sz w:val="22"/>
          <w:szCs w:val="22"/>
        </w:rPr>
        <w:t>Franks</w:t>
      </w:r>
      <w:r w:rsidR="0086029E" w:rsidRPr="0063574B">
        <w:rPr>
          <w:sz w:val="22"/>
          <w:szCs w:val="22"/>
        </w:rPr>
        <w:t xml:space="preserve"> Creek-Buttermilk Creek junction and thus the elevation of Buttermilk Creek at this location does not correspond exactly to the elevation of the </w:t>
      </w:r>
      <w:r w:rsidR="003017BE">
        <w:rPr>
          <w:sz w:val="22"/>
          <w:szCs w:val="22"/>
        </w:rPr>
        <w:t>Franks</w:t>
      </w:r>
      <w:r w:rsidR="0086029E" w:rsidRPr="0063574B">
        <w:rPr>
          <w:sz w:val="22"/>
          <w:szCs w:val="22"/>
        </w:rPr>
        <w:t xml:space="preserve"> Creek-Buttermilk Creek junction. However, the model only requires elevation of the channel </w:t>
      </w:r>
      <w:r w:rsidR="0086029E" w:rsidRPr="0063574B">
        <w:rPr>
          <w:i/>
          <w:sz w:val="22"/>
          <w:szCs w:val="22"/>
        </w:rPr>
        <w:t xml:space="preserve">relative </w:t>
      </w:r>
      <w:r w:rsidR="0086029E" w:rsidRPr="0063574B">
        <w:rPr>
          <w:sz w:val="22"/>
          <w:szCs w:val="22"/>
        </w:rPr>
        <w:t>to the modern channel elevation. This was determined by subtracting the elevations of Abandoned Meander sites from the modern elevation of Buttermilk Creek at the Abandoned Meander.</w:t>
      </w:r>
    </w:p>
    <w:p w14:paraId="75FD3188" w14:textId="31C75170" w:rsidR="00D618B8" w:rsidRPr="0063574B" w:rsidRDefault="00D618B8" w:rsidP="00E22393">
      <w:pPr>
        <w:spacing w:after="80"/>
        <w:rPr>
          <w:b/>
          <w:sz w:val="22"/>
          <w:szCs w:val="22"/>
        </w:rPr>
      </w:pPr>
      <w:r w:rsidRPr="0063574B">
        <w:rPr>
          <w:b/>
          <w:sz w:val="22"/>
          <w:szCs w:val="22"/>
        </w:rPr>
        <w:t>Scenario 2: Buttermilk Context Scenario</w:t>
      </w:r>
    </w:p>
    <w:p w14:paraId="0FC658D1" w14:textId="096C59C0" w:rsidR="00576991" w:rsidRPr="00040DB9" w:rsidRDefault="0086029E" w:rsidP="00040DB9">
      <w:pPr>
        <w:spacing w:after="80"/>
        <w:rPr>
          <w:sz w:val="22"/>
          <w:szCs w:val="22"/>
        </w:rPr>
      </w:pPr>
      <w:r w:rsidRPr="0063574B">
        <w:rPr>
          <w:sz w:val="22"/>
          <w:szCs w:val="22"/>
        </w:rPr>
        <w:t>An alternative scenario, termed the Buttermilk Context Scenario</w:t>
      </w:r>
      <w:r w:rsidR="00246130">
        <w:rPr>
          <w:sz w:val="22"/>
          <w:szCs w:val="22"/>
        </w:rPr>
        <w:t>,</w:t>
      </w:r>
      <w:r w:rsidRPr="0063574B">
        <w:rPr>
          <w:sz w:val="22"/>
          <w:szCs w:val="22"/>
        </w:rPr>
        <w:t xml:space="preserve"> differs from the Meander Scenario in </w:t>
      </w:r>
      <w:r w:rsidR="00F21844" w:rsidRPr="0063574B">
        <w:rPr>
          <w:sz w:val="22"/>
          <w:szCs w:val="22"/>
        </w:rPr>
        <w:t>three</w:t>
      </w:r>
      <w:r w:rsidRPr="0063574B">
        <w:rPr>
          <w:sz w:val="22"/>
          <w:szCs w:val="22"/>
        </w:rPr>
        <w:t xml:space="preserve"> ways. </w:t>
      </w:r>
      <w:r w:rsidR="00F21844" w:rsidRPr="0063574B">
        <w:rPr>
          <w:sz w:val="22"/>
          <w:szCs w:val="22"/>
        </w:rPr>
        <w:t xml:space="preserve">First, it projects all observations to the junction of </w:t>
      </w:r>
      <w:r w:rsidR="003017BE">
        <w:rPr>
          <w:sz w:val="22"/>
          <w:szCs w:val="22"/>
        </w:rPr>
        <w:t>Franks</w:t>
      </w:r>
      <w:r w:rsidR="00F21844" w:rsidRPr="0063574B">
        <w:rPr>
          <w:sz w:val="22"/>
          <w:szCs w:val="22"/>
        </w:rPr>
        <w:t xml:space="preserve"> Creek and Buttermilk Creek</w:t>
      </w:r>
      <w:r w:rsidR="00304DDA" w:rsidRPr="0063574B">
        <w:rPr>
          <w:sz w:val="22"/>
          <w:szCs w:val="22"/>
        </w:rPr>
        <w:t xml:space="preserve"> using the slope of the 13 ka age line and the elevation and gradient of modern Buttermilk Creek</w:t>
      </w:r>
      <w:r w:rsidR="00F21844" w:rsidRPr="0063574B">
        <w:rPr>
          <w:sz w:val="22"/>
          <w:szCs w:val="22"/>
        </w:rPr>
        <w:t>.</w:t>
      </w:r>
      <w:r w:rsidR="00576991" w:rsidRPr="0063574B">
        <w:rPr>
          <w:sz w:val="22"/>
          <w:szCs w:val="22"/>
        </w:rPr>
        <w:t xml:space="preserve"> Elevations of the channel above the modern river level are then determined by subtracting the elevations from the modern elevation of Buttermilk Creek at its junction with </w:t>
      </w:r>
      <w:r w:rsidR="003017BE">
        <w:rPr>
          <w:sz w:val="22"/>
          <w:szCs w:val="22"/>
        </w:rPr>
        <w:t>Franks</w:t>
      </w:r>
      <w:r w:rsidR="00576991" w:rsidRPr="0063574B">
        <w:rPr>
          <w:sz w:val="22"/>
          <w:szCs w:val="22"/>
        </w:rPr>
        <w:t xml:space="preserve"> Creek. </w:t>
      </w:r>
      <w:r w:rsidR="00F21844" w:rsidRPr="0063574B">
        <w:rPr>
          <w:sz w:val="22"/>
          <w:szCs w:val="22"/>
        </w:rPr>
        <w:t xml:space="preserve"> Second, it includes a date and elevation pair from the Heinz Trench site HT-7</w:t>
      </w:r>
      <w:r w:rsidR="00576991" w:rsidRPr="0063574B">
        <w:rPr>
          <w:sz w:val="22"/>
          <w:szCs w:val="22"/>
        </w:rPr>
        <w:t xml:space="preserve"> at </w:t>
      </w:r>
      <w:r w:rsidR="00576991" w:rsidRPr="0063574B">
        <w:rPr>
          <w:rFonts w:eastAsia="Times New Roman"/>
          <w:color w:val="000000"/>
          <w:sz w:val="22"/>
          <w:szCs w:val="22"/>
        </w:rPr>
        <w:t>3.785 ka and 42’ above the modern channel elevation</w:t>
      </w:r>
      <w:r w:rsidR="00F21844" w:rsidRPr="0063574B">
        <w:rPr>
          <w:sz w:val="22"/>
          <w:szCs w:val="22"/>
        </w:rPr>
        <w:t xml:space="preserve">. Finally, it </w:t>
      </w:r>
      <w:r w:rsidR="0063574B" w:rsidRPr="0063574B">
        <w:rPr>
          <w:sz w:val="22"/>
          <w:szCs w:val="22"/>
        </w:rPr>
        <w:t xml:space="preserve">considers two additional observations in order to make a different interpretation of the slowing of the incision as Buttermilk Creek approached its current grade: a date of 1.653 ka at the Tree Farm Site located at 16’ above modern river level and a date of 2.128 ka at </w:t>
      </w:r>
      <w:r w:rsidR="00524BBE">
        <w:rPr>
          <w:sz w:val="22"/>
          <w:szCs w:val="22"/>
        </w:rPr>
        <w:t>site HT-33</w:t>
      </w:r>
      <w:r w:rsidR="0063574B" w:rsidRPr="0063574B">
        <w:rPr>
          <w:sz w:val="22"/>
          <w:szCs w:val="22"/>
        </w:rPr>
        <w:t xml:space="preserve"> </w:t>
      </w:r>
      <w:r w:rsidR="00524BBE">
        <w:rPr>
          <w:sz w:val="22"/>
          <w:szCs w:val="22"/>
        </w:rPr>
        <w:t>located</w:t>
      </w:r>
      <w:r w:rsidR="0063574B" w:rsidRPr="0063574B">
        <w:rPr>
          <w:sz w:val="22"/>
          <w:szCs w:val="22"/>
        </w:rPr>
        <w:t xml:space="preserve"> 7’ above modern river level. Taken in concert with the </w:t>
      </w:r>
      <w:r w:rsidR="00227233" w:rsidRPr="0063574B">
        <w:rPr>
          <w:sz w:val="22"/>
          <w:szCs w:val="22"/>
        </w:rPr>
        <w:t xml:space="preserve">OSL and </w:t>
      </w:r>
      <w:r w:rsidR="0063574B" w:rsidRPr="0063574B">
        <w:rPr>
          <w:sz w:val="22"/>
          <w:szCs w:val="22"/>
        </w:rPr>
        <w:t xml:space="preserve">buried wood </w:t>
      </w:r>
      <w:r w:rsidR="00227233" w:rsidRPr="0063574B">
        <w:rPr>
          <w:sz w:val="22"/>
          <w:szCs w:val="22"/>
          <w:vertAlign w:val="superscript"/>
        </w:rPr>
        <w:t>14</w:t>
      </w:r>
      <w:r w:rsidR="00227233" w:rsidRPr="0063574B">
        <w:rPr>
          <w:sz w:val="22"/>
          <w:szCs w:val="22"/>
        </w:rPr>
        <w:t xml:space="preserve">C observations </w:t>
      </w:r>
      <w:r w:rsidR="0063574B" w:rsidRPr="0063574B">
        <w:rPr>
          <w:sz w:val="22"/>
          <w:szCs w:val="22"/>
        </w:rPr>
        <w:t>an age elevation point of 2.3 ka and 14’ above modern river level is used. This indicates that incision slowed but did not stop in the period ~2.5 ka to the present.</w:t>
      </w:r>
      <w:r w:rsidR="00227233" w:rsidRPr="0063574B">
        <w:rPr>
          <w:sz w:val="22"/>
          <w:szCs w:val="22"/>
        </w:rPr>
        <w:t xml:space="preserve"> </w:t>
      </w:r>
    </w:p>
    <w:p w14:paraId="4749F3D0" w14:textId="5854E201" w:rsidR="00576991" w:rsidRDefault="00040DB9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</w:rPr>
        <w:lastRenderedPageBreak/>
        <w:drawing>
          <wp:inline distT="0" distB="0" distL="0" distR="0" wp14:anchorId="1BDD71AA" wp14:editId="4864A684">
            <wp:extent cx="5486400" cy="3657600"/>
            <wp:effectExtent l="0" t="0" r="0" b="0"/>
            <wp:docPr id="1" name="Picture 1" descr="alternative_incision_historie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rnative_incision_histories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3AA4" w14:textId="71037677" w:rsidR="00576991" w:rsidRDefault="00576991">
      <w:pPr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14:paraId="22DC3925" w14:textId="5D24670F" w:rsidR="00203353" w:rsidRDefault="0020335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03353">
        <w:rPr>
          <w:rFonts w:ascii="Arial" w:eastAsia="Times New Roman" w:hAnsi="Arial" w:cs="Arial"/>
          <w:b/>
          <w:color w:val="000000"/>
          <w:sz w:val="20"/>
          <w:szCs w:val="20"/>
        </w:rPr>
        <w:t>Figure 1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Graphical summary of alternative lowering histories. </w:t>
      </w: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01E27EF6" w14:textId="273B23E1" w:rsidR="00F037CD" w:rsidRPr="00F037CD" w:rsidRDefault="00F037CD" w:rsidP="00F037C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203353">
        <w:rPr>
          <w:rFonts w:ascii="Arial" w:eastAsia="Times New Roman" w:hAnsi="Arial" w:cs="Arial"/>
          <w:b/>
          <w:color w:val="000000"/>
          <w:sz w:val="20"/>
          <w:szCs w:val="20"/>
        </w:rPr>
        <w:t>Table 1.</w:t>
      </w:r>
      <w:r w:rsidRPr="00F037CD">
        <w:rPr>
          <w:rFonts w:ascii="Arial" w:eastAsia="Times New Roman" w:hAnsi="Arial" w:cs="Arial"/>
          <w:color w:val="000000"/>
          <w:sz w:val="20"/>
          <w:szCs w:val="20"/>
        </w:rPr>
        <w:t xml:space="preserve"> Meander Site Scenario</w:t>
      </w:r>
    </w:p>
    <w:tbl>
      <w:tblPr>
        <w:tblW w:w="9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781"/>
        <w:gridCol w:w="1016"/>
        <w:gridCol w:w="585"/>
        <w:gridCol w:w="5144"/>
      </w:tblGrid>
      <w:tr w:rsidR="00F037CD" w:rsidRPr="00F037CD" w14:paraId="44E8C91A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92D636E" w14:textId="77777777" w:rsidR="00F037CD" w:rsidRPr="00F037CD" w:rsidRDefault="00F037CD" w:rsidP="007B4C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26" w:type="dxa"/>
            <w:gridSpan w:val="4"/>
            <w:shd w:val="clear" w:color="auto" w:fill="auto"/>
            <w:noWrap/>
            <w:vAlign w:val="bottom"/>
            <w:hideMark/>
          </w:tcPr>
          <w:p w14:paraId="0D4C586B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Elevation of Buttermilk Creek at the Abandoned Meander (ft)</w:t>
            </w:r>
          </w:p>
        </w:tc>
      </w:tr>
      <w:tr w:rsidR="00F037CD" w:rsidRPr="00F037CD" w14:paraId="44C5DFB9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77C82F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(YBP)*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5B476F77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Modern Channel</w:t>
            </w:r>
          </w:p>
        </w:tc>
        <w:tc>
          <w:tcPr>
            <w:tcW w:w="101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C118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MSL</w:t>
            </w:r>
          </w:p>
        </w:tc>
        <w:tc>
          <w:tcPr>
            <w:tcW w:w="585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6392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1160AC7D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 of Age</w:t>
            </w:r>
          </w:p>
        </w:tc>
      </w:tr>
      <w:tr w:rsidR="00F037CD" w:rsidRPr="00F037CD" w14:paraId="6920FB4A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6248B67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7304EE65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A7BD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0D1E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</w:t>
            </w: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06DD0BF9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Youngest wood in Simmonds Rd/Kent moraine site and Genesee Valley site</w:t>
            </w:r>
          </w:p>
        </w:tc>
      </w:tr>
      <w:tr w:rsidR="00F037CD" w:rsidRPr="00F037CD" w14:paraId="3257D1B4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15529B0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10600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2B2D1CAE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20D95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0D2E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43C687E2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Trench T-7</w:t>
            </w:r>
          </w:p>
        </w:tc>
      </w:tr>
      <w:tr w:rsidR="00F037CD" w:rsidRPr="00F037CD" w14:paraId="758E609D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E14AFBE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9495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2AA7058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8D0A6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E7E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2FD0BA78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Meander Trench MT-34</w:t>
            </w:r>
          </w:p>
        </w:tc>
      </w:tr>
      <w:tr w:rsidR="00F037CD" w:rsidRPr="00F037CD" w14:paraId="54FD2B9A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21D4AC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6764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68CA120C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23564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248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77D22C5F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Meander Trench MT-37</w:t>
            </w:r>
          </w:p>
        </w:tc>
      </w:tr>
      <w:tr w:rsidR="00F037CD" w:rsidRPr="00F037CD" w14:paraId="5E85E729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F7E8CCA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5632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04EBCCB2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87BB0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1291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0386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06EA1DCD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Trench MT-38 S4</w:t>
            </w:r>
          </w:p>
        </w:tc>
      </w:tr>
      <w:tr w:rsidR="00F037CD" w:rsidRPr="00F037CD" w14:paraId="2D42478F" w14:textId="77777777" w:rsidTr="00F037CD">
        <w:trPr>
          <w:trHeight w:val="317"/>
        </w:trPr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5201F7B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1781" w:type="dxa"/>
            <w:shd w:val="clear" w:color="auto" w:fill="auto"/>
            <w:noWrap/>
            <w:vAlign w:val="bottom"/>
            <w:hideMark/>
          </w:tcPr>
          <w:p w14:paraId="308A2AC9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8370A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4230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4" w:type="dxa"/>
            <w:shd w:val="clear" w:color="auto" w:fill="auto"/>
            <w:noWrap/>
            <w:vAlign w:val="bottom"/>
            <w:hideMark/>
          </w:tcPr>
          <w:p w14:paraId="65EC172F" w14:textId="77777777" w:rsidR="00F037CD" w:rsidRPr="00F037CD" w:rsidRDefault="00F037CD" w:rsidP="007B4C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037CD" w:rsidRPr="00F037CD" w14:paraId="7E9FA980" w14:textId="77777777" w:rsidTr="00F037CD">
        <w:trPr>
          <w:trHeight w:val="332"/>
        </w:trPr>
        <w:tc>
          <w:tcPr>
            <w:tcW w:w="90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FF87D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AE72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D3FDA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1192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728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160EA" w14:textId="28D825F2" w:rsidR="00F037CD" w:rsidRPr="00F037CD" w:rsidRDefault="00F037CD" w:rsidP="000305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Modern </w:t>
            </w:r>
            <w:r w:rsidR="00030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elevation of Buttermilk Creek at the Abandoned Meander Site</w:t>
            </w:r>
          </w:p>
        </w:tc>
      </w:tr>
      <w:tr w:rsidR="00F037CD" w:rsidRPr="00F037CD" w14:paraId="1E8DF4FC" w14:textId="77777777" w:rsidTr="007B4C60">
        <w:trPr>
          <w:trHeight w:val="2317"/>
        </w:trPr>
        <w:tc>
          <w:tcPr>
            <w:tcW w:w="943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93745" w14:textId="39E5D37A" w:rsidR="00097F73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relative to 1950                                                                                                                                                                          ** Initial surface estimated to be between 1340'</w:t>
            </w:r>
            <w:r w:rsidR="00097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097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60' based on observations at the meander site. Initial elevation set to 1351' for consistency in total amount of incision between this and other downcutting scenarios. </w:t>
            </w:r>
          </w:p>
          <w:p w14:paraId="4E36920E" w14:textId="40EEC2B7" w:rsidR="00F037CD" w:rsidRPr="00F037CD" w:rsidRDefault="00F037CD" w:rsidP="00097F7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*** Sample</w:t>
            </w:r>
            <w:r w:rsidR="00097F7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located 2' above MT-34. This would imply aggradation to the model, of which none is observed. Thus this elevation was adjusted to the elevation of MT-34.</w:t>
            </w:r>
          </w:p>
        </w:tc>
      </w:tr>
    </w:tbl>
    <w:p w14:paraId="2421979A" w14:textId="77777777" w:rsidR="00203353" w:rsidRDefault="00203353" w:rsidP="00F037C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E74AD63" w14:textId="77777777" w:rsidR="00203353" w:rsidRDefault="0020335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837A5CC" w14:textId="37C1BCCC" w:rsidR="00F037CD" w:rsidRPr="00F037CD" w:rsidRDefault="00F037CD" w:rsidP="00F037CD">
      <w:pPr>
        <w:rPr>
          <w:rFonts w:ascii="Arial" w:hAnsi="Arial" w:cs="Arial"/>
          <w:sz w:val="20"/>
          <w:szCs w:val="20"/>
        </w:rPr>
      </w:pPr>
      <w:r w:rsidRPr="00203353">
        <w:rPr>
          <w:rFonts w:ascii="Arial" w:eastAsia="Times New Roman" w:hAnsi="Arial" w:cs="Arial"/>
          <w:b/>
          <w:color w:val="000000"/>
          <w:sz w:val="20"/>
          <w:szCs w:val="20"/>
        </w:rPr>
        <w:t>Table 2.</w:t>
      </w:r>
      <w:r w:rsidRPr="00F037CD">
        <w:rPr>
          <w:rFonts w:ascii="Arial" w:eastAsia="Times New Roman" w:hAnsi="Arial" w:cs="Arial"/>
          <w:color w:val="000000"/>
          <w:sz w:val="20"/>
          <w:szCs w:val="20"/>
        </w:rPr>
        <w:t xml:space="preserve"> Buttermilk Context scenario</w:t>
      </w:r>
    </w:p>
    <w:p w14:paraId="39E0784C" w14:textId="77777777" w:rsidR="00F037CD" w:rsidRPr="00F037CD" w:rsidRDefault="00F037CD" w:rsidP="00F037CD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990"/>
        <w:gridCol w:w="1751"/>
        <w:gridCol w:w="842"/>
        <w:gridCol w:w="450"/>
        <w:gridCol w:w="5480"/>
      </w:tblGrid>
      <w:tr w:rsidR="00F037CD" w:rsidRPr="00F037CD" w14:paraId="74443E81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D8BE" w14:textId="77777777" w:rsidR="00F037CD" w:rsidRPr="00F037CD" w:rsidRDefault="00F037CD" w:rsidP="007B4C6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E8C2" w14:textId="434813F9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Elevation of Buttermilk C</w:t>
            </w:r>
            <w:r w:rsidR="00A43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reek at its junction with Frank</w:t>
            </w: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 Creek (ft)</w:t>
            </w:r>
          </w:p>
        </w:tc>
      </w:tr>
      <w:tr w:rsidR="00F037CD" w:rsidRPr="00F037CD" w14:paraId="1EA7081B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782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(YBP)*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AEC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Modern Channel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E494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Above MSL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B9AA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759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 of Age</w:t>
            </w:r>
          </w:p>
        </w:tc>
      </w:tr>
      <w:tr w:rsidR="00F037CD" w:rsidRPr="00F037CD" w14:paraId="39B1067D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B1C7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DB1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B2E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1340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646B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07F4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Youngest wood in Simmonds Rd/Kent moraine site and Genesee Valley site</w:t>
            </w:r>
          </w:p>
        </w:tc>
      </w:tr>
      <w:tr w:rsidR="00F037CD" w:rsidRPr="00F037CD" w14:paraId="56A8DA22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C42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BE5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10D1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1295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8CE48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8E6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Projected trench T-7</w:t>
            </w:r>
          </w:p>
        </w:tc>
      </w:tr>
      <w:tr w:rsidR="00F037CD" w:rsidRPr="00F037CD" w14:paraId="21E6E52C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1B5A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9495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0CBB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553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1285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40B5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2C1B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Projected Meander Trench MT-34</w:t>
            </w:r>
          </w:p>
        </w:tc>
      </w:tr>
      <w:tr w:rsidR="00F037CD" w:rsidRPr="00F037CD" w14:paraId="2EC338B8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88E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5632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B712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0D5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1285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DB91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0C4A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Projected Meander Trench MT-38</w:t>
            </w:r>
          </w:p>
        </w:tc>
      </w:tr>
      <w:tr w:rsidR="00F037CD" w:rsidRPr="00F037CD" w14:paraId="2756A95A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C06A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3785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669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9983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1223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EF7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568A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Projected Heinz terrace-3 trench HT-7</w:t>
            </w:r>
          </w:p>
        </w:tc>
      </w:tr>
      <w:tr w:rsidR="00F037CD" w:rsidRPr="00F037CD" w14:paraId="218CF290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A488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3D025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F402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1195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F07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4244" w14:textId="77777777" w:rsidR="00F037CD" w:rsidRPr="00F037CD" w:rsidRDefault="00F037CD" w:rsidP="007B4C60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037CD" w:rsidRPr="00F037CD" w14:paraId="467EBD0C" w14:textId="77777777" w:rsidTr="007B4C60">
        <w:trPr>
          <w:trHeight w:val="3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3935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741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B9A6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1181</w:t>
            </w:r>
          </w:p>
        </w:tc>
        <w:tc>
          <w:tcPr>
            <w:tcW w:w="2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089F" w14:textId="77777777" w:rsidR="00F037CD" w:rsidRPr="00F037CD" w:rsidRDefault="00F037CD" w:rsidP="007B4C60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B24" w14:textId="023F02DD" w:rsidR="00F037CD" w:rsidRPr="00F037CD" w:rsidRDefault="00F037CD" w:rsidP="0003059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Modern </w:t>
            </w:r>
            <w:r w:rsidR="00030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Elevation of Buttermilk Creek at its junction with Franks Creek</w:t>
            </w:r>
            <w:bookmarkStart w:id="0" w:name="_GoBack"/>
            <w:bookmarkEnd w:id="0"/>
          </w:p>
        </w:tc>
      </w:tr>
      <w:tr w:rsidR="00F037CD" w:rsidRPr="00F037CD" w14:paraId="1CD0E3A7" w14:textId="77777777" w:rsidTr="007B4C60">
        <w:trPr>
          <w:trHeight w:val="1300"/>
        </w:trPr>
        <w:tc>
          <w:tcPr>
            <w:tcW w:w="9360" w:type="dxa"/>
            <w:gridSpan w:val="5"/>
            <w:tcBorders>
              <w:top w:val="single" w:sz="4" w:space="0" w:color="auto"/>
            </w:tcBorders>
            <w:shd w:val="clear" w:color="auto" w:fill="auto"/>
            <w:hideMark/>
          </w:tcPr>
          <w:p w14:paraId="072750B3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 relative to 1950                                                                                                                                </w:t>
            </w:r>
          </w:p>
          <w:p w14:paraId="0A4FA69E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** Elevation of initial surface chosen based on Figure 4.5-1                                           </w:t>
            </w:r>
          </w:p>
          <w:p w14:paraId="2CB7A8BB" w14:textId="77777777" w:rsidR="00F037CD" w:rsidRPr="00F037CD" w:rsidRDefault="00F037CD" w:rsidP="007B4C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037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***Additional samples are located at the abandoned meander site with dates between 9495 YBP and 5632 YBP. </w:t>
            </w:r>
          </w:p>
        </w:tc>
      </w:tr>
    </w:tbl>
    <w:p w14:paraId="11FFAFB7" w14:textId="77777777" w:rsidR="00F037CD" w:rsidRPr="00F037CD" w:rsidRDefault="00F037CD" w:rsidP="00E82D5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1904CCF6" w14:textId="77777777" w:rsidR="00F037CD" w:rsidRPr="00F037CD" w:rsidRDefault="00F037CD" w:rsidP="00E82D5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BCC0F16" w14:textId="77777777" w:rsidR="00203353" w:rsidRDefault="00203353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4089FA13" w14:textId="77777777" w:rsidR="00F037CD" w:rsidRPr="00F037CD" w:rsidRDefault="00F037CD" w:rsidP="00E82D5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96DBC6C" w14:textId="77777777" w:rsidR="00F037CD" w:rsidRPr="00F037CD" w:rsidRDefault="00F037CD" w:rsidP="00E82D5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6320494" w14:textId="77777777" w:rsidR="00F037CD" w:rsidRPr="00F037CD" w:rsidRDefault="00F037CD" w:rsidP="00E82D5D">
      <w:pPr>
        <w:rPr>
          <w:rFonts w:ascii="Arial" w:hAnsi="Arial" w:cs="Arial"/>
          <w:sz w:val="20"/>
          <w:szCs w:val="20"/>
        </w:rPr>
      </w:pPr>
    </w:p>
    <w:p w14:paraId="27E68F63" w14:textId="77777777" w:rsidR="00F037CD" w:rsidRPr="00F037CD" w:rsidRDefault="00F037CD" w:rsidP="00E82D5D">
      <w:pPr>
        <w:rPr>
          <w:rFonts w:ascii="Arial" w:hAnsi="Arial" w:cs="Arial"/>
          <w:sz w:val="20"/>
          <w:szCs w:val="20"/>
        </w:rPr>
      </w:pPr>
    </w:p>
    <w:p w14:paraId="531798D6" w14:textId="77777777" w:rsidR="00F037CD" w:rsidRPr="00F037CD" w:rsidRDefault="00F037CD" w:rsidP="00E82D5D">
      <w:pPr>
        <w:rPr>
          <w:rFonts w:ascii="Arial" w:hAnsi="Arial" w:cs="Arial"/>
          <w:sz w:val="20"/>
          <w:szCs w:val="20"/>
        </w:rPr>
      </w:pPr>
    </w:p>
    <w:p w14:paraId="4B4F3BB5" w14:textId="77777777" w:rsidR="00F037CD" w:rsidRPr="00F037CD" w:rsidRDefault="00F037CD" w:rsidP="00E82D5D">
      <w:pPr>
        <w:rPr>
          <w:rFonts w:ascii="Arial" w:hAnsi="Arial" w:cs="Arial"/>
          <w:sz w:val="20"/>
          <w:szCs w:val="20"/>
        </w:rPr>
      </w:pPr>
    </w:p>
    <w:p w14:paraId="3E35F985" w14:textId="77777777" w:rsidR="00F037CD" w:rsidRPr="00F037CD" w:rsidRDefault="00F037CD">
      <w:pPr>
        <w:rPr>
          <w:rFonts w:ascii="Arial" w:hAnsi="Arial" w:cs="Arial"/>
          <w:sz w:val="20"/>
          <w:szCs w:val="20"/>
        </w:rPr>
      </w:pPr>
    </w:p>
    <w:sectPr w:rsidR="00F037CD" w:rsidRPr="00F037CD" w:rsidSect="00CA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54909" w14:textId="77777777" w:rsidR="00252D07" w:rsidRDefault="00252D07" w:rsidP="00E22393">
      <w:r>
        <w:separator/>
      </w:r>
    </w:p>
  </w:endnote>
  <w:endnote w:type="continuationSeparator" w:id="0">
    <w:p w14:paraId="2E19C1DE" w14:textId="77777777" w:rsidR="00252D07" w:rsidRDefault="00252D07" w:rsidP="00E22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6FEBAD" w14:textId="77777777" w:rsidR="00252D07" w:rsidRDefault="00252D07" w:rsidP="00E22393">
      <w:r>
        <w:separator/>
      </w:r>
    </w:p>
  </w:footnote>
  <w:footnote w:type="continuationSeparator" w:id="0">
    <w:p w14:paraId="4B2AEC2E" w14:textId="77777777" w:rsidR="00252D07" w:rsidRDefault="00252D07" w:rsidP="00E223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49"/>
    <w:rsid w:val="00016BDF"/>
    <w:rsid w:val="00030597"/>
    <w:rsid w:val="00040DB9"/>
    <w:rsid w:val="000821B8"/>
    <w:rsid w:val="00093180"/>
    <w:rsid w:val="00097F73"/>
    <w:rsid w:val="000B4AD7"/>
    <w:rsid w:val="000C0273"/>
    <w:rsid w:val="000E27F7"/>
    <w:rsid w:val="001540C5"/>
    <w:rsid w:val="00173A3C"/>
    <w:rsid w:val="00173D26"/>
    <w:rsid w:val="00192178"/>
    <w:rsid w:val="001F2DB6"/>
    <w:rsid w:val="0020019D"/>
    <w:rsid w:val="00203353"/>
    <w:rsid w:val="00213D7A"/>
    <w:rsid w:val="00227233"/>
    <w:rsid w:val="00233423"/>
    <w:rsid w:val="00246130"/>
    <w:rsid w:val="00252D07"/>
    <w:rsid w:val="002548FD"/>
    <w:rsid w:val="003017BE"/>
    <w:rsid w:val="00304DDA"/>
    <w:rsid w:val="00330DC4"/>
    <w:rsid w:val="00354EC2"/>
    <w:rsid w:val="003A67A9"/>
    <w:rsid w:val="003F777B"/>
    <w:rsid w:val="00433270"/>
    <w:rsid w:val="00494D52"/>
    <w:rsid w:val="004B0B07"/>
    <w:rsid w:val="004B1B0E"/>
    <w:rsid w:val="005035C9"/>
    <w:rsid w:val="00524BBE"/>
    <w:rsid w:val="00562DBE"/>
    <w:rsid w:val="00576991"/>
    <w:rsid w:val="00623316"/>
    <w:rsid w:val="00634823"/>
    <w:rsid w:val="0063574B"/>
    <w:rsid w:val="00653BDE"/>
    <w:rsid w:val="006650B1"/>
    <w:rsid w:val="006666DE"/>
    <w:rsid w:val="007237EC"/>
    <w:rsid w:val="00834C05"/>
    <w:rsid w:val="0086029E"/>
    <w:rsid w:val="00883155"/>
    <w:rsid w:val="00894615"/>
    <w:rsid w:val="008B6D78"/>
    <w:rsid w:val="008F793F"/>
    <w:rsid w:val="00932EF2"/>
    <w:rsid w:val="00940B49"/>
    <w:rsid w:val="0094665C"/>
    <w:rsid w:val="009660D6"/>
    <w:rsid w:val="00A00048"/>
    <w:rsid w:val="00A43493"/>
    <w:rsid w:val="00A4450F"/>
    <w:rsid w:val="00B202D5"/>
    <w:rsid w:val="00B7223E"/>
    <w:rsid w:val="00B8268A"/>
    <w:rsid w:val="00BA1CC4"/>
    <w:rsid w:val="00BC0B5E"/>
    <w:rsid w:val="00CA4FFB"/>
    <w:rsid w:val="00D57A1D"/>
    <w:rsid w:val="00D618B8"/>
    <w:rsid w:val="00E22393"/>
    <w:rsid w:val="00E2565E"/>
    <w:rsid w:val="00E82D5D"/>
    <w:rsid w:val="00F037CD"/>
    <w:rsid w:val="00F21844"/>
    <w:rsid w:val="00F60F9D"/>
    <w:rsid w:val="00F62DF1"/>
    <w:rsid w:val="00F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5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37C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37EC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2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39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22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393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001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9D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019D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1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1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786</Words>
  <Characters>4485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#.#.# Section Introduction</vt:lpstr>
    </vt:vector>
  </TitlesOfParts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2017-06-01T16:57:00Z</dcterms:created>
  <dcterms:modified xsi:type="dcterms:W3CDTF">2017-06-07T17:08:00Z</dcterms:modified>
</cp:coreProperties>
</file>