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4E79"/>
          <w:sz w:val="36"/>
          <w:szCs w:val="36"/>
        </w:rPr>
        <w:t xml:space="preserve">Clonal Hematopoiesis of Indeterminate Potential</w:t>
      </w:r>
    </w:p>
    <w:p>
      <w:pPr>
        <w:spacing w:after="120"/>
        <w:jc w:val="left"/>
      </w:pPr>
      <w:r>
        <w:rPr>
          <w:rFonts w:ascii="Arial" w:cs="Arial" w:eastAsia="Arial" w:hAnsi="Arial"/>
          <w:b/>
          <w:bCs/>
          <w:color w:val="1F4E79"/>
          <w:sz w:val="36"/>
          <w:szCs w:val="36"/>
        </w:rPr>
        <w:t xml:space="preserve">and Cardiovascular Risk</w:t>
      </w:r>
    </w:p>
    <w:p>
      <w:pPr>
        <w:spacing w:after="80"/>
      </w:pPr>
      <w:r>
        <w:rPr>
          <w:rFonts w:ascii="Arial" w:cs="Arial" w:eastAsia="Arial" w:hAnsi="Arial"/>
          <w:i/>
          <w:iCs/>
          <w:color w:val="2E75B6"/>
          <w:sz w:val="26"/>
          <w:szCs w:val="26"/>
        </w:rPr>
        <w:t xml:space="preserve">Clinical Implications for the Practicing Internist</w:t>
      </w:r>
    </w:p>
    <w:p>
      <w:pPr>
        <w:spacing w:after="40"/>
      </w:pPr>
      <w:r>
        <w:rPr>
          <w:rFonts w:ascii="Arial" w:cs="Arial" w:eastAsia="Arial" w:hAnsi="Arial"/>
          <w:color w:val="888888"/>
          <w:sz w:val="20"/>
          <w:szCs w:val="20"/>
        </w:rPr>
        <w:t xml:space="preserve">David Comstock, MD  ·  Department of Internal Medicine  ·  Guthrie Lourdes Hospital  ·  May 2026</w:t>
      </w:r>
    </w:p>
    <w:p>
      <w:pPr>
        <w:pBdr>
          <w:bottom w:val="single" w:color="2E75B6"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4"/>
              <w:right w:val="single" w:color="2E75B6" w:sz="4"/>
            </w:tcBorders>
            <w:shd w:fill="D6E4F0"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Key Points for the Practicing Internist</w:t>
            </w:r>
          </w:p>
          <w:p>
            <w:pPr>
              <w:spacing w:after="60"/>
            </w:pPr>
            <w:r>
              <w:rPr>
                <w:rFonts w:ascii="Arial" w:cs="Arial" w:eastAsia="Arial" w:hAnsi="Arial"/>
                <w:color w:val="404040"/>
                <w:sz w:val="21"/>
                <w:szCs w:val="21"/>
              </w:rPr>
              <w:t xml:space="preserve">•  CHIP affects ~10% of adults aged 70–79, rising to ~18% in those over age 90, and confers a 2-fold increased risk of coronary heart disease independent of traditional risk factors.</w:t>
            </w:r>
          </w:p>
          <w:p>
            <w:pPr>
              <w:spacing w:after="60"/>
            </w:pPr>
            <w:r>
              <w:rPr>
                <w:rFonts w:ascii="Arial" w:cs="Arial" w:eastAsia="Arial" w:hAnsi="Arial"/>
                <w:color w:val="404040"/>
                <w:sz w:val="21"/>
                <w:szCs w:val="21"/>
              </w:rPr>
              <w:t xml:space="preserve">•  TET2-CHIP is specifically associated with a 2.35-fold increased risk of HFpEF and amplified risk in the setting of systemic inflammation.</w:t>
            </w:r>
          </w:p>
          <w:p>
            <w:pPr>
              <w:spacing w:after="60"/>
            </w:pPr>
            <w:r>
              <w:rPr>
                <w:rFonts w:ascii="Arial" w:cs="Arial" w:eastAsia="Arial" w:hAnsi="Arial"/>
                <w:color w:val="404040"/>
                <w:sz w:val="21"/>
                <w:szCs w:val="21"/>
              </w:rPr>
              <w:t xml:space="preserve">•  The primary mechanism is IL-1β-driven macrophage activation, not leukemia—making CHIP a cardiovascular disease rather than primarily a hematologic one.</w:t>
            </w:r>
          </w:p>
          <w:p>
            <w:pPr>
              <w:spacing w:after="60"/>
            </w:pPr>
            <w:r>
              <w:rPr>
                <w:rFonts w:ascii="Arial" w:cs="Arial" w:eastAsia="Arial" w:hAnsi="Arial"/>
                <w:color w:val="404040"/>
                <w:sz w:val="21"/>
                <w:szCs w:val="21"/>
              </w:rPr>
              <w:t xml:space="preserve">•  Unexplained cytopenias or macrocytosis in elderly patients should prompt consideration of CCUS/CHIP, especially in agricultural or high-exposure populations.</w:t>
            </w:r>
          </w:p>
          <w:p>
            <w:pPr>
              <w:spacing w:after="60"/>
            </w:pPr>
            <w:r>
              <w:rPr>
                <w:rFonts w:ascii="Arial" w:cs="Arial" w:eastAsia="Arial" w:hAnsi="Arial"/>
                <w:color w:val="404040"/>
                <w:sz w:val="21"/>
                <w:szCs w:val="21"/>
              </w:rPr>
              <w:t xml:space="preserve">•  Exploratory data from CANTOS suggest TET2-CHIP carriers may derive preferential benefit from IL-1β inhibition—a finding with immediate translational implications.</w:t>
            </w:r>
          </w:p>
        </w:tc>
      </w:tr>
    </w:tbl>
    <w:p>
      <w:pPr>
        <w:spacing w:after="20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Introduction</w:t>
      </w:r>
    </w:p>
    <w:p>
      <w:pPr>
        <w:spacing w:after="120"/>
        <w:jc w:val="both"/>
      </w:pPr>
      <w:r>
        <w:rPr>
          <w:rFonts w:ascii="Arial" w:cs="Arial" w:eastAsia="Arial" w:hAnsi="Arial"/>
          <w:color w:val="404040"/>
          <w:sz w:val="22"/>
          <w:szCs w:val="22"/>
        </w:rPr>
        <w:t xml:space="preserve">Clonal hematopoiesis of indeterminate potential (CHIP) has emerged over the past decade as one of the most consequential intersections of molecular aging biology and cardiovascular medicine. First characterized systematically in landmark 2014 studies, CHIP describes the age-associated acquisition of somatic mutations in hematopoietic stem cell driver genes—most commonly </w:t>
      </w: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 and </w:t>
      </w:r>
      <w:r>
        <w:rPr>
          <w:rFonts w:ascii="Arial" w:cs="Arial" w:eastAsia="Arial" w:hAnsi="Arial"/>
          <w:i/>
          <w:iCs/>
          <w:color w:val="404040"/>
          <w:sz w:val="22"/>
          <w:szCs w:val="22"/>
        </w:rPr>
        <w:t xml:space="preserve">ASXL1</w:t>
      </w:r>
      <w:r>
        <w:rPr>
          <w:rFonts w:ascii="Arial" w:cs="Arial" w:eastAsia="Arial" w:hAnsi="Arial"/>
          <w:color w:val="404040"/>
          <w:sz w:val="22"/>
          <w:szCs w:val="22"/>
        </w:rPr>
        <w:t xml:space="preserve">—that confer a fitness advantage enabling clonal expansion detectable in peripheral blood. Although CHIP carries no cytopenia by definition and does not meet criteria for a hematologic malignancy, the cardiovascular consequences of clonal expansion are clinically profound and increasingly actionable.</w:t>
      </w:r>
    </w:p>
    <w:p>
      <w:pPr>
        <w:spacing w:after="80"/>
      </w:pPr>
      <w:r>
        <w:t xml:space="preserve"/>
      </w:r>
    </w:p>
    <w:p>
      <w:pPr>
        <w:spacing w:after="120"/>
        <w:jc w:val="both"/>
      </w:pPr>
      <w:r>
        <w:rPr>
          <w:rFonts w:ascii="Arial" w:cs="Arial" w:eastAsia="Arial" w:hAnsi="Arial"/>
          <w:color w:val="404040"/>
          <w:sz w:val="22"/>
          <w:szCs w:val="22"/>
        </w:rPr>
        <w:t xml:space="preserve">For the practicing internist, CHIP represents an important paradigm shift: a molecular aging phenotype detectable from a peripheral blood sample that independently predicts future myocardial infarction, heart failure, and all-cause mortality—beyond what Framingham risk variables capture. This review synthesizes the foundational evidence linking CHIP to cardiovascular disease, outlines a mechanistically coherent pathophysiological framework, and provides a practical clinical approach relevant to the ambulatory general internist caring for elderly patients.</w:t>
      </w:r>
    </w:p>
    <w:p>
      <w:pPr>
        <w:pStyle w:val="Heading1"/>
        <w:pBdr>
          <w:bottom w:val="single" w:color="2E75B6" w:sz="8" w:space="4"/>
        </w:pBdr>
        <w:spacing w:after="160" w:before="320"/>
      </w:pPr>
      <w:r>
        <w:rPr>
          <w:rFonts w:ascii="Arial" w:cs="Arial" w:eastAsia="Arial" w:hAnsi="Arial"/>
          <w:b/>
          <w:bCs/>
          <w:color w:val="1F4E79"/>
          <w:sz w:val="28"/>
          <w:szCs w:val="28"/>
        </w:rPr>
        <w:t xml:space="preserve">Definitions and Epidemiology</w:t>
      </w:r>
    </w:p>
    <w:p>
      <w:pPr>
        <w:pStyle w:val="Heading2"/>
        <w:spacing w:after="120" w:before="240"/>
      </w:pPr>
      <w:r>
        <w:rPr>
          <w:rFonts w:ascii="Arial" w:cs="Arial" w:eastAsia="Arial" w:hAnsi="Arial"/>
          <w:b/>
          <w:bCs/>
          <w:color w:val="2E75B6"/>
          <w:sz w:val="24"/>
          <w:szCs w:val="24"/>
        </w:rPr>
        <w:t xml:space="preserve">CHIP, CCUS, and the Clonal Spectrum</w:t>
      </w:r>
    </w:p>
    <w:p>
      <w:pPr>
        <w:spacing w:after="120"/>
        <w:jc w:val="both"/>
      </w:pPr>
      <w:r>
        <w:rPr>
          <w:rFonts w:ascii="Arial" w:cs="Arial" w:eastAsia="Arial" w:hAnsi="Arial"/>
          <w:b/>
          <w:bCs/>
          <w:color w:val="404040"/>
          <w:sz w:val="22"/>
          <w:szCs w:val="22"/>
        </w:rPr>
        <w:t xml:space="preserve">CHIP </w:t>
      </w:r>
      <w:r>
        <w:rPr>
          <w:rFonts w:ascii="Arial" w:cs="Arial" w:eastAsia="Arial" w:hAnsi="Arial"/>
          <w:color w:val="404040"/>
          <w:sz w:val="22"/>
          <w:szCs w:val="22"/>
        </w:rPr>
        <w:t xml:space="preserve">(clonal hematopoiesis of indeterminate potential) is defined by: (1) the presence of a somatic mutation in a hematopoietic driver gene at a variant allele frequency (VAF) ≥2% in peripheral blood, (2) the absence of cytopenias meeting World Health Organization diagnostic thresholds, and (3) no diagnosis of a hematologic malignancy or other clonal disorder. The 2% VAF threshold implies that at least 4% of circulating leukocytes carry the mutation—a sizable clonal burden reflecting significant in vivo selection pressure.</w:t>
      </w:r>
    </w:p>
    <w:p>
      <w:pPr>
        <w:spacing w:after="80"/>
      </w:pPr>
      <w:r>
        <w:t xml:space="preserve"/>
      </w:r>
    </w:p>
    <w:p>
      <w:pPr>
        <w:spacing w:after="120"/>
        <w:jc w:val="both"/>
      </w:pPr>
      <w:r>
        <w:rPr>
          <w:rFonts w:ascii="Arial" w:cs="Arial" w:eastAsia="Arial" w:hAnsi="Arial"/>
          <w:b/>
          <w:bCs/>
          <w:color w:val="404040"/>
          <w:sz w:val="22"/>
          <w:szCs w:val="22"/>
        </w:rPr>
        <w:t xml:space="preserve">CCUS </w:t>
      </w:r>
      <w:r>
        <w:rPr>
          <w:rFonts w:ascii="Arial" w:cs="Arial" w:eastAsia="Arial" w:hAnsi="Arial"/>
          <w:color w:val="404040"/>
          <w:sz w:val="22"/>
          <w:szCs w:val="22"/>
        </w:rPr>
        <w:t xml:space="preserve">(clonal cytopenia of undetermined significance) describes CHIP co-occurring with unexplained peripheral cytopenias (hemoglobin &lt;13 g/dL in men or &lt;12 g/dL in women, platelets &lt;150 × 10⁹/L, or ANC &lt;1.8 × 10⁹/L) after excluding nutritional deficiency, medication effect, and other reversible causes. CCUS carries a markedly higher risk of hematologic malignancy than CHIP alone—estimated at 10–20% over 5 years versus ~0.5–1% per year for CHIP—and should prompt hematology referral.</w:t>
      </w:r>
    </w:p>
    <w:p>
      <w:pPr>
        <w:spacing w:after="80"/>
      </w:pPr>
      <w:r>
        <w:t xml:space="preserve"/>
      </w:r>
    </w:p>
    <w:p>
      <w:pPr>
        <w:spacing w:after="120"/>
        <w:jc w:val="both"/>
      </w:pPr>
      <w:r>
        <w:rPr>
          <w:rFonts w:ascii="Arial" w:cs="Arial" w:eastAsia="Arial" w:hAnsi="Arial"/>
          <w:b/>
          <w:bCs/>
          <w:color w:val="404040"/>
          <w:sz w:val="22"/>
          <w:szCs w:val="22"/>
        </w:rPr>
        <w:t xml:space="preserve">CHIP with indeterminate potential vs. clonal hematopoiesis with oncogenic potential (CHOP): </w:t>
      </w:r>
      <w:r>
        <w:rPr>
          <w:rFonts w:ascii="Arial" w:cs="Arial" w:eastAsia="Arial" w:hAnsi="Arial"/>
          <w:color w:val="404040"/>
          <w:sz w:val="22"/>
          <w:szCs w:val="22"/>
        </w:rPr>
        <w:t xml:space="preserve">Mutations in </w:t>
      </w:r>
      <w:r>
        <w:rPr>
          <w:rFonts w:ascii="Arial" w:cs="Arial" w:eastAsia="Arial" w:hAnsi="Arial"/>
          <w:i/>
          <w:iCs/>
          <w:color w:val="404040"/>
          <w:sz w:val="22"/>
          <w:szCs w:val="22"/>
        </w:rPr>
        <w:t xml:space="preserve">SF3B1</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SRSF2</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U2AF1</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TP53</w:t>
      </w:r>
      <w:r>
        <w:rPr>
          <w:rFonts w:ascii="Arial" w:cs="Arial" w:eastAsia="Arial" w:hAnsi="Arial"/>
          <w:color w:val="404040"/>
          <w:sz w:val="22"/>
          <w:szCs w:val="22"/>
        </w:rPr>
        <w:t xml:space="preserve">, and </w:t>
      </w:r>
      <w:r>
        <w:rPr>
          <w:rFonts w:ascii="Arial" w:cs="Arial" w:eastAsia="Arial" w:hAnsi="Arial"/>
          <w:i/>
          <w:iCs/>
          <w:color w:val="404040"/>
          <w:sz w:val="22"/>
          <w:szCs w:val="22"/>
        </w:rPr>
        <w:t xml:space="preserve">RUNX1</w:t>
      </w:r>
      <w:r>
        <w:rPr>
          <w:rFonts w:ascii="Arial" w:cs="Arial" w:eastAsia="Arial" w:hAnsi="Arial"/>
          <w:color w:val="404040"/>
          <w:sz w:val="22"/>
          <w:szCs w:val="22"/>
        </w:rPr>
        <w:t xml:space="preserve"> carry higher leukemic transformation risk than </w:t>
      </w: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 or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 mutations at low VAF and are sometimes distinguished as CHOP—a clinically relevant distinction with different monitoring and referral implications.</w:t>
      </w:r>
    </w:p>
    <w:p>
      <w:pPr>
        <w:pStyle w:val="Heading2"/>
        <w:spacing w:after="120" w:before="240"/>
      </w:pPr>
      <w:r>
        <w:rPr>
          <w:rFonts w:ascii="Arial" w:cs="Arial" w:eastAsia="Arial" w:hAnsi="Arial"/>
          <w:b/>
          <w:bCs/>
          <w:color w:val="2E75B6"/>
          <w:sz w:val="24"/>
          <w:szCs w:val="24"/>
        </w:rPr>
        <w:t xml:space="preserve">Prevalence and Age-Related Incidence</w:t>
      </w:r>
    </w:p>
    <w:p>
      <w:pPr>
        <w:spacing w:after="120"/>
        <w:jc w:val="both"/>
      </w:pPr>
      <w:r>
        <w:rPr>
          <w:rFonts w:ascii="Arial" w:cs="Arial" w:eastAsia="Arial" w:hAnsi="Arial"/>
          <w:color w:val="404040"/>
          <w:sz w:val="22"/>
          <w:szCs w:val="22"/>
        </w:rPr>
        <w:t xml:space="preserve">CHIP prevalence is strongly age-dependent. In large whole-exome sequencing (WES) cohort studies, CHIP is detectable in fewer than 1% of adults under 40 but rises steeply with age:</w:t>
      </w:r>
    </w:p>
    <w:p>
      <w:pPr>
        <w:spacing w:after="60"/>
      </w:pPr>
      <w:r>
        <w:t xml:space="preserve"/>
      </w:r>
    </w:p>
    <w:p>
      <w:pPr>
        <w:pStyle w:val="ListParagraph"/>
        <w:numPr>
          <w:ilvl w:val="0"/>
          <w:numId w:val="2"/>
        </w:numPr>
        <w:spacing w:after="80"/>
      </w:pPr>
      <w:r>
        <w:rPr>
          <w:rFonts w:ascii="Arial" w:cs="Arial" w:eastAsia="Arial" w:hAnsi="Arial"/>
          <w:color w:val="404040"/>
          <w:sz w:val="22"/>
          <w:szCs w:val="22"/>
        </w:rPr>
        <w:t xml:space="preserve">~5% of adults aged 65–69 (estimated from extrapolation; this stratum was not separately reported in Jaiswal 2014)</w:t>
      </w:r>
    </w:p>
    <w:p>
      <w:pPr>
        <w:pStyle w:val="ListParagraph"/>
        <w:numPr>
          <w:ilvl w:val="0"/>
          <w:numId w:val="2"/>
        </w:numPr>
        <w:spacing w:after="80"/>
      </w:pPr>
      <w:r>
        <w:rPr>
          <w:rFonts w:ascii="Arial" w:cs="Arial" w:eastAsia="Arial" w:hAnsi="Arial"/>
          <w:color w:val="404040"/>
          <w:sz w:val="22"/>
          <w:szCs w:val="22"/>
        </w:rPr>
        <w:t xml:space="preserve">~9.5% of adults aged 70–79</w:t>
      </w:r>
    </w:p>
    <w:p>
      <w:pPr>
        <w:pStyle w:val="ListParagraph"/>
        <w:numPr>
          <w:ilvl w:val="0"/>
          <w:numId w:val="2"/>
        </w:numPr>
        <w:spacing w:after="80"/>
      </w:pPr>
      <w:r>
        <w:rPr>
          <w:rFonts w:ascii="Arial" w:cs="Arial" w:eastAsia="Arial" w:hAnsi="Arial"/>
          <w:color w:val="404040"/>
          <w:sz w:val="22"/>
          <w:szCs w:val="22"/>
        </w:rPr>
        <w:t xml:space="preserve">~11.7% of adults aged 80–89</w:t>
      </w:r>
    </w:p>
    <w:p>
      <w:pPr>
        <w:pStyle w:val="ListParagraph"/>
        <w:numPr>
          <w:ilvl w:val="0"/>
          <w:numId w:val="2"/>
        </w:numPr>
        <w:spacing w:after="80"/>
      </w:pPr>
      <w:r>
        <w:rPr>
          <w:rFonts w:ascii="Arial" w:cs="Arial" w:eastAsia="Arial" w:hAnsi="Arial"/>
          <w:color w:val="404040"/>
          <w:sz w:val="22"/>
          <w:szCs w:val="22"/>
        </w:rPr>
        <w:t xml:space="preserve">~18% of adults aged 90 and older</w:t>
      </w:r>
    </w:p>
    <w:p>
      <w:pPr>
        <w:spacing w:after="80"/>
      </w:pPr>
      <w:r>
        <w:t xml:space="preserve"/>
      </w:r>
    </w:p>
    <w:p>
      <w:pPr>
        <w:spacing w:after="120"/>
        <w:jc w:val="both"/>
      </w:pPr>
      <w:r>
        <w:rPr>
          <w:rFonts w:ascii="Arial" w:cs="Arial" w:eastAsia="Arial" w:hAnsi="Arial"/>
          <w:color w:val="404040"/>
          <w:sz w:val="22"/>
          <w:szCs w:val="22"/>
        </w:rPr>
        <w:t xml:space="preserve">Importantly, these prevalence estimates are derived almost exclusively from urban biobank cohorts (UK Biobank, BioMe, the Atherosclerosis Risk in Communities study, Mass General Brigham Biobank). Rural agricultural populations—who may carry higher mutagen burdens from organophosphate and herbicide exposure—are underrepresented in the existing literature, and the true prevalence in this population remains unstudied.</w:t>
      </w:r>
    </w:p>
    <w:p>
      <w:pPr>
        <w:pStyle w:val="Heading1"/>
        <w:pBdr>
          <w:bottom w:val="single" w:color="2E75B6" w:sz="8" w:space="4"/>
        </w:pBdr>
        <w:spacing w:after="160" w:before="320"/>
      </w:pPr>
      <w:r>
        <w:rPr>
          <w:rFonts w:ascii="Arial" w:cs="Arial" w:eastAsia="Arial" w:hAnsi="Arial"/>
          <w:b/>
          <w:bCs/>
          <w:color w:val="1F4E79"/>
          <w:sz w:val="28"/>
          <w:szCs w:val="28"/>
        </w:rPr>
        <w:t xml:space="preserve">Pathophysiology: From Clonal Expansion to Cardiovascular Disease</w:t>
      </w:r>
    </w:p>
    <w:p>
      <w:pPr>
        <w:pStyle w:val="Heading2"/>
        <w:spacing w:after="120" w:before="240"/>
      </w:pPr>
      <w:r>
        <w:rPr>
          <w:rFonts w:ascii="Arial" w:cs="Arial" w:eastAsia="Arial" w:hAnsi="Arial"/>
          <w:b/>
          <w:bCs/>
          <w:color w:val="2E75B6"/>
          <w:sz w:val="24"/>
          <w:szCs w:val="24"/>
        </w:rPr>
        <w:t xml:space="preserve">Inflammatory Effector Mechanisms</w:t>
      </w:r>
    </w:p>
    <w:p>
      <w:pPr>
        <w:spacing w:after="120"/>
        <w:jc w:val="both"/>
      </w:pPr>
      <w:r>
        <w:rPr>
          <w:rFonts w:ascii="Arial" w:cs="Arial" w:eastAsia="Arial" w:hAnsi="Arial"/>
          <w:color w:val="404040"/>
          <w:sz w:val="22"/>
          <w:szCs w:val="22"/>
        </w:rPr>
        <w:t xml:space="preserve">The cardiovascular consequences of CHIP are mediated primarily through aberrant myeloid cell function rather than through leukemic transformation. This distinction is mechanistically critical: CHIP does not kill primarily by becoming leukemia. It kills through inflammation.</w:t>
      </w:r>
    </w:p>
    <w:p>
      <w:pPr>
        <w:spacing w:after="80"/>
      </w:pPr>
      <w:r>
        <w:t xml:space="preserve"/>
      </w:r>
    </w:p>
    <w:p>
      <w:pPr>
        <w:spacing w:after="120"/>
        <w:jc w:val="both"/>
      </w:pP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-mutant macrophages exhibit a hyperinflammatory phenotype characterized by excessive NLRP3 inflammasome-mediated IL-1β secretion. In a murine atherosclerosis model (Fuster et al., </w:t>
      </w:r>
      <w:r>
        <w:rPr>
          <w:rFonts w:ascii="Arial" w:cs="Arial" w:eastAsia="Arial" w:hAnsi="Arial"/>
          <w:i/>
          <w:iCs/>
          <w:color w:val="404040"/>
          <w:sz w:val="22"/>
          <w:szCs w:val="22"/>
        </w:rPr>
        <w:t xml:space="preserve">Science</w:t>
      </w:r>
      <w:r>
        <w:rPr>
          <w:rFonts w:ascii="Arial" w:cs="Arial" w:eastAsia="Arial" w:hAnsi="Arial"/>
          <w:color w:val="404040"/>
          <w:sz w:val="22"/>
          <w:szCs w:val="22"/>
        </w:rPr>
        <w:t xml:space="preserve">, 2017), partial bone marrow reconstitution with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-deficient cells in atherosclerosis-prone </w:t>
      </w:r>
      <w:r>
        <w:rPr>
          <w:rFonts w:ascii="Arial" w:cs="Arial" w:eastAsia="Arial" w:hAnsi="Arial"/>
          <w:i/>
          <w:iCs/>
          <w:color w:val="404040"/>
          <w:sz w:val="22"/>
          <w:szCs w:val="22"/>
        </w:rPr>
        <w:t xml:space="preserve">Ldlr</w:t>
      </w:r>
      <w:r>
        <w:rPr>
          <w:rFonts w:ascii="Arial" w:cs="Arial" w:eastAsia="Arial" w:hAnsi="Arial"/>
          <w:color w:val="404040"/>
          <w:sz w:val="22"/>
          <w:szCs w:val="22"/>
        </w:rPr>
        <w:t xml:space="preserve">−/− mice—a design specifically chosen to model the clonal minority dynamics of human CHIP—produced markedly accelerated plaque development. NLRP3 inhibition showed greater atheroprotective activity in chimeric than in non-chimeric mice, establishing a causal rather than merely associative link between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 loss and atherogenesis via the NLRP3–IL-1β axis.</w:t>
      </w:r>
    </w:p>
    <w:p>
      <w:pPr>
        <w:spacing w:after="80"/>
      </w:pPr>
      <w:r>
        <w:t xml:space="preserve"/>
      </w:r>
    </w:p>
    <w:p>
      <w:pPr>
        <w:spacing w:after="120"/>
        <w:jc w:val="both"/>
      </w:pP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-mutant clones operate through partially distinct mechanisms, with evidence for altered DNA methylation at inflammatory gene loci and dysregulated myeloid differentiation. The macrophage phenotype in </w:t>
      </w: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-CHIP is less uniformly hyperinflammatory than in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-CHIP, which likely explains the attenuated cardiovascular benefit from IL-1β inhibition observed in </w:t>
      </w: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-CHIP carriers in CANTOS.</w:t>
      </w:r>
    </w:p>
    <w:p>
      <w:pPr>
        <w:pStyle w:val="Heading2"/>
        <w:spacing w:after="120" w:before="240"/>
      </w:pPr>
      <w:r>
        <w:rPr>
          <w:rFonts w:ascii="Arial" w:cs="Arial" w:eastAsia="Arial" w:hAnsi="Arial"/>
          <w:b/>
          <w:bCs/>
          <w:color w:val="2E75B6"/>
          <w:sz w:val="24"/>
          <w:szCs w:val="24"/>
        </w:rPr>
        <w:t xml:space="preserve">The Inflammaging Connection</w:t>
      </w:r>
    </w:p>
    <w:p>
      <w:pPr>
        <w:spacing w:after="120"/>
        <w:jc w:val="both"/>
      </w:pPr>
      <w:r>
        <w:rPr>
          <w:rFonts w:ascii="Arial" w:cs="Arial" w:eastAsia="Arial" w:hAnsi="Arial"/>
          <w:color w:val="404040"/>
          <w:sz w:val="22"/>
          <w:szCs w:val="22"/>
        </w:rPr>
        <w:t xml:space="preserve">CHIP intersects with and amplifies the broader phenomenon of </w:t>
      </w:r>
      <w:r>
        <w:rPr>
          <w:rFonts w:ascii="Arial" w:cs="Arial" w:eastAsia="Arial" w:hAnsi="Arial"/>
          <w:i/>
          <w:iCs/>
          <w:color w:val="404040"/>
          <w:sz w:val="22"/>
          <w:szCs w:val="22"/>
        </w:rPr>
        <w:t xml:space="preserve">inflammaging</w:t>
      </w:r>
      <w:r>
        <w:rPr>
          <w:rFonts w:ascii="Arial" w:cs="Arial" w:eastAsia="Arial" w:hAnsi="Arial"/>
          <w:color w:val="404040"/>
          <w:sz w:val="22"/>
          <w:szCs w:val="22"/>
        </w:rPr>
        <w:t xml:space="preserve">—the chronic, low-grade systemic inflammatory state characteristic of aging—to produce a pathological amplification loop. Elevated circulating IL-6, CRP, and NLR (neutrophil-to-lymphocyte ratio), independently associated with cardiovascular risk in the elderly, are further elevated in CHIP carriers and may serve as accessible clinical surrogates for CHIP-related inflammatory burden.</w:t>
      </w:r>
    </w:p>
    <w:p>
      <w:pPr>
        <w:spacing w:after="80"/>
      </w:pPr>
      <w:r>
        <w:t xml:space="preserve"/>
      </w:r>
    </w:p>
    <w:p>
      <w:pPr>
        <w:spacing w:after="120"/>
        <w:jc w:val="both"/>
      </w:pPr>
      <w:r>
        <w:rPr>
          <w:rFonts w:ascii="Arial" w:cs="Arial" w:eastAsia="Arial" w:hAnsi="Arial"/>
          <w:color w:val="404040"/>
          <w:sz w:val="22"/>
          <w:szCs w:val="22"/>
        </w:rPr>
        <w:t xml:space="preserve">Mechanistically, aging-related changes in hematopoietic stem cell chromatin architecture (increased transcriptional noise, reduced epigenetic fidelity) predispose to the acquisition and selection of CHIP driver mutations—meaning that CHIP is simultaneously a product of inflammaging and a driver of its acceleration. The clinical implication is that routine inflammatory markers (hsCRP, NLR, albumin as negative acute-phase reactant) may serve as early, non-molecular flags for CHIP risk in populations where next-generation sequencing is not routinely available.</w:t>
      </w:r>
    </w:p>
    <w:p>
      <w:pPr>
        <w:pStyle w:val="Heading1"/>
        <w:pBdr>
          <w:bottom w:val="single" w:color="2E75B6" w:sz="8" w:space="4"/>
        </w:pBdr>
        <w:spacing w:after="160" w:before="320"/>
      </w:pPr>
      <w:r>
        <w:rPr>
          <w:rFonts w:ascii="Arial" w:cs="Arial" w:eastAsia="Arial" w:hAnsi="Arial"/>
          <w:b/>
          <w:bCs/>
          <w:color w:val="1F4E79"/>
          <w:sz w:val="28"/>
          <w:szCs w:val="28"/>
        </w:rPr>
        <w:t xml:space="preserve">The Cardiovascular Evidence Base</w:t>
      </w:r>
    </w:p>
    <w:p>
      <w:pPr>
        <w:pStyle w:val="Heading2"/>
        <w:spacing w:after="120" w:before="240"/>
      </w:pPr>
      <w:r>
        <w:rPr>
          <w:rFonts w:ascii="Arial" w:cs="Arial" w:eastAsia="Arial" w:hAnsi="Arial"/>
          <w:b/>
          <w:bCs/>
          <w:color w:val="2E75B6"/>
          <w:sz w:val="24"/>
          <w:szCs w:val="24"/>
        </w:rPr>
        <w:t xml:space="preserve">Atherosclerotic Cardiovascular Disease and All-Cause Mortality</w:t>
      </w:r>
    </w:p>
    <w:p>
      <w:pPr>
        <w:spacing w:after="120"/>
        <w:jc w:val="both"/>
      </w:pPr>
      <w:r>
        <w:rPr>
          <w:rFonts w:ascii="Arial" w:cs="Arial" w:eastAsia="Arial" w:hAnsi="Arial"/>
          <w:color w:val="404040"/>
          <w:sz w:val="22"/>
          <w:szCs w:val="22"/>
        </w:rPr>
        <w:t xml:space="preserve">The landmark 2014 study by Jaiswal and colleagues (</w:t>
      </w:r>
      <w:r>
        <w:rPr>
          <w:rFonts w:ascii="Arial" w:cs="Arial" w:eastAsia="Arial" w:hAnsi="Arial"/>
          <w:i/>
          <w:iCs/>
          <w:color w:val="404040"/>
          <w:sz w:val="22"/>
          <w:szCs w:val="22"/>
        </w:rPr>
        <w:t xml:space="preserve">NEJM</w:t>
      </w:r>
      <w:r>
        <w:rPr>
          <w:rFonts w:ascii="Arial" w:cs="Arial" w:eastAsia="Arial" w:hAnsi="Arial"/>
          <w:color w:val="404040"/>
          <w:sz w:val="22"/>
          <w:szCs w:val="22"/>
        </w:rPr>
        <w:t xml:space="preserve">) established CHIP as an independent predictor of all-cause mortality in adults over 70, with a hazard ratio of 1.4 (95% CI 1.1–1.8) for death. Separately, CHIP was associated with a 2.0-fold increased risk of incident coronary heart disease (95% CI 1.2–3.4) and a 2.6-fold increased risk of ischemic stroke (95% CI 1.4–4.8). Excess mortality was driven primarily by cardiovascular events rather than hematologic malignancy—a finding that redirected the field from leukemia surveillance toward cardiovascular risk management as the primary clinical priority.</w:t>
      </w:r>
    </w:p>
    <w:p>
      <w:pPr>
        <w:spacing w:after="80"/>
      </w:pPr>
      <w:r>
        <w:t xml:space="preserve"/>
      </w:r>
    </w:p>
    <w:p>
      <w:pPr>
        <w:spacing w:after="120"/>
        <w:jc w:val="both"/>
      </w:pPr>
      <w:r>
        <w:rPr>
          <w:rFonts w:ascii="Arial" w:cs="Arial" w:eastAsia="Arial" w:hAnsi="Arial"/>
          <w:color w:val="404040"/>
          <w:sz w:val="22"/>
          <w:szCs w:val="22"/>
        </w:rPr>
        <w:t xml:space="preserve">The 2017 follow-up study by Jaiswal et al. (</w:t>
      </w:r>
      <w:r>
        <w:rPr>
          <w:rFonts w:ascii="Arial" w:cs="Arial" w:eastAsia="Arial" w:hAnsi="Arial"/>
          <w:i/>
          <w:iCs/>
          <w:color w:val="404040"/>
          <w:sz w:val="22"/>
          <w:szCs w:val="22"/>
        </w:rPr>
        <w:t xml:space="preserve">NEJM</w:t>
      </w:r>
      <w:r>
        <w:rPr>
          <w:rFonts w:ascii="Arial" w:cs="Arial" w:eastAsia="Arial" w:hAnsi="Arial"/>
          <w:color w:val="404040"/>
          <w:sz w:val="22"/>
          <w:szCs w:val="22"/>
        </w:rPr>
        <w:t xml:space="preserve">) quantified CHIP as an independent coronary artery disease risk factor across four case–control cohorts (BioImage, Malmö Diet and Cancer Study [MDC], the Atherosclerosis, Thrombosis, and Vascular Biology Italian Study Group [ATVB], and the Pakistan Risk of Myocardial Infarction Study [PROMIS]; 4,726 cases and 3,529 controls), with a hazard ratio of 1.9 for incident CAD (95% CI 1.4–2.7) independent of age, sex, smoking, hypertension, diabetes, LDL cholesterol, and BMI. For the four most common driver genes (</w:t>
      </w: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ASXL1</w:t>
      </w:r>
      <w:r>
        <w:rPr>
          <w:rFonts w:ascii="Arial" w:cs="Arial" w:eastAsia="Arial" w:hAnsi="Arial"/>
          <w:color w:val="404040"/>
          <w:sz w:val="22"/>
          <w:szCs w:val="22"/>
        </w:rPr>
        <w:t xml:space="preserve">, and </w:t>
      </w:r>
      <w:r>
        <w:rPr>
          <w:rFonts w:ascii="Arial" w:cs="Arial" w:eastAsia="Arial" w:hAnsi="Arial"/>
          <w:i/>
          <w:iCs/>
          <w:color w:val="404040"/>
          <w:sz w:val="22"/>
          <w:szCs w:val="22"/>
        </w:rPr>
        <w:t xml:space="preserve">JAK2</w:t>
      </w:r>
      <w:r>
        <w:rPr>
          <w:rFonts w:ascii="Arial" w:cs="Arial" w:eastAsia="Arial" w:hAnsi="Arial"/>
          <w:color w:val="404040"/>
          <w:sz w:val="22"/>
          <w:szCs w:val="22"/>
        </w:rPr>
        <w:t xml:space="preserve">), the adjusted odds ratio for early-onset myocardial infarction was 4.0 (95% CI 2.4–6.7)—exceeding the cardiovascular risk attributable to most traditional risk factors.</w:t>
      </w:r>
    </w:p>
    <w:p>
      <w:pPr>
        <w:pStyle w:val="Heading2"/>
        <w:spacing w:after="120" w:before="240"/>
      </w:pPr>
      <w:r>
        <w:rPr>
          <w:rFonts w:ascii="Arial" w:cs="Arial" w:eastAsia="Arial" w:hAnsi="Arial"/>
          <w:b/>
          <w:bCs/>
          <w:color w:val="2E75B6"/>
          <w:sz w:val="24"/>
          <w:szCs w:val="24"/>
        </w:rPr>
        <w:t xml:space="preserve">Heart Failure with Preserved Ejection Fraction</w:t>
      </w:r>
    </w:p>
    <w:p>
      <w:pPr>
        <w:spacing w:after="120"/>
        <w:jc w:val="both"/>
      </w:pPr>
      <w:r>
        <w:rPr>
          <w:rFonts w:ascii="Arial" w:cs="Arial" w:eastAsia="Arial" w:hAnsi="Arial"/>
          <w:color w:val="404040"/>
          <w:sz w:val="22"/>
          <w:szCs w:val="22"/>
        </w:rPr>
        <w:t xml:space="preserve">A 2024 analysis by Schuermans and colleagues (</w:t>
      </w:r>
      <w:r>
        <w:rPr>
          <w:rFonts w:ascii="Arial" w:cs="Arial" w:eastAsia="Arial" w:hAnsi="Arial"/>
          <w:i/>
          <w:iCs/>
          <w:color w:val="404040"/>
          <w:sz w:val="22"/>
          <w:szCs w:val="22"/>
        </w:rPr>
        <w:t xml:space="preserve">JAMA Network Open</w:t>
      </w:r>
      <w:r>
        <w:rPr>
          <w:rFonts w:ascii="Arial" w:cs="Arial" w:eastAsia="Arial" w:hAnsi="Arial"/>
          <w:color w:val="404040"/>
          <w:sz w:val="22"/>
          <w:szCs w:val="22"/>
        </w:rPr>
        <w:t xml:space="preserve">) in the Jackson Heart Study (JHS) and Women’s Health Initiative (WHI; combined N=8,090) specifically examined HFpEF risk in CHIP carriers, finding that TET2-CHIP—but not DNMT3A-CHIP—was independently associated with incident HFpEF (meta-analyzed HR 2.35; 95% CI 1.34–4.11; P=.003). Critically, the magnitude of risk was amplified in patients with elevated CRP, suggesting that the inflammatory microenvironment modulates the penetrance of TET2-CHIP’s cardiac effects. This finding has direct clinical relevance: HFpEF, which currently lacks disease-modifying pharmacotherapy in most patients, may represent a genotype-stratifiable entity where targeted anti-inflammatory treatment is beneficial.</w:t>
      </w:r>
    </w:p>
    <w:p>
      <w:pPr>
        <w:pStyle w:val="Heading2"/>
        <w:spacing w:after="120" w:before="240"/>
      </w:pPr>
      <w:r>
        <w:rPr>
          <w:rFonts w:ascii="Arial" w:cs="Arial" w:eastAsia="Arial" w:hAnsi="Arial"/>
          <w:b/>
          <w:bCs/>
          <w:color w:val="2E75B6"/>
          <w:sz w:val="24"/>
          <w:szCs w:val="24"/>
        </w:rPr>
        <w:t xml:space="preserve">Incident Heart Failure and Atrial Fibrillation</w:t>
      </w:r>
    </w:p>
    <w:p>
      <w:pPr>
        <w:spacing w:after="120"/>
        <w:jc w:val="both"/>
      </w:pPr>
      <w:r>
        <w:rPr>
          <w:rFonts w:ascii="Arial" w:cs="Arial" w:eastAsia="Arial" w:hAnsi="Arial"/>
          <w:color w:val="404040"/>
          <w:sz w:val="22"/>
          <w:szCs w:val="22"/>
        </w:rPr>
        <w:t xml:space="preserve">Two subsequent studies extended CHIP’s cardiovascular risk profile beyond atherosclerotic disease. Yu and colleagues (</w:t>
      </w:r>
      <w:r>
        <w:rPr>
          <w:rFonts w:ascii="Arial" w:cs="Arial" w:eastAsia="Arial" w:hAnsi="Arial"/>
          <w:i/>
          <w:iCs/>
          <w:color w:val="404040"/>
          <w:sz w:val="22"/>
          <w:szCs w:val="22"/>
        </w:rPr>
        <w:t xml:space="preserve">JACC</w:t>
      </w:r>
      <w:r>
        <w:rPr>
          <w:rFonts w:ascii="Arial" w:cs="Arial" w:eastAsia="Arial" w:hAnsi="Arial"/>
          <w:color w:val="404040"/>
          <w:sz w:val="22"/>
          <w:szCs w:val="22"/>
        </w:rPr>
        <w:t xml:space="preserve">, 2021), in a TOPMed meta-analysis of multiple population-based cohorts, found CHIP prospectively associated with a 25% increased risk of incident heart failure (HR 1.25; 95% CI 1.13–1.38), with </w:t>
      </w:r>
      <w:r>
        <w:rPr>
          <w:rFonts w:ascii="Arial" w:cs="Arial" w:eastAsia="Arial" w:hAnsi="Arial"/>
          <w:i/>
          <w:iCs/>
          <w:color w:val="404040"/>
          <w:sz w:val="22"/>
          <w:szCs w:val="22"/>
        </w:rPr>
        <w:t xml:space="preserve">ASXL1</w:t>
      </w:r>
      <w:r>
        <w:rPr>
          <w:rFonts w:ascii="Arial" w:cs="Arial" w:eastAsia="Arial" w:hAnsi="Arial"/>
          <w:color w:val="404040"/>
          <w:sz w:val="22"/>
          <w:szCs w:val="22"/>
        </w:rPr>
        <w:t xml:space="preserve">,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 and </w:t>
      </w:r>
      <w:r>
        <w:rPr>
          <w:rFonts w:ascii="Arial" w:cs="Arial" w:eastAsia="Arial" w:hAnsi="Arial"/>
          <w:i/>
          <w:iCs/>
          <w:color w:val="404040"/>
          <w:sz w:val="22"/>
          <w:szCs w:val="22"/>
        </w:rPr>
        <w:t xml:space="preserve">JAK2</w:t>
      </w:r>
      <w:r>
        <w:rPr>
          <w:rFonts w:ascii="Arial" w:cs="Arial" w:eastAsia="Arial" w:hAnsi="Arial"/>
          <w:color w:val="404040"/>
          <w:sz w:val="22"/>
          <w:szCs w:val="22"/>
        </w:rPr>
        <w:t xml:space="preserve"> variants each independently associated with HF risk, whereas </w:t>
      </w:r>
      <w:r>
        <w:rPr>
          <w:rFonts w:ascii="Arial" w:cs="Arial" w:eastAsia="Arial" w:hAnsi="Arial"/>
          <w:i/>
          <w:iCs/>
          <w:color w:val="404040"/>
          <w:sz w:val="22"/>
          <w:szCs w:val="22"/>
        </w:rPr>
        <w:t xml:space="preserve">DNMT3A</w:t>
      </w:r>
      <w:r>
        <w:rPr>
          <w:rFonts w:ascii="Arial" w:cs="Arial" w:eastAsia="Arial" w:hAnsi="Arial"/>
          <w:color w:val="404040"/>
          <w:sz w:val="22"/>
          <w:szCs w:val="22"/>
        </w:rPr>
        <w:t xml:space="preserve"> variants were not. Separately, Saadatagah and colleagues (</w:t>
      </w:r>
      <w:r>
        <w:rPr>
          <w:rFonts w:ascii="Arial" w:cs="Arial" w:eastAsia="Arial" w:hAnsi="Arial"/>
          <w:i/>
          <w:iCs/>
          <w:color w:val="404040"/>
          <w:sz w:val="22"/>
          <w:szCs w:val="22"/>
        </w:rPr>
        <w:t xml:space="preserve">JAMA Cardiology</w:t>
      </w:r>
      <w:r>
        <w:rPr>
          <w:rFonts w:ascii="Arial" w:cs="Arial" w:eastAsia="Arial" w:hAnsi="Arial"/>
          <w:color w:val="404040"/>
          <w:sz w:val="22"/>
          <w:szCs w:val="22"/>
        </w:rPr>
        <w:t xml:space="preserve">, 2024) identified </w:t>
      </w:r>
      <w:r>
        <w:rPr>
          <w:rFonts w:ascii="Arial" w:cs="Arial" w:eastAsia="Arial" w:hAnsi="Arial"/>
          <w:i/>
          <w:iCs/>
          <w:color w:val="404040"/>
          <w:sz w:val="22"/>
          <w:szCs w:val="22"/>
        </w:rPr>
        <w:t xml:space="preserve">TET2</w:t>
      </w:r>
      <w:r>
        <w:rPr>
          <w:rFonts w:ascii="Arial" w:cs="Arial" w:eastAsia="Arial" w:hAnsi="Arial"/>
          <w:color w:val="404040"/>
          <w:sz w:val="22"/>
          <w:szCs w:val="22"/>
        </w:rPr>
        <w:t xml:space="preserve">- and </w:t>
      </w:r>
      <w:r>
        <w:rPr>
          <w:rFonts w:ascii="Arial" w:cs="Arial" w:eastAsia="Arial" w:hAnsi="Arial"/>
          <w:i/>
          <w:iCs/>
          <w:color w:val="404040"/>
          <w:sz w:val="22"/>
          <w:szCs w:val="22"/>
        </w:rPr>
        <w:t xml:space="preserve">ASXL1</w:t>
      </w:r>
      <w:r>
        <w:rPr>
          <w:rFonts w:ascii="Arial" w:cs="Arial" w:eastAsia="Arial" w:hAnsi="Arial"/>
          <w:color w:val="404040"/>
          <w:sz w:val="22"/>
          <w:szCs w:val="22"/>
        </w:rPr>
        <w:t xml:space="preserve">-CHIP as independent risk factors for incident atrial fibrillation in the ARIC study and UK Biobank (N=199,982), with associated atrial structural remodeling and elevated inflammatory biomarkers providing mechanistic support. Together these findings establish CHIP as a risk factor for the full spectrum of cardiovascular disease—atherosclerotic, myocardial, and arrhythmic.</w:t>
      </w:r>
    </w:p>
    <w:p>
      <w:pPr>
        <w:pStyle w:val="Heading2"/>
        <w:spacing w:after="120" w:before="240"/>
      </w:pPr>
      <w:r>
        <w:rPr>
          <w:rFonts w:ascii="Arial" w:cs="Arial" w:eastAsia="Arial" w:hAnsi="Arial"/>
          <w:b/>
          <w:bCs/>
          <w:color w:val="2E75B6"/>
          <w:sz w:val="24"/>
          <w:szCs w:val="24"/>
        </w:rPr>
        <w:t xml:space="preserve">Evidence Summary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Study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Design / 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Finding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Implication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Jaiswal et al., NEJM 2014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WES; multiple cohorts; N=17,182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CHIP ~9.5% at age 70–79, ~18% at 90+; HR 1.4 all-cause mortality; HR 2.0 incident CHD; HR 2.6 ischemic stroke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CHIP carries independent CV mortality risk distinct from leukemia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Jaiswal et al., NEJM 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4 case-control cohorts (BioImage, MDC, ATVB, PROMIS); 4,726 cases / 3,529 controls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HR 1.9 for incident CAD (95% CI 1.4–2.7); OR 4.0 for early-onset MI (95% CI 2.4–6.7) in DNMT3A/TET2/ASXL1/JAK2 carriers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CHIP is independent CV risk factor beyond Framingham variables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Schuermans et al., JAMA Netw Open 2024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JHS + WHI; N=8,090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TET2-CHIP: HR 2.35 for incident HFpEF (95% CI 1.34–4.11); amplified with elevated CRP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CHIP-driven inflammation specifically promotes HFpEF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Svensson et al., JAMA Cardiol 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CANTOS genomic substudy; N=3,923 (QC-passed)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TET2-CHIP: HR 0.38 with canakinumab (62% relative MACE reduction); interaction p=0.14 — exploratory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IL-1β inhibition may preferentially benefit TET2-CHIP; requires prospective confirmation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Yu et al., JACC 2021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TOPMed meta-analysis; multiple cohorts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CHIP: HR 1.25 for incident HF (95% CI 1.13–1.38); ASXL1, TET2, JAK2 associated; DNMT3A not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CHIP is an independent HF risk factor with gene-specific effects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Saadatagah et al., JAMA Cardiol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ARIC + UK Biobank; N=199,982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TET2- and ASXL1-CHIP independently associated with incident AF; atrial structural remodeling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04040"/>
                <w:sz w:val="20"/>
                <w:szCs w:val="20"/>
              </w:rPr>
              <w:t xml:space="preserve">Inflammatory CHIP subtypes extend CV risk to arrhythmic disease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Leiser et al., Cancer Epidemiol Biomarkers Prev 2023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Cross-sectional; MESA + WHI; N=12,080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Ambient PM2.5 and NO2 exposure associated with CHIP prevalence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04040"/>
                <w:sz w:val="20"/>
                <w:szCs w:val="20"/>
              </w:rPr>
              <w:t xml:space="preserve">Environmental oxidative stressors may promote clonal selection</w:t>
            </w:r>
          </w:p>
        </w:tc>
      </w:tr>
    </w:tbl>
    <w:p>
      <w:pPr>
        <w:spacing w:after="20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Therapeutic Implications</w:t>
      </w:r>
    </w:p>
    <w:p>
      <w:pPr>
        <w:pStyle w:val="Heading2"/>
        <w:spacing w:after="120" w:before="240"/>
      </w:pPr>
      <w:r>
        <w:rPr>
          <w:rFonts w:ascii="Arial" w:cs="Arial" w:eastAsia="Arial" w:hAnsi="Arial"/>
          <w:b/>
          <w:bCs/>
          <w:color w:val="2E75B6"/>
          <w:sz w:val="24"/>
          <w:szCs w:val="24"/>
        </w:rPr>
        <w:t xml:space="preserve">CANTOS and the IL-1β Inhibition Signal</w:t>
      </w:r>
    </w:p>
    <w:p>
      <w:pPr>
        <w:spacing w:after="120"/>
        <w:jc w:val="both"/>
      </w:pPr>
      <w:r>
        <w:rPr>
          <w:rFonts w:ascii="Arial" w:cs="Arial" w:eastAsia="Arial" w:hAnsi="Arial"/>
          <w:color w:val="404040"/>
          <w:sz w:val="22"/>
          <w:szCs w:val="22"/>
        </w:rPr>
        <w:t xml:space="preserve">The Canakinumab Anti-Inflammatory Thrombosis Outcomes Study (CANTOS; Ridker et al., </w:t>
      </w:r>
      <w:r>
        <w:rPr>
          <w:rFonts w:ascii="Arial" w:cs="Arial" w:eastAsia="Arial" w:hAnsi="Arial"/>
          <w:i/>
          <w:iCs/>
          <w:color w:val="404040"/>
          <w:sz w:val="22"/>
          <w:szCs w:val="22"/>
        </w:rPr>
        <w:t xml:space="preserve">NEJM</w:t>
      </w:r>
      <w:r>
        <w:rPr>
          <w:rFonts w:ascii="Arial" w:cs="Arial" w:eastAsia="Arial" w:hAnsi="Arial"/>
          <w:color w:val="404040"/>
          <w:sz w:val="22"/>
          <w:szCs w:val="22"/>
        </w:rPr>
        <w:t xml:space="preserve">, 2017) enrolled 10,061 post-MI patients with residual inflammatory risk (hsCRP ≥2 mg/L) and randomized them to subcutaneous canakinumab (a monoclonal anti-IL-1β antibody) or placebo. The trial demonstrated a significant reduction in major adverse cardiovascular events (MACE) with canakinumab, establishing the IL-1β pathway as a bona fide cardiovascular therapeutic target.</w:t>
      </w:r>
    </w:p>
    <w:p>
      <w:pPr>
        <w:spacing w:after="80"/>
      </w:pPr>
      <w:r>
        <w:t xml:space="preserve"/>
      </w:r>
    </w:p>
    <w:p>
      <w:pPr>
        <w:spacing w:after="120"/>
        <w:jc w:val="both"/>
      </w:pPr>
      <w:r>
        <w:rPr>
          <w:rFonts w:ascii="Arial" w:cs="Arial" w:eastAsia="Arial" w:hAnsi="Arial"/>
          <w:color w:val="404040"/>
          <w:sz w:val="22"/>
          <w:szCs w:val="22"/>
        </w:rPr>
        <w:t xml:space="preserve">A subsequent exploratory analysis by Svensson and colleagues (</w:t>
      </w:r>
      <w:r>
        <w:rPr>
          <w:rFonts w:ascii="Arial" w:cs="Arial" w:eastAsia="Arial" w:hAnsi="Arial"/>
          <w:i/>
          <w:iCs/>
          <w:color w:val="404040"/>
          <w:sz w:val="22"/>
          <w:szCs w:val="22"/>
        </w:rPr>
        <w:t xml:space="preserve">JAMA Cardiology</w:t>
      </w:r>
      <w:r>
        <w:rPr>
          <w:rFonts w:ascii="Arial" w:cs="Arial" w:eastAsia="Arial" w:hAnsi="Arial"/>
          <w:color w:val="404040"/>
          <w:sz w:val="22"/>
          <w:szCs w:val="22"/>
        </w:rPr>
        <w:t xml:space="preserve">, 2022) performed CHIP sequencing on banked CANTOS samples (N=3,923 QC-passed) and found a genotype-treatment interaction of major interest: TET2-CHIP carriers had a hazard ratio of 0.38 for MACE with canakinumab (95% CI 0.15–0.96), representing a 62% relative reduction, compared with a numerically smaller and non-significant benefit in non-CHIP patients. The genotype-treatment interaction p-value was 0.14, meaning this must be interpreted as an exploratory, hypothesis-generating finding rather than a confirmed differential effect.</w:t>
      </w:r>
    </w:p>
    <w:p>
      <w:pPr>
        <w:spacing w:after="80"/>
      </w:pPr>
      <w:r>
        <w:t xml:space="preserve"/>
      </w:r>
    </w:p>
    <w:p>
      <w:pPr>
        <w:spacing w:after="120"/>
        <w:jc w:val="both"/>
      </w:pPr>
      <w:r>
        <w:rPr>
          <w:rFonts w:ascii="Arial" w:cs="Arial" w:eastAsia="Arial" w:hAnsi="Arial"/>
          <w:b/>
          <w:bCs/>
          <w:color w:val="404040"/>
          <w:sz w:val="22"/>
          <w:szCs w:val="22"/>
        </w:rPr>
        <w:t xml:space="preserve">Current clinical applicability: </w:t>
      </w:r>
      <w:r>
        <w:rPr>
          <w:rFonts w:ascii="Arial" w:cs="Arial" w:eastAsia="Arial" w:hAnsi="Arial"/>
          <w:color w:val="404040"/>
          <w:sz w:val="22"/>
          <w:szCs w:val="22"/>
        </w:rPr>
        <w:t xml:space="preserve">Canakinumab is not currently approved for CHIP-related cardiovascular risk reduction, and routine CHIP testing to guide anti-inflammatory therapy is not yet standard of care. However, the CANTOS exploratory data provide strong mechanistic rationale for clinical trial participation and for individualized discussions with patients who have recurrent MACE despite optimized lipid and blood pressure management, particularly those with known TET2-CHIP and persistently elevated hsCRP.</w:t>
      </w:r>
    </w:p>
    <w:p>
      <w:pPr>
        <w:pStyle w:val="Heading2"/>
        <w:spacing w:after="120" w:before="240"/>
      </w:pPr>
      <w:r>
        <w:rPr>
          <w:rFonts w:ascii="Arial" w:cs="Arial" w:eastAsia="Arial" w:hAnsi="Arial"/>
          <w:b/>
          <w:bCs/>
          <w:color w:val="2E75B6"/>
          <w:sz w:val="24"/>
          <w:szCs w:val="24"/>
        </w:rPr>
        <w:t xml:space="preserve">Colchicine and CHIP</w:t>
      </w:r>
    </w:p>
    <w:p>
      <w:pPr>
        <w:spacing w:after="120"/>
        <w:jc w:val="both"/>
      </w:pPr>
      <w:r>
        <w:rPr>
          <w:rFonts w:ascii="Arial" w:cs="Arial" w:eastAsia="Arial" w:hAnsi="Arial"/>
          <w:color w:val="404040"/>
          <w:sz w:val="22"/>
          <w:szCs w:val="22"/>
        </w:rPr>
        <w:t xml:space="preserve">The COLCOT and LoDoCo2 trials established colchicine as an effective anti-inflammatory cardiovascular agent with a distinct mechanism from canakinumab: colchicine’s primary action is microtubule disruption via tubulin binding, which impairs neutrophil chemotaxis and as a downstream consequence inhibits NLRP3 inflammasome activation. Because the NLRP3–IL-1β axis is hyperactivated in TET2-mutant macrophages, colchicine represents a potentially accessible, inexpensive strategy for CHIP-related inflammatory cardiovascular risk reduction—though CHIP genotype-stratified data from these trials are not yet published.</w:t>
      </w:r>
    </w:p>
    <w:p>
      <w:pPr>
        <w:pStyle w:val="Heading2"/>
        <w:spacing w:after="120" w:before="240"/>
      </w:pPr>
      <w:r>
        <w:rPr>
          <w:rFonts w:ascii="Arial" w:cs="Arial" w:eastAsia="Arial" w:hAnsi="Arial"/>
          <w:b/>
          <w:bCs/>
          <w:color w:val="2E75B6"/>
          <w:sz w:val="24"/>
          <w:szCs w:val="24"/>
        </w:rPr>
        <w:t xml:space="preserve">Statin Therapy and Residual Risk</w:t>
      </w:r>
    </w:p>
    <w:p>
      <w:pPr>
        <w:spacing w:after="120"/>
        <w:jc w:val="both"/>
      </w:pPr>
      <w:r>
        <w:rPr>
          <w:rFonts w:ascii="Arial" w:cs="Arial" w:eastAsia="Arial" w:hAnsi="Arial"/>
          <w:color w:val="404040"/>
          <w:sz w:val="22"/>
          <w:szCs w:val="22"/>
        </w:rPr>
        <w:t xml:space="preserve">CHIP may partly explain the phenomenon of residual cardiovascular risk in patients on optimized statin therapy. Patients with elevated hsCRP (≥2 mg/L) despite achieving LDL targets—the CANTOS-eligible phenotype—should be considered for evaluation of CHIP, particularly if over age 65. Statins have modest anti-inflammatory effects but do not specifically target the IL-1β axis upregulated in TET2-CHIP.</w:t>
      </w:r>
    </w:p>
    <w:p>
      <w:pPr>
        <w:pStyle w:val="Heading1"/>
        <w:pBdr>
          <w:bottom w:val="single" w:color="2E75B6" w:sz="8" w:space="4"/>
        </w:pBdr>
        <w:spacing w:after="160" w:before="320"/>
      </w:pPr>
      <w:r>
        <w:rPr>
          <w:rFonts w:ascii="Arial" w:cs="Arial" w:eastAsia="Arial" w:hAnsi="Arial"/>
          <w:b/>
          <w:bCs/>
          <w:color w:val="1F4E79"/>
          <w:sz w:val="28"/>
          <w:szCs w:val="28"/>
        </w:rPr>
        <w:t xml:space="preserve">A Practical Clinical Approach for the Internist</w:t>
      </w:r>
    </w:p>
    <w:p>
      <w:pPr>
        <w:pStyle w:val="Heading2"/>
        <w:spacing w:after="120" w:before="240"/>
      </w:pPr>
      <w:r>
        <w:rPr>
          <w:rFonts w:ascii="Arial" w:cs="Arial" w:eastAsia="Arial" w:hAnsi="Arial"/>
          <w:b/>
          <w:bCs/>
          <w:color w:val="2E75B6"/>
          <w:sz w:val="24"/>
          <w:szCs w:val="24"/>
        </w:rPr>
        <w:t xml:space="preserve">Who to Consider for CHIP Evaluation</w:t>
      </w:r>
    </w:p>
    <w:p>
      <w:pPr>
        <w:spacing w:after="120"/>
        <w:jc w:val="both"/>
      </w:pPr>
      <w:r>
        <w:rPr>
          <w:rFonts w:ascii="Arial" w:cs="Arial" w:eastAsia="Arial" w:hAnsi="Arial"/>
          <w:color w:val="404040"/>
          <w:sz w:val="22"/>
          <w:szCs w:val="22"/>
        </w:rPr>
        <w:t xml:space="preserve">Current consensus guidance does not recommend population-level CHIP screening. However, the following clinical presentations warrant consideration of CHIP evaluation or hematology referral:</w:t>
      </w:r>
    </w:p>
    <w:p>
      <w:pPr>
        <w:spacing w:after="80"/>
      </w:pPr>
      <w:r>
        <w:t xml:space="preserve"/>
      </w:r>
    </w:p>
    <w:p>
      <w:pPr>
        <w:pStyle w:val="ListParagraph"/>
        <w:numPr>
          <w:ilvl w:val="0"/>
          <w:numId w:val="2"/>
        </w:numPr>
        <w:spacing w:after="80"/>
      </w:pPr>
      <w:r>
        <w:rPr>
          <w:rFonts w:ascii="Arial" w:cs="Arial" w:eastAsia="Arial" w:hAnsi="Arial"/>
          <w:b/>
          <w:bCs/>
          <w:color w:val="404040"/>
          <w:sz w:val="22"/>
          <w:szCs w:val="22"/>
        </w:rPr>
        <w:t xml:space="preserve">Unexplained macrocytosis (MCV &gt;100 fL) </w:t>
      </w:r>
      <w:r>
        <w:rPr>
          <w:rFonts w:ascii="Arial" w:cs="Arial" w:eastAsia="Arial" w:hAnsi="Arial"/>
          <w:color w:val="404040"/>
          <w:sz w:val="22"/>
          <w:szCs w:val="22"/>
        </w:rPr>
        <w:t xml:space="preserve">in adults ≥65 after exclusion of B12/folate deficiency, hypothyroidism, alcohol, and medications (hydroxyurea, methotrexate)</w:t>
      </w:r>
    </w:p>
    <w:p>
      <w:pPr>
        <w:pStyle w:val="ListParagraph"/>
        <w:numPr>
          <w:ilvl w:val="0"/>
          <w:numId w:val="2"/>
        </w:numPr>
        <w:spacing w:after="80"/>
      </w:pPr>
      <w:r>
        <w:rPr>
          <w:rFonts w:ascii="Arial" w:cs="Arial" w:eastAsia="Arial" w:hAnsi="Arial"/>
          <w:b/>
          <w:bCs/>
          <w:color w:val="404040"/>
          <w:sz w:val="22"/>
          <w:szCs w:val="22"/>
        </w:rPr>
        <w:t xml:space="preserve">Unexplained cytopenia </w:t>
      </w:r>
      <w:r>
        <w:rPr>
          <w:rFonts w:ascii="Arial" w:cs="Arial" w:eastAsia="Arial" w:hAnsi="Arial"/>
          <w:color w:val="404040"/>
          <w:sz w:val="22"/>
          <w:szCs w:val="22"/>
        </w:rPr>
        <w:t xml:space="preserve">(anemia, thrombocytopenia, or leukopenia) not attributable to a reversible cause—the CCUS phenotype</w:t>
      </w:r>
    </w:p>
    <w:p>
      <w:pPr>
        <w:pStyle w:val="ListParagraph"/>
        <w:numPr>
          <w:ilvl w:val="0"/>
          <w:numId w:val="2"/>
        </w:numPr>
        <w:spacing w:after="80"/>
      </w:pPr>
      <w:r>
        <w:rPr>
          <w:rFonts w:ascii="Arial" w:cs="Arial" w:eastAsia="Arial" w:hAnsi="Arial"/>
          <w:b/>
          <w:bCs/>
          <w:color w:val="404040"/>
          <w:sz w:val="22"/>
          <w:szCs w:val="22"/>
        </w:rPr>
        <w:t xml:space="preserve">Recurrent MACE </w:t>
      </w:r>
      <w:r>
        <w:rPr>
          <w:rFonts w:ascii="Arial" w:cs="Arial" w:eastAsia="Arial" w:hAnsi="Arial"/>
          <w:color w:val="404040"/>
          <w:sz w:val="22"/>
          <w:szCs w:val="22"/>
        </w:rPr>
        <w:t xml:space="preserve">despite optimized lipid, antihypertensive, and antiplatelet therapy, particularly with elevated hsCRP</w:t>
      </w:r>
    </w:p>
    <w:p>
      <w:pPr>
        <w:pStyle w:val="ListParagraph"/>
        <w:numPr>
          <w:ilvl w:val="0"/>
          <w:numId w:val="2"/>
        </w:numPr>
        <w:spacing w:after="80"/>
      </w:pPr>
      <w:r>
        <w:rPr>
          <w:rFonts w:ascii="Arial" w:cs="Arial" w:eastAsia="Arial" w:hAnsi="Arial"/>
          <w:b/>
          <w:bCs/>
          <w:color w:val="404040"/>
          <w:sz w:val="22"/>
          <w:szCs w:val="22"/>
        </w:rPr>
        <w:t xml:space="preserve">Incident HFpEF </w:t>
      </w:r>
      <w:r>
        <w:rPr>
          <w:rFonts w:ascii="Arial" w:cs="Arial" w:eastAsia="Arial" w:hAnsi="Arial"/>
          <w:color w:val="404040"/>
          <w:sz w:val="22"/>
          <w:szCs w:val="22"/>
        </w:rPr>
        <w:t xml:space="preserve">in an elderly patient with inflammatory comorbidities, for genotype-guided therapeutic consideration</w:t>
      </w:r>
    </w:p>
    <w:p>
      <w:pPr>
        <w:pStyle w:val="ListParagraph"/>
        <w:numPr>
          <w:ilvl w:val="0"/>
          <w:numId w:val="2"/>
        </w:numPr>
        <w:spacing w:after="80"/>
      </w:pPr>
      <w:r>
        <w:rPr>
          <w:rFonts w:ascii="Arial" w:cs="Arial" w:eastAsia="Arial" w:hAnsi="Arial"/>
          <w:b/>
          <w:bCs/>
          <w:color w:val="404040"/>
          <w:sz w:val="22"/>
          <w:szCs w:val="22"/>
        </w:rPr>
        <w:t xml:space="preserve">Agricultural workers ≥60 </w:t>
      </w:r>
      <w:r>
        <w:rPr>
          <w:rFonts w:ascii="Arial" w:cs="Arial" w:eastAsia="Arial" w:hAnsi="Arial"/>
          <w:color w:val="404040"/>
          <w:sz w:val="22"/>
          <w:szCs w:val="22"/>
        </w:rPr>
        <w:t xml:space="preserve">with cytopenia or hematologic abnormality, given the biologically plausible role of environmental mutagen exposure</w:t>
      </w:r>
    </w:p>
    <w:p>
      <w:pPr>
        <w:spacing w:after="80"/>
      </w:pPr>
      <w:r>
        <w:t xml:space="preserve"/>
      </w:r>
    </w:p>
    <w:p>
      <w:pPr>
        <w:pStyle w:val="Heading2"/>
        <w:spacing w:after="120" w:before="240"/>
      </w:pPr>
      <w:r>
        <w:rPr>
          <w:rFonts w:ascii="Arial" w:cs="Arial" w:eastAsia="Arial" w:hAnsi="Arial"/>
          <w:b/>
          <w:bCs/>
          <w:color w:val="2E75B6"/>
          <w:sz w:val="24"/>
          <w:szCs w:val="24"/>
        </w:rPr>
        <w:t xml:space="preserve">What to Order and When to Refer</w:t>
      </w:r>
    </w:p>
    <w:p>
      <w:pPr>
        <w:spacing w:after="120"/>
        <w:jc w:val="both"/>
      </w:pPr>
      <w:r>
        <w:rPr>
          <w:rFonts w:ascii="Arial" w:cs="Arial" w:eastAsia="Arial" w:hAnsi="Arial"/>
          <w:color w:val="404040"/>
          <w:sz w:val="22"/>
          <w:szCs w:val="22"/>
        </w:rPr>
        <w:t xml:space="preserve">No single blood test “screens” for CHIP in primary care. The initial evaluation of a patient with suspected CCUS should include:</w:t>
      </w:r>
    </w:p>
    <w:p>
      <w:pPr>
        <w:spacing w:after="80"/>
      </w:pPr>
      <w:r>
        <w:t xml:space="preserve"/>
      </w:r>
    </w:p>
    <w:p>
      <w:pPr>
        <w:pStyle w:val="ListParagraph"/>
        <w:numPr>
          <w:ilvl w:val="0"/>
          <w:numId w:val="2"/>
        </w:numPr>
        <w:spacing w:after="80"/>
      </w:pPr>
      <w:r>
        <w:rPr>
          <w:rFonts w:ascii="Arial" w:cs="Arial" w:eastAsia="Arial" w:hAnsi="Arial"/>
          <w:color w:val="404040"/>
          <w:sz w:val="22"/>
          <w:szCs w:val="22"/>
        </w:rPr>
        <w:t xml:space="preserve">CBC with differential (NLR, platelet-to-lymphocyte ratio, MCV trend over time)</w:t>
      </w:r>
    </w:p>
    <w:p>
      <w:pPr>
        <w:pStyle w:val="ListParagraph"/>
        <w:numPr>
          <w:ilvl w:val="0"/>
          <w:numId w:val="2"/>
        </w:numPr>
        <w:spacing w:after="80"/>
      </w:pPr>
      <w:r>
        <w:rPr>
          <w:rFonts w:ascii="Arial" w:cs="Arial" w:eastAsia="Arial" w:hAnsi="Arial"/>
          <w:color w:val="404040"/>
          <w:sz w:val="22"/>
          <w:szCs w:val="22"/>
        </w:rPr>
        <w:t xml:space="preserve">Reticulocyte count and peripheral smear</w:t>
      </w:r>
    </w:p>
    <w:p>
      <w:pPr>
        <w:pStyle w:val="ListParagraph"/>
        <w:numPr>
          <w:ilvl w:val="0"/>
          <w:numId w:val="2"/>
        </w:numPr>
        <w:spacing w:after="80"/>
      </w:pPr>
      <w:r>
        <w:rPr>
          <w:rFonts w:ascii="Arial" w:cs="Arial" w:eastAsia="Arial" w:hAnsi="Arial"/>
          <w:color w:val="404040"/>
          <w:sz w:val="22"/>
          <w:szCs w:val="22"/>
        </w:rPr>
        <w:t xml:space="preserve">B12, folate, iron studies (ferritin, TIBC, serum iron)</w:t>
      </w:r>
    </w:p>
    <w:p>
      <w:pPr>
        <w:pStyle w:val="ListParagraph"/>
        <w:numPr>
          <w:ilvl w:val="0"/>
          <w:numId w:val="2"/>
        </w:numPr>
        <w:spacing w:after="80"/>
      </w:pPr>
      <w:r>
        <w:rPr>
          <w:rFonts w:ascii="Arial" w:cs="Arial" w:eastAsia="Arial" w:hAnsi="Arial"/>
          <w:color w:val="404040"/>
          <w:sz w:val="22"/>
          <w:szCs w:val="22"/>
        </w:rPr>
        <w:t xml:space="preserve">Thyroid-stimulating hormone</w:t>
      </w:r>
    </w:p>
    <w:p>
      <w:pPr>
        <w:pStyle w:val="ListParagraph"/>
        <w:numPr>
          <w:ilvl w:val="0"/>
          <w:numId w:val="2"/>
        </w:numPr>
        <w:spacing w:after="80"/>
      </w:pPr>
      <w:r>
        <w:rPr>
          <w:rFonts w:ascii="Arial" w:cs="Arial" w:eastAsia="Arial" w:hAnsi="Arial"/>
          <w:color w:val="404040"/>
          <w:sz w:val="22"/>
          <w:szCs w:val="22"/>
        </w:rPr>
        <w:t xml:space="preserve">hsCRP and LDH (as secondary inflammatory signals)</w:t>
      </w:r>
    </w:p>
    <w:p>
      <w:pPr>
        <w:pStyle w:val="ListParagraph"/>
        <w:numPr>
          <w:ilvl w:val="0"/>
          <w:numId w:val="2"/>
        </w:numPr>
        <w:spacing w:after="80"/>
      </w:pPr>
      <w:r>
        <w:rPr>
          <w:rFonts w:ascii="Arial" w:cs="Arial" w:eastAsia="Arial" w:hAnsi="Arial"/>
          <w:color w:val="404040"/>
          <w:sz w:val="22"/>
          <w:szCs w:val="22"/>
        </w:rPr>
        <w:t xml:space="preserve">Review of potentially offending medications</w:t>
      </w:r>
    </w:p>
    <w:p>
      <w:pPr>
        <w:spacing w:after="80"/>
      </w:pPr>
      <w:r>
        <w:t xml:space="preserve"/>
      </w:r>
    </w:p>
    <w:p>
      <w:pPr>
        <w:spacing w:after="120"/>
        <w:jc w:val="both"/>
      </w:pPr>
      <w:r>
        <w:rPr>
          <w:rFonts w:ascii="Arial" w:cs="Arial" w:eastAsia="Arial" w:hAnsi="Arial"/>
          <w:color w:val="404040"/>
          <w:sz w:val="22"/>
          <w:szCs w:val="22"/>
        </w:rPr>
        <w:t xml:space="preserve">If the above evaluation is unrevealing, referral to hematology for CHIP next-generation sequencing (NGS) panel is appropriate. Commercial CHIP panels are available from several reference laboratories and typically sequence 50–100 hematopoietic driver genes at high sensitivity (VAF threshold 1–2%). Turnaround is 2–4 weeks and cost ranges from approximately $300–600, though insurance coverage varies.</w:t>
      </w:r>
    </w:p>
    <w:p>
      <w:pPr>
        <w:pStyle w:val="Heading2"/>
        <w:spacing w:after="120" w:before="240"/>
      </w:pPr>
      <w:r>
        <w:rPr>
          <w:rFonts w:ascii="Arial" w:cs="Arial" w:eastAsia="Arial" w:hAnsi="Arial"/>
          <w:b/>
          <w:bCs/>
          <w:color w:val="2E75B6"/>
          <w:sz w:val="24"/>
          <w:szCs w:val="24"/>
        </w:rPr>
        <w:t xml:space="preserve">Practical Clinical Approach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Clinical Scenario</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Age ≥65 with unexplained macrocytosis (MCV &gt;100) or unexplained cytopenia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Evaluate for B12/folate deficiency, hypothyroidism, alcohol use; if unrevealing, consider hematology referral for CCUS workup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Unexplained CCUS carries &gt;10% 5-year risk of hematologic malignancy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Age ≥65 with high CV risk and elevated hsCRP (≥2 mg/L) despite statin therapy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Optimize modifiable risk factors; consider whether CHIP testing is appropriate in shared decision-making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Residual inflammatory CV risk may reflect CHIP-driven IL-1β/IL-6 pathway activation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Known CHIP carrier with new dyspnea or HF diagnosis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Echocardiography with attention to HFpEF phenotype (diastolic dysfunction, preserved EF); nephrology/cardiology comanagement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TET2-CHIP confers 2.35× risk of HFpEF, with inflammatory amplification by elevated CRP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Known TET2-CHIP carrier with recurrent MACE despite optimized therapy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Discuss with cardiology; canakinumab (off-label in this context) or clinical trial enrollment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CANTOS exploratory analysis: 62% relative MACE reduction with IL-1β inhibition in TET2-CHIP carriers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Agricultural worker, age ≥60, with cytopenia or elevated NLR on routine CBC</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Detailed occupational exposure history (organophosphates, herbicides); lower threshold for hematology referral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404040"/>
                <w:sz w:val="20"/>
                <w:szCs w:val="20"/>
              </w:rPr>
              <w:t xml:space="preserve">Environmental mutagens are established risk factors for hematologic malignancy; CHIP prevalence in this population is understudied</w:t>
            </w:r>
          </w:p>
        </w:tc>
      </w:tr>
    </w:tbl>
    <w:p>
      <w:pPr>
        <w:spacing w:after="200"/>
      </w:pPr>
      <w:r>
        <w:t xml:space="preserve"/>
      </w:r>
    </w:p>
    <w:p>
      <w:pPr>
        <w:pStyle w:val="Heading2"/>
        <w:spacing w:after="120" w:before="240"/>
      </w:pPr>
      <w:r>
        <w:rPr>
          <w:rFonts w:ascii="Arial" w:cs="Arial" w:eastAsia="Arial" w:hAnsi="Arial"/>
          <w:b/>
          <w:bCs/>
          <w:color w:val="2E75B6"/>
          <w:sz w:val="24"/>
          <w:szCs w:val="24"/>
        </w:rPr>
        <w:t xml:space="preserve">Monitoring CHIP Carriers: Longitudinal Considerations</w:t>
      </w:r>
    </w:p>
    <w:p>
      <w:pPr>
        <w:spacing w:after="120"/>
        <w:jc w:val="both"/>
      </w:pPr>
      <w:r>
        <w:rPr>
          <w:rFonts w:ascii="Arial" w:cs="Arial" w:eastAsia="Arial" w:hAnsi="Arial"/>
          <w:color w:val="404040"/>
          <w:sz w:val="22"/>
          <w:szCs w:val="22"/>
        </w:rPr>
        <w:t xml:space="preserve">Patients with confirmed CHIP but without cytopenia and no current indication for specific therapy should receive:</w:t>
      </w:r>
    </w:p>
    <w:p>
      <w:pPr>
        <w:spacing w:after="80"/>
      </w:pPr>
      <w:r>
        <w:t xml:space="preserve"/>
      </w:r>
    </w:p>
    <w:p>
      <w:pPr>
        <w:pStyle w:val="ListParagraph"/>
        <w:numPr>
          <w:ilvl w:val="0"/>
          <w:numId w:val="2"/>
        </w:numPr>
        <w:spacing w:after="80"/>
      </w:pPr>
      <w:r>
        <w:rPr>
          <w:rFonts w:ascii="Arial" w:cs="Arial" w:eastAsia="Arial" w:hAnsi="Arial"/>
          <w:color w:val="404040"/>
          <w:sz w:val="22"/>
          <w:szCs w:val="22"/>
        </w:rPr>
        <w:t xml:space="preserve">Annual CBC with differential to monitor for progression to CCUS</w:t>
      </w:r>
    </w:p>
    <w:p>
      <w:pPr>
        <w:pStyle w:val="ListParagraph"/>
        <w:numPr>
          <w:ilvl w:val="0"/>
          <w:numId w:val="2"/>
        </w:numPr>
        <w:spacing w:after="80"/>
      </w:pPr>
      <w:r>
        <w:rPr>
          <w:rFonts w:ascii="Arial" w:cs="Arial" w:eastAsia="Arial" w:hAnsi="Arial"/>
          <w:color w:val="404040"/>
          <w:sz w:val="22"/>
          <w:szCs w:val="22"/>
        </w:rPr>
        <w:t xml:space="preserve">Aggressive management of all traditional cardiovascular risk factors (LDL ≤70 mg/dL in high-risk patients, blood pressure control, smoking cessation, glycemic management)</w:t>
      </w:r>
    </w:p>
    <w:p>
      <w:pPr>
        <w:pStyle w:val="ListParagraph"/>
        <w:numPr>
          <w:ilvl w:val="0"/>
          <w:numId w:val="2"/>
        </w:numPr>
        <w:spacing w:after="80"/>
      </w:pPr>
      <w:r>
        <w:rPr>
          <w:rFonts w:ascii="Arial" w:cs="Arial" w:eastAsia="Arial" w:hAnsi="Arial"/>
          <w:color w:val="404040"/>
          <w:sz w:val="22"/>
          <w:szCs w:val="22"/>
        </w:rPr>
        <w:t xml:space="preserve">hsCRP measurement as a marker of inflammatory cardiovascular risk</w:t>
      </w:r>
    </w:p>
    <w:p>
      <w:pPr>
        <w:pStyle w:val="ListParagraph"/>
        <w:numPr>
          <w:ilvl w:val="0"/>
          <w:numId w:val="2"/>
        </w:numPr>
        <w:spacing w:after="80"/>
      </w:pPr>
      <w:r>
        <w:rPr>
          <w:rFonts w:ascii="Arial" w:cs="Arial" w:eastAsia="Arial" w:hAnsi="Arial"/>
          <w:color w:val="404040"/>
          <w:sz w:val="22"/>
          <w:szCs w:val="22"/>
        </w:rPr>
        <w:t xml:space="preserve">Clinical trial enrollment discussions when available</w:t>
      </w:r>
    </w:p>
    <w:p>
      <w:pPr>
        <w:pStyle w:val="ListParagraph"/>
        <w:numPr>
          <w:ilvl w:val="0"/>
          <w:numId w:val="2"/>
        </w:numPr>
        <w:spacing w:after="80"/>
      </w:pPr>
      <w:r>
        <w:rPr>
          <w:rFonts w:ascii="Arial" w:cs="Arial" w:eastAsia="Arial" w:hAnsi="Arial"/>
          <w:color w:val="404040"/>
          <w:sz w:val="22"/>
          <w:szCs w:val="22"/>
        </w:rPr>
        <w:t xml:space="preserve">Shared decision-making regarding anti-inflammatory therapy (colchicine or, in appropriate clinical trial contexts, canakinumab) for TET2-CHIP carriers with recurrent events</w:t>
      </w:r>
    </w:p>
    <w:p>
      <w:pPr>
        <w:spacing w:after="80"/>
      </w:pPr>
      <w:r>
        <w:t xml:space="preserve"/>
      </w:r>
    </w:p>
    <w:p>
      <w:pPr>
        <w:spacing w:after="120"/>
        <w:jc w:val="both"/>
      </w:pPr>
      <w:r>
        <w:rPr>
          <w:rFonts w:ascii="Arial" w:cs="Arial" w:eastAsia="Arial" w:hAnsi="Arial"/>
          <w:color w:val="404040"/>
          <w:sz w:val="22"/>
          <w:szCs w:val="22"/>
        </w:rPr>
        <w:t xml:space="preserve">For CCUS patients (CHIP plus unexplained cytopenia), hematology co-management is appropriate, with monitoring intervals typically every 3–6 months depending on clone size, VAF trajectory, and cytopenia severity.</w:t>
      </w:r>
    </w:p>
    <w:p>
      <w:pPr>
        <w:pStyle w:val="Heading1"/>
        <w:pBdr>
          <w:bottom w:val="single" w:color="2E75B6" w:sz="8" w:space="4"/>
        </w:pBdr>
        <w:spacing w:after="160" w:before="320"/>
      </w:pPr>
      <w:r>
        <w:rPr>
          <w:rFonts w:ascii="Arial" w:cs="Arial" w:eastAsia="Arial" w:hAnsi="Arial"/>
          <w:b/>
          <w:bCs/>
          <w:color w:val="1F4E79"/>
          <w:sz w:val="28"/>
          <w:szCs w:val="28"/>
        </w:rPr>
        <w:t xml:space="preserve">CHIP in the Rural and Agricultural Context</w:t>
      </w:r>
    </w:p>
    <w:p>
      <w:pPr>
        <w:spacing w:after="120"/>
        <w:jc w:val="both"/>
      </w:pPr>
      <w:r>
        <w:rPr>
          <w:rFonts w:ascii="Arial" w:cs="Arial" w:eastAsia="Arial" w:hAnsi="Arial"/>
          <w:color w:val="404040"/>
          <w:sz w:val="22"/>
          <w:szCs w:val="22"/>
        </w:rPr>
        <w:t xml:space="preserve">A cross-sectional analysis by Leiser and colleagues (</w:t>
      </w:r>
      <w:r>
        <w:rPr>
          <w:rFonts w:ascii="Arial" w:cs="Arial" w:eastAsia="Arial" w:hAnsi="Arial"/>
          <w:i/>
          <w:iCs/>
          <w:color w:val="404040"/>
          <w:sz w:val="22"/>
          <w:szCs w:val="22"/>
        </w:rPr>
        <w:t xml:space="preserve">Cancer Epidemiology, Biomarkers &amp; Prevention</w:t>
      </w:r>
      <w:r>
        <w:rPr>
          <w:rFonts w:ascii="Arial" w:cs="Arial" w:eastAsia="Arial" w:hAnsi="Arial"/>
          <w:color w:val="404040"/>
          <w:sz w:val="22"/>
          <w:szCs w:val="22"/>
        </w:rPr>
        <w:t xml:space="preserve">, 2023) using MESA (N=4,379) and WHI (N=7,701) demonstrated associations between ambient PM2.5 and nitrogen dioxide (NO2) exposure and CHIP prevalence—establishing proof of concept that environmental oxidative stressors can promote clonal selection in a human population. Notably, the exposures studied were urban air pollutants, not agricultural chemicals directly; the extrapolation to organophosphate insecticides and chlorophenoxy herbicides rests on shared biological mechanisms (oxidative DNA damage, impaired DNA repair, epigenetic disruption) rather than direct study evidence. That said, agricultural chemical exposures are established risk factors for hematologic malignancy (non-Hodgkin lymphoma, MDS, AML) through these same pathways, making the inference scientifically sound even if not yet empirically confirmed in an agricultural cohort.</w:t>
      </w:r>
    </w:p>
    <w:p>
      <w:pPr>
        <w:spacing w:after="80"/>
      </w:pPr>
      <w:r>
        <w:t xml:space="preserve"/>
      </w:r>
    </w:p>
    <w:p>
      <w:pPr>
        <w:spacing w:after="120"/>
        <w:jc w:val="both"/>
      </w:pPr>
      <w:r>
        <w:rPr>
          <w:rFonts w:ascii="Arial" w:cs="Arial" w:eastAsia="Arial" w:hAnsi="Arial"/>
          <w:color w:val="404040"/>
          <w:sz w:val="22"/>
          <w:szCs w:val="22"/>
        </w:rPr>
        <w:t xml:space="preserve">Despite this biological plausibility, no published study has characterized CHIP prevalence or clonal dynamics in an agricultural occupational cohort. Rural elderly agricultural workers—a population with high rates of occupational chemical exposure, limited access to specialty care, and underrepresentation in academic biobanks—represent an understudied and potentially higher-risk population for CHIP and its cardiovascular sequelae. For the rural internist, this population warrants a lower threshold for hematologic investigation and heightened attention to unexplained CBC abnormalities.</w:t>
      </w:r>
    </w:p>
    <w:p>
      <w:pPr>
        <w:pStyle w:val="Heading1"/>
        <w:pBdr>
          <w:bottom w:val="single" w:color="2E75B6" w:sz="8" w:space="4"/>
        </w:pBdr>
        <w:spacing w:after="160" w:before="320"/>
      </w:pPr>
      <w:r>
        <w:rPr>
          <w:rFonts w:ascii="Arial" w:cs="Arial" w:eastAsia="Arial" w:hAnsi="Arial"/>
          <w:b/>
          <w:bCs/>
          <w:color w:val="1F4E79"/>
          <w:sz w:val="28"/>
          <w:szCs w:val="28"/>
        </w:rPr>
        <w:t xml:space="preserve">Conclusion</w:t>
      </w:r>
    </w:p>
    <w:p>
      <w:pPr>
        <w:spacing w:after="120"/>
        <w:jc w:val="both"/>
      </w:pPr>
      <w:r>
        <w:rPr>
          <w:rFonts w:ascii="Arial" w:cs="Arial" w:eastAsia="Arial" w:hAnsi="Arial"/>
          <w:color w:val="404040"/>
          <w:sz w:val="22"/>
          <w:szCs w:val="22"/>
        </w:rPr>
        <w:t xml:space="preserve">Clonal hematopoiesis of indeterminate potential is no longer a niche finding of academic hematology—it is a common, age-associated molecular phenotype with cardiovascular consequences that rival those of established modifiable risk factors. For the practicing internist, the most important clinical implications are: (1) unexplained cytopenias and macrocytosis in elderly patients are not benign—they may represent CCUS and warrant systematic evaluation; (2) residual cardiovascular risk after traditional risk factor optimization may reflect CHIP-driven inflammation, particularly in patients with persistently elevated hsCRP; and (3) genotype matters—TET2-CHIP and DNMT3A-CHIP carry different mechanistic profiles, prognostic implications, and emerging therapeutic targets.</w:t>
      </w:r>
    </w:p>
    <w:p>
      <w:pPr>
        <w:spacing w:after="80"/>
      </w:pPr>
      <w:r>
        <w:t xml:space="preserve"/>
      </w:r>
    </w:p>
    <w:p>
      <w:pPr>
        <w:spacing w:after="120"/>
        <w:jc w:val="both"/>
      </w:pPr>
      <w:r>
        <w:rPr>
          <w:rFonts w:ascii="Arial" w:cs="Arial" w:eastAsia="Arial" w:hAnsi="Arial"/>
          <w:color w:val="404040"/>
          <w:sz w:val="22"/>
          <w:szCs w:val="22"/>
        </w:rPr>
        <w:t xml:space="preserve">The landscape is evolving rapidly. Clinical trials of IL-1β inhibition in genotype-selected CHIP patients are underway or in development. Routine CHIP testing may become a component of cardiovascular risk stratification in the elderly within the coming decade. The internist who understands this biology today will be well-positioned to translate emerging evidence into individualized care for the aging patient.</w:t>
      </w:r>
    </w:p>
    <w:p>
      <w:pPr>
        <w:pBdr>
          <w:top w:val="single" w:color="2E75B6" w:sz="4" w:space="6"/>
        </w:pBdr>
        <w:spacing w:after="160" w:before="240"/>
      </w:pPr>
      <w:r>
        <w:t xml:space="preserve"/>
      </w:r>
    </w:p>
    <w:p>
      <w:pPr>
        <w:spacing w:after="120"/>
      </w:pPr>
      <w:r>
        <w:rPr>
          <w:rFonts w:ascii="Arial" w:cs="Arial" w:eastAsia="Arial" w:hAnsi="Arial"/>
          <w:b/>
          <w:bCs/>
          <w:color w:val="1F4E79"/>
          <w:sz w:val="24"/>
          <w:szCs w:val="24"/>
        </w:rPr>
        <w:t xml:space="preserve">Selected References</w:t>
      </w:r>
    </w:p>
    <w:p>
      <w:pPr>
        <w:spacing w:after="80"/>
        <w:ind w:left="360" w:hanging="360"/>
      </w:pPr>
      <w:r>
        <w:rPr>
          <w:rFonts w:ascii="Arial" w:cs="Arial" w:eastAsia="Arial" w:hAnsi="Arial"/>
          <w:b/>
          <w:bCs/>
          <w:color w:val="2E75B6"/>
          <w:sz w:val="20"/>
          <w:szCs w:val="20"/>
        </w:rPr>
        <w:t xml:space="preserve">1.  </w:t>
      </w:r>
      <w:r>
        <w:rPr>
          <w:rFonts w:ascii="Arial" w:cs="Arial" w:eastAsia="Arial" w:hAnsi="Arial"/>
          <w:color w:val="404040"/>
          <w:sz w:val="20"/>
          <w:szCs w:val="20"/>
        </w:rPr>
        <w:t xml:space="preserve">Jaiswal S, Fontanillas P, Flannick J, et al. Age-related clonal hematopoiesis associated with adverse outcomes. N Engl J Med. 2014;371(26):2488–2498.</w:t>
      </w:r>
    </w:p>
    <w:p>
      <w:pPr>
        <w:spacing w:after="80"/>
        <w:ind w:left="360" w:hanging="360"/>
      </w:pPr>
      <w:r>
        <w:rPr>
          <w:rFonts w:ascii="Arial" w:cs="Arial" w:eastAsia="Arial" w:hAnsi="Arial"/>
          <w:b/>
          <w:bCs/>
          <w:color w:val="2E75B6"/>
          <w:sz w:val="20"/>
          <w:szCs w:val="20"/>
        </w:rPr>
        <w:t xml:space="preserve">2.  </w:t>
      </w:r>
      <w:r>
        <w:rPr>
          <w:rFonts w:ascii="Arial" w:cs="Arial" w:eastAsia="Arial" w:hAnsi="Arial"/>
          <w:color w:val="404040"/>
          <w:sz w:val="20"/>
          <w:szCs w:val="20"/>
        </w:rPr>
        <w:t xml:space="preserve">Jaiswal S, Natarajan P, Silver AJ, et al. Clonal hematopoiesis and risk of atherosclerotic cardiovascular disease. N Engl J Med. 2017;377(2):111–121.</w:t>
      </w:r>
    </w:p>
    <w:p>
      <w:pPr>
        <w:spacing w:after="80"/>
        <w:ind w:left="360" w:hanging="360"/>
      </w:pPr>
      <w:r>
        <w:rPr>
          <w:rFonts w:ascii="Arial" w:cs="Arial" w:eastAsia="Arial" w:hAnsi="Arial"/>
          <w:b/>
          <w:bCs/>
          <w:color w:val="2E75B6"/>
          <w:sz w:val="20"/>
          <w:szCs w:val="20"/>
        </w:rPr>
        <w:t xml:space="preserve">3.  </w:t>
      </w:r>
      <w:r>
        <w:rPr>
          <w:rFonts w:ascii="Arial" w:cs="Arial" w:eastAsia="Arial" w:hAnsi="Arial"/>
          <w:color w:val="404040"/>
          <w:sz w:val="20"/>
          <w:szCs w:val="20"/>
        </w:rPr>
        <w:t xml:space="preserve">Fuster JJ, MacLauchlan S, Zuriaga MA, et al. Clonal hematopoiesis associated with TET2 deficiency accelerates atherosclerosis development in mice. Science. 2017;355(6327):842–847.</w:t>
      </w:r>
    </w:p>
    <w:p>
      <w:pPr>
        <w:spacing w:after="80"/>
        <w:ind w:left="360" w:hanging="360"/>
      </w:pPr>
      <w:r>
        <w:rPr>
          <w:rFonts w:ascii="Arial" w:cs="Arial" w:eastAsia="Arial" w:hAnsi="Arial"/>
          <w:b/>
          <w:bCs/>
          <w:color w:val="2E75B6"/>
          <w:sz w:val="20"/>
          <w:szCs w:val="20"/>
        </w:rPr>
        <w:t xml:space="preserve">4.  </w:t>
      </w:r>
      <w:r>
        <w:rPr>
          <w:rFonts w:ascii="Arial" w:cs="Arial" w:eastAsia="Arial" w:hAnsi="Arial"/>
          <w:color w:val="404040"/>
          <w:sz w:val="20"/>
          <w:szCs w:val="20"/>
        </w:rPr>
        <w:t xml:space="preserve">Schuermans A, Honigberg MC, Raffield LM, et al. Clonal hematopoiesis and incident heart failure with preserved ejection fraction. JAMA Netw Open. 2024;7(1):e2353244.</w:t>
      </w:r>
    </w:p>
    <w:p>
      <w:pPr>
        <w:spacing w:after="80"/>
        <w:ind w:left="360" w:hanging="360"/>
      </w:pPr>
      <w:r>
        <w:rPr>
          <w:rFonts w:ascii="Arial" w:cs="Arial" w:eastAsia="Arial" w:hAnsi="Arial"/>
          <w:b/>
          <w:bCs/>
          <w:color w:val="2E75B6"/>
          <w:sz w:val="20"/>
          <w:szCs w:val="20"/>
        </w:rPr>
        <w:t xml:space="preserve">5.  </w:t>
      </w:r>
      <w:r>
        <w:rPr>
          <w:rFonts w:ascii="Arial" w:cs="Arial" w:eastAsia="Arial" w:hAnsi="Arial"/>
          <w:color w:val="404040"/>
          <w:sz w:val="20"/>
          <w:szCs w:val="20"/>
        </w:rPr>
        <w:t xml:space="preserve">Ridker PM, Everett BM, Thuren T, et al. Antiinflammatory therapy with canakinumab for atherosclerotic disease. N Engl J Med. 2017;377(12):1119–1131.</w:t>
      </w:r>
    </w:p>
    <w:p>
      <w:pPr>
        <w:spacing w:after="80"/>
        <w:ind w:left="360" w:hanging="360"/>
      </w:pPr>
      <w:r>
        <w:rPr>
          <w:rFonts w:ascii="Arial" w:cs="Arial" w:eastAsia="Arial" w:hAnsi="Arial"/>
          <w:b/>
          <w:bCs/>
          <w:color w:val="2E75B6"/>
          <w:sz w:val="20"/>
          <w:szCs w:val="20"/>
        </w:rPr>
        <w:t xml:space="preserve">6.  </w:t>
      </w:r>
      <w:r>
        <w:rPr>
          <w:rFonts w:ascii="Arial" w:cs="Arial" w:eastAsia="Arial" w:hAnsi="Arial"/>
          <w:color w:val="404040"/>
          <w:sz w:val="20"/>
          <w:szCs w:val="20"/>
        </w:rPr>
        <w:t xml:space="preserve">Svensson EC, Madar A, Campbell CD, et al. TET2-driven clonal hematopoiesis and response to canakinumab: an exploratory analysis of the CANTOS randomized clinical trial. JAMA Cardiol. 2022;7(5):521–528.</w:t>
      </w:r>
    </w:p>
    <w:p>
      <w:pPr>
        <w:spacing w:after="80"/>
        <w:ind w:left="360" w:hanging="360"/>
      </w:pPr>
      <w:r>
        <w:rPr>
          <w:rFonts w:ascii="Arial" w:cs="Arial" w:eastAsia="Arial" w:hAnsi="Arial"/>
          <w:b/>
          <w:bCs/>
          <w:color w:val="2E75B6"/>
          <w:sz w:val="20"/>
          <w:szCs w:val="20"/>
        </w:rPr>
        <w:t xml:space="preserve">7.  </w:t>
      </w:r>
      <w:r>
        <w:rPr>
          <w:rFonts w:ascii="Arial" w:cs="Arial" w:eastAsia="Arial" w:hAnsi="Arial"/>
          <w:color w:val="404040"/>
          <w:sz w:val="20"/>
          <w:szCs w:val="20"/>
        </w:rPr>
        <w:t xml:space="preserve">Yu B, Roberts MB, Raffield LM, et al.; NHLBI TOPMed Consortium. Supplemental association of clonal hematopoiesis with incident heart failure. J Am Coll Cardiol. 2021;78(1):42–52.</w:t>
      </w:r>
    </w:p>
    <w:p>
      <w:pPr>
        <w:spacing w:after="80"/>
        <w:ind w:left="360" w:hanging="360"/>
      </w:pPr>
      <w:r>
        <w:rPr>
          <w:rFonts w:ascii="Arial" w:cs="Arial" w:eastAsia="Arial" w:hAnsi="Arial"/>
          <w:b/>
          <w:bCs/>
          <w:color w:val="2E75B6"/>
          <w:sz w:val="20"/>
          <w:szCs w:val="20"/>
        </w:rPr>
        <w:t xml:space="preserve">8.  </w:t>
      </w:r>
      <w:r>
        <w:rPr>
          <w:rFonts w:ascii="Arial" w:cs="Arial" w:eastAsia="Arial" w:hAnsi="Arial"/>
          <w:color w:val="404040"/>
          <w:sz w:val="20"/>
          <w:szCs w:val="20"/>
        </w:rPr>
        <w:t xml:space="preserve">Saadatagah S, Naderian M, Uddin M, et al. Atrial fibrillation and clonal hematopoiesis in TET2 and ASXL1. JAMA Cardiol. 2024;9(6):497–506.</w:t>
      </w:r>
    </w:p>
    <w:p>
      <w:pPr>
        <w:spacing w:after="80"/>
        <w:ind w:left="360" w:hanging="360"/>
      </w:pPr>
      <w:r>
        <w:rPr>
          <w:rFonts w:ascii="Arial" w:cs="Arial" w:eastAsia="Arial" w:hAnsi="Arial"/>
          <w:b/>
          <w:bCs/>
          <w:color w:val="2E75B6"/>
          <w:sz w:val="20"/>
          <w:szCs w:val="20"/>
        </w:rPr>
        <w:t xml:space="preserve">9.  </w:t>
      </w:r>
      <w:r>
        <w:rPr>
          <w:rFonts w:ascii="Arial" w:cs="Arial" w:eastAsia="Arial" w:hAnsi="Arial"/>
          <w:color w:val="404040"/>
          <w:sz w:val="20"/>
          <w:szCs w:val="20"/>
        </w:rPr>
        <w:t xml:space="preserve">Leiser CL, Whitsel EA, Reiner A, et al. Associations between ambient air pollutants and clonal hematopoiesis of indeterminate potential. Cancer Epidemiol Biomarkers Prev. 2023;32(10):1470–1473.</w:t>
      </w:r>
    </w:p>
    <w:p>
      <w:pPr>
        <w:spacing w:after="80"/>
        <w:ind w:left="360" w:hanging="360"/>
      </w:pPr>
      <w:r>
        <w:rPr>
          <w:rFonts w:ascii="Arial" w:cs="Arial" w:eastAsia="Arial" w:hAnsi="Arial"/>
          <w:b/>
          <w:bCs/>
          <w:color w:val="2E75B6"/>
          <w:sz w:val="20"/>
          <w:szCs w:val="20"/>
        </w:rPr>
        <w:t xml:space="preserve">10.  </w:t>
      </w:r>
      <w:r>
        <w:rPr>
          <w:rFonts w:ascii="Arial" w:cs="Arial" w:eastAsia="Arial" w:hAnsi="Arial"/>
          <w:color w:val="404040"/>
          <w:sz w:val="20"/>
          <w:szCs w:val="20"/>
        </w:rPr>
        <w:t xml:space="preserve">Loh PR, Genovese G, Handsaker RE, et al. Insights into clonal haematopoiesis from 8,342 whole-genome sequences. Nature. 2018;559(7714):382–386.</w:t>
      </w:r>
    </w:p>
    <w:p>
      <w:pPr>
        <w:spacing w:after="80"/>
        <w:ind w:left="360" w:hanging="360"/>
      </w:pPr>
      <w:r>
        <w:rPr>
          <w:rFonts w:ascii="Arial" w:cs="Arial" w:eastAsia="Arial" w:hAnsi="Arial"/>
          <w:b/>
          <w:bCs/>
          <w:color w:val="2E75B6"/>
          <w:sz w:val="20"/>
          <w:szCs w:val="20"/>
        </w:rPr>
        <w:t xml:space="preserve">11.  </w:t>
      </w:r>
      <w:r>
        <w:rPr>
          <w:rFonts w:ascii="Arial" w:cs="Arial" w:eastAsia="Arial" w:hAnsi="Arial"/>
          <w:color w:val="404040"/>
          <w:sz w:val="20"/>
          <w:szCs w:val="20"/>
        </w:rPr>
        <w:t xml:space="preserve">Tardif JC, Kouz S, Waters DD, et al. Efficacy and safety of low-dose colchicine after myocardial infarction. N Engl J Med. 2019;381(26):2497–2505. [COLCOT]</w:t>
      </w:r>
    </w:p>
    <w:p>
      <w:pPr>
        <w:spacing w:after="80"/>
        <w:ind w:left="360" w:hanging="360"/>
      </w:pPr>
      <w:r>
        <w:rPr>
          <w:rFonts w:ascii="Arial" w:cs="Arial" w:eastAsia="Arial" w:hAnsi="Arial"/>
          <w:b/>
          <w:bCs/>
          <w:color w:val="2E75B6"/>
          <w:sz w:val="20"/>
          <w:szCs w:val="20"/>
        </w:rPr>
        <w:t xml:space="preserve">12.  </w:t>
      </w:r>
      <w:r>
        <w:rPr>
          <w:rFonts w:ascii="Arial" w:cs="Arial" w:eastAsia="Arial" w:hAnsi="Arial"/>
          <w:color w:val="404040"/>
          <w:sz w:val="20"/>
          <w:szCs w:val="20"/>
        </w:rPr>
        <w:t xml:space="preserve">Nidorf SM, Fiolet ATL, Mosterd A, et al. Colchicine in patients with chronic coronary disease. N Engl J Med. 2020;383(19):1838–1847. [LoDoCo2]</w:t>
      </w:r>
    </w:p>
    <w:p>
      <w:pPr>
        <w:spacing w:after="80"/>
        <w:ind w:left="360" w:hanging="360"/>
      </w:pPr>
      <w:r>
        <w:rPr>
          <w:rFonts w:ascii="Arial" w:cs="Arial" w:eastAsia="Arial" w:hAnsi="Arial"/>
          <w:b/>
          <w:bCs/>
          <w:color w:val="2E75B6"/>
          <w:sz w:val="20"/>
          <w:szCs w:val="20"/>
        </w:rPr>
        <w:t xml:space="preserve">13.  </w:t>
      </w:r>
      <w:r>
        <w:rPr>
          <w:rFonts w:ascii="Arial" w:cs="Arial" w:eastAsia="Arial" w:hAnsi="Arial"/>
          <w:color w:val="404040"/>
          <w:sz w:val="20"/>
          <w:szCs w:val="20"/>
        </w:rPr>
        <w:t xml:space="preserve">Natarajan P, Jaiswal S, Kathiresan S. Clonal hematopoiesis: somatic mutations in blood as a cardiovascular risk factor. Methodist DeBakey Cardiovasc J. 2018;14(3):157–165. [Review]</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Clonal Hematopoiesis and Cardiovascular Risk — Clinical Review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2026-05-19T01:02:19.815Z</dcterms:created>
  <dcterms:modified xsi:type="dcterms:W3CDTF">2026-05-19T01:02:19.830Z</dcterms:modified>
</cp:coreProperties>
</file>

<file path=docProps/custom.xml><?xml version="1.0" encoding="utf-8"?>
<Properties xmlns="http://schemas.openxmlformats.org/officeDocument/2006/custom-properties" xmlns:vt="http://schemas.openxmlformats.org/officeDocument/2006/docPropsVTypes"/>
</file>