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color w:val="666666"/>
          <w:sz w:val="19"/>
          <w:szCs w:val="19"/>
        </w:rPr>
        <w:t xml:space="preserve">The Journal of Rural Health  |  Commentary  |  Draft</w:t>
      </w:r>
    </w:p>
    <w:p>
      <w:pPr>
        <w:pBdr>
          <w:bottom w:val="single" w:color="C8DFF0" w:sz="4" w:space="4"/>
        </w:pBdr>
        <w:spacing w:after="200" w:before="80"/>
      </w:pPr>
      <w:r>
        <w:rPr>
          <w:rFonts w:ascii="Georgia" w:cs="Georgia" w:eastAsia="Georgia" w:hAnsi="Georgia"/>
          <w:b/>
          <w:bCs/>
          <w:color w:val="0D2137"/>
          <w:sz w:val="30"/>
          <w:szCs w:val="30"/>
        </w:rPr>
        <w:t xml:space="preserve">An Unrecognized Cardiovascular Risk in Rural Agricultural Communities: The Case for Community-Based Clonal Hematopoiesis Surveillance</w:t>
      </w:r>
    </w:p>
    <w:p>
      <w:pPr>
        <w:spacing w:after="40" w:before="120"/>
      </w:pPr>
      <w:r>
        <w:rPr>
          <w:rFonts w:ascii="Arial" w:cs="Arial" w:eastAsia="Arial" w:hAnsi="Arial"/>
          <w:b/>
          <w:bCs/>
          <w:color w:val="1E1E1E"/>
          <w:sz w:val="22"/>
          <w:szCs w:val="22"/>
        </w:rPr>
        <w:t xml:space="preserve">David Comstock, MD</w:t>
      </w:r>
    </w:p>
    <w:p>
      <w:pPr>
        <w:spacing w:after="40" w:before="0"/>
      </w:pPr>
      <w:r>
        <w:rPr>
          <w:rFonts w:ascii="Arial" w:cs="Arial" w:eastAsia="Arial" w:hAnsi="Arial"/>
          <w:color w:val="666666"/>
          <w:sz w:val="21"/>
          <w:szCs w:val="21"/>
        </w:rPr>
        <w:t xml:space="preserve">Department of Internal Medicine, Guthrie Lourdes Hospital, Binghamton, New York</w:t>
      </w:r>
    </w:p>
    <w:p>
      <w:pPr>
        <w:spacing w:after="240" w:before="0"/>
      </w:pPr>
      <w:r>
        <w:rPr>
          <w:rFonts w:ascii="Arial" w:cs="Arial" w:eastAsia="Arial" w:hAnsi="Arial"/>
          <w:color w:val="666666"/>
          <w:sz w:val="20"/>
          <w:szCs w:val="20"/>
        </w:rPr>
        <w:t xml:space="preserve">Correspondence: david.comstock@guthrie.org</w:t>
      </w:r>
    </w:p>
    <w:p>
      <w:pPr>
        <w:spacing w:after="200" w:before="0"/>
      </w:pPr>
      <w:r>
        <w:rPr>
          <w:rFonts w:ascii="Arial" w:cs="Arial" w:eastAsia="Arial" w:hAnsi="Arial"/>
          <w:color w:val="666666"/>
          <w:sz w:val="19"/>
          <w:szCs w:val="19"/>
        </w:rPr>
        <w:t xml:space="preserve">Word count: ~1,050   |   References: 15   |   Table: 1   |   No abstract   |   Note: submission version will be double-spaced per JRH guidelines</w:t>
      </w:r>
    </w:p>
    <w:p>
      <w:pPr>
        <w:spacing w:after="160" w:before="0" w:line="320"/>
        <w:jc w:val="both"/>
      </w:pPr>
      <w:r>
        <w:rPr>
          <w:rFonts w:ascii="Arial" w:cs="Arial" w:eastAsia="Arial" w:hAnsi="Arial"/>
          <w:color w:val="1E1E1E"/>
          <w:sz w:val="22"/>
          <w:szCs w:val="22"/>
        </w:rPr>
        <w:t xml:space="preserve">Elderly rural agricultural workers bear a disproportionate burden of cardiovascular disease and are among the least represented populations in hematology research. One contributor to this disparity has received virtually no attention in the rural health literature: clonal hematopoiesis of indeterminate potential (CHIP). CHIP is the age-related accumulation of genetic mutations in blood-forming stem cells that can be detected in a simple peripheral blood sample. It is common, affecting more than 10% of adults over 70, and it is consequential: CHIP nearly doubles the risk of coronary artery disease independent of cholesterol, blood pressure, diabetes, and other traditional cardiovascular risk factors.1,2 When CHIP co-occurs with unexplained low blood counts, a condition termed clonal cytopenia of undetermined significance (CCUS), the 5-year risk of progressing to a blood cancer exceeds 10%.3 These are not rare edge cases; they are an underrecognized cardiovascular and hematologic burden affecting a substantial fraction of elderly rural patients seen in primary care every day. No published study has measured how often this burden goes unrecognized in community or rural practice settings.</w:t>
      </w:r>
    </w:p>
    <w:p>
      <w:pPr>
        <w:spacing w:after="160" w:before="0" w:line="320"/>
        <w:jc w:val="both"/>
      </w:pPr>
      <w:r>
        <w:rPr>
          <w:rFonts w:ascii="Arial" w:cs="Arial" w:eastAsia="Arial" w:hAnsi="Arial"/>
          <w:color w:val="1E1E1E"/>
          <w:sz w:val="22"/>
          <w:szCs w:val="22"/>
        </w:rPr>
        <w:t xml:space="preserve">The existing CHIP epidemiology literature derives almost entirely from large urban biobank cohorts: the UK Biobank, Mass General Brigham Biobank, and Women's Health Initiative, among others.2,3,4 Rural populations are systematically underrepresented. This matters for two reasons. First, access to specialty hematology in rural settings is substantially limited, meaning the pipeline from CHIP identification to appropriate surveillance and cardiovascular risk management is structurally impaired in these communities. Second, and scientifically more distinctive, rural agricultural workers carry occupational exposures that are established risk factors for hematologic malignancy but whose relationship to CHIP prevalence and clonal dynamics has not been studied. Organophosphate pesticides, herbicides including atrazine and glyphosate, and other agricultural chemicals associated with lymphoma and leukemia risk in occupationally exposed populations have not been examined in the context of CHIP clonal selection or driver gene distribution.5,6 Leiser and colleagues recently established the first direct link between environmental exposure and CHIP prevalence, demonstrating an association between long-term ambient air pollution and CHIP detection in population data,7 providing methodological precedent for the agricultural chemical exposure question. Whether occupational exposures produce earlier or more frequent CHIP clonal selection than the general population remains entirely uncharacterized.</w:t>
      </w:r>
    </w:p>
    <w:p>
      <w:pPr>
        <w:spacing w:after="160" w:before="0" w:line="320"/>
        <w:jc w:val="both"/>
      </w:pPr>
      <w:r>
        <w:rPr>
          <w:rFonts w:ascii="Arial" w:cs="Arial" w:eastAsia="Arial" w:hAnsi="Arial"/>
          <w:color w:val="1E1E1E"/>
          <w:sz w:val="22"/>
          <w:szCs w:val="22"/>
        </w:rPr>
        <w:t xml:space="preserve">Not all CHIP mutations carry the same clinical implications, and this distinction matters for how rural patients should be managed when CHIP is identified. The most common mutation type, in a gene called DNMT3A, is prevalent but carries a relatively modest cardiovascular signal. Mutations in TET2 carry the strongest cardiovascular risk: TET2-mutant blood cells produce excess inflammatory proteins that accelerate the buildup of arterial plaque and, independently, promote the cardiac scarring that underlies heart failure with preserved ejection fraction (HFpEF), the predominant form of heart failure in elderly patients.8,9 A third common mutation type, ASXL1, carries a higher risk of progression to blood cancer and warrants prompt referral to a hematologist regardless of other findings. These distinctions are not academic: knowing which mutation a patient carries directly informs how aggressively to manage their cardiovascular risk factors, how frequently to monitor their blood counts, and when to involve a specialist. None of this is possible if the patient is never identified as a CHIP carrier in the first place.</w:t>
      </w:r>
    </w:p>
    <w:p>
      <w:pPr>
        <w:spacing w:after="160" w:before="0" w:line="320"/>
        <w:jc w:val="both"/>
      </w:pPr>
      <w:r>
        <w:rPr>
          <w:rFonts w:ascii="Arial" w:cs="Arial" w:eastAsia="Arial" w:hAnsi="Arial"/>
          <w:color w:val="1E1E1E"/>
          <w:sz w:val="22"/>
          <w:szCs w:val="22"/>
        </w:rPr>
        <w:t xml:space="preserve">We propose a two-phase study to characterize both the care gap and the CHIP prevalence landscape in the rural elderly agricultural population served by Robert Packer Hospital, Sayre, Pennsylvania (Table 1). Phase 1 is a retrospective cohort identification study using the hospital laboratory information system (LIS) to identify all patients aged 65 and older with unexplained macrocytosis (MCV 95 fL or greater) over a 36-month lookback window. The LIS query captures three pre-specified phenotypic arms. The primary arm is the CCUS-pattern cohort: MCV elevated plus hemoglobin below sex-specific thresholds with documented normal B12 and folate, the pattern most directly comparable to published CCUS literature and the primary scientific focus of this study. Two pre-specified secondary arms broaden the dataset without changing the primary aim: an erythrocytosis-pattern arm (MCV elevated plus hematocrit above sex-specific threshold without alternative explanation, capturing the JAK2 CHIP phenotype that presents without cytopenia), and an isolated macrocytosis arm (MCV elevated with hemoglobin and hematocrit within normal range and reversible causes excluded, characterizing the phenotype that currently has no defined evaluation pathway in community practice). The primary outcome is the proportion of CCUS-pattern patients who received no further hematologic workup, constituting the care gap. Pre-specified secondary outcomes include care gap characterization in the erythrocytosis and isolated macrocytosis arms, and an inflammaging composite score (NLR, albumin, hsCRP, and ferritin) derived from existing chart data across all three phenotypes. Phase 1 requires no new clinical testing, uses existing LIS and electronic medical record infrastructure, carries minimal IRB risk as a retrospective chart review, and has near-zero direct cost.</w:t>
      </w:r>
    </w:p>
    <w:p>
      <w:pPr>
        <w:spacing w:after="160" w:before="0" w:line="320"/>
        <w:jc w:val="both"/>
      </w:pPr>
      <w:r>
        <w:rPr>
          <w:rFonts w:ascii="Arial" w:cs="Arial" w:eastAsia="Arial" w:hAnsi="Arial"/>
          <w:color w:val="1E1E1E"/>
          <w:sz w:val="22"/>
          <w:szCs w:val="22"/>
        </w:rPr>
        <w:t xml:space="preserve">Phase 2, contingent on Phase 1 feasibility data and small grant funding, will prospectively enroll Phase 1-flagged patients for confirmatory peripheral blood next-generation sequencing (NGS) of CHIP driver genes. The primary outcomes will be CHIP and CCUS prevalence in this occupationally exposed rural cohort compared with published urban biobank rates, driver gene distribution, and the correlation between the Phase 1 inflammaging composite and confirmed CHIP genotype. A pre-specified stratified analysis by age 65-69 versus 70 and above will examine whether agricultural chemical exposure produces earlier-than-expected CHIP clonal selection relative to published population norms.</w:t>
      </w:r>
    </w:p>
    <w:p>
      <w:pPr>
        <w:spacing w:after="160" w:before="0" w:line="320"/>
        <w:jc w:val="both"/>
      </w:pPr>
      <w:r>
        <w:rPr>
          <w:rFonts w:ascii="Arial" w:cs="Arial" w:eastAsia="Arial" w:hAnsi="Arial"/>
          <w:color w:val="1E1E1E"/>
          <w:sz w:val="22"/>
          <w:szCs w:val="22"/>
        </w:rPr>
        <w:t xml:space="preserve">The cardiovascular implications of CHIP in this population extend beyond malignancy surveillance. Patients with TET2-CHIP mutations and evidence of systemic inflammation may represent a subgroup that derives preferential benefit from existing anti-inflammatory cardiovascular therapies. An exploratory analysis of the CANTOS cardiovascular trial demonstrated approximately 62% relative reduction in major adverse cardiovascular events with canakinumab (an anti-inflammatory agent targeting the same inflammatory pathway that TET2-mutant blood cells hyperactivate) in TET2-CHIP carriers, versus equivocal benefit in patients without CHIP.10 Colchicine, an inexpensive anti-inflammatory medication already guideline-supported for coronary artery disease prevention, operates through the same pathway.11,12 These are not experimental treatments reserved for academic centers; they are medications available to any rural primary care physician. The barrier is not therapeutic access but diagnostic recognition. Patients who are never identified as CHIP carriers cannot benefit from risk stratification or treatment optimization that depends on that identification.</w:t>
      </w:r>
    </w:p>
    <w:p>
      <w:pPr>
        <w:spacing w:after="160" w:before="0" w:line="320"/>
        <w:jc w:val="both"/>
      </w:pPr>
      <w:r>
        <w:rPr>
          <w:rFonts w:ascii="Arial" w:cs="Arial" w:eastAsia="Arial" w:hAnsi="Arial"/>
          <w:color w:val="1E1E1E"/>
          <w:sz w:val="22"/>
          <w:szCs w:val="22"/>
        </w:rPr>
        <w:t xml:space="preserve">Community hospitals serving rural populations are uniquely positioned to address this gap. Their laboratory information systems contain longitudinal structured data on entire regional populations, including elderly agricultural workers who receive little or no care at urban academic centers. The methodology proposed here (LIS-based retrospective cohort identification combined with an inflammaging composite derived from existing chart data) is scalable, requires no specialized equipment, and is transferable to any community hospital with a functioning laboratory information system. Establishing the prevalence of unrecognized CCUS in this population, and characterizing the inflammaging burden of affected patients from existing laboratory data alone, would constitute the first community-based CHIP care gap analysis in a rural agricultural cohort. The resulting data would support external grant applications for a multi-site surveillance program and provide the population-level evidence required to inform guideline development for CHIP recognition in rural primary care settings. Elderly rural agricultural workers face barriers to specialty hematology access that urban populations do not; identifying those at highest cardiovascular and malignancy risk before those barriers become consequential is a rural health equity imperative.</w:t>
      </w:r>
    </w:p>
    <w:p>
      <w:pPr>
        <w:spacing w:after="80" w:before="0"/>
      </w:pPr>
      <w:r>
        <w:t xml:space="preserve"/>
      </w:r>
    </w:p>
    <w:p>
      <w:pPr>
        <w:keepNext/>
        <w:spacing w:after="80" w:before="0"/>
      </w:pPr>
      <w:r>
        <w:rPr>
          <w:rFonts w:ascii="Arial" w:cs="Arial" w:eastAsia="Arial" w:hAnsi="Arial"/>
          <w:b/>
          <w:bCs/>
          <w:color w:val="0D2137"/>
          <w:sz w:val="21"/>
          <w:szCs w:val="21"/>
        </w:rPr>
        <w:t xml:space="preserve">Disclosures</w:t>
      </w:r>
    </w:p>
    <w:p>
      <w:pPr>
        <w:spacing w:after="160" w:before="0" w:line="320"/>
        <w:jc w:val="both"/>
      </w:pPr>
      <w:r>
        <w:rPr>
          <w:rFonts w:ascii="Arial" w:cs="Arial" w:eastAsia="Arial" w:hAnsi="Arial"/>
          <w:color w:val="1E1E1E"/>
          <w:sz w:val="22"/>
          <w:szCs w:val="22"/>
        </w:rPr>
        <w:t xml:space="preserve">The author has no conflicts of interest to disclose. No funding was received for the preparation of this manuscript.</w:t>
      </w:r>
    </w:p>
    <w:p>
      <w:pPr>
        <w:spacing w:after="80" w:before="0"/>
      </w:pPr>
      <w:r>
        <w:t xml:space="preserve"/>
      </w:r>
    </w:p>
    <w:p>
      <w:pPr>
        <w:keepNext/>
        <w:spacing w:after="80" w:before="160"/>
      </w:pPr>
      <w:r>
        <w:rPr>
          <w:rFonts w:ascii="Arial" w:cs="Arial" w:eastAsia="Arial" w:hAnsi="Arial"/>
          <w:b/>
          <w:bCs/>
          <w:color w:val="0D2137"/>
          <w:sz w:val="21"/>
          <w:szCs w:val="21"/>
        </w:rPr>
        <w:t xml:space="preserve">Table 1. Proposed Study Design</w:t>
      </w:r>
    </w:p>
    <w:p>
      <w:pPr>
        <w:pBdr>
          <w:top w:val="single" w:color="0D2137" w:sz="8" w:space="0"/>
          <w:bottom w:val="single" w:color="0D2137" w:sz="4" w:space="0"/>
        </w:pBdr>
        <w:spacing w:after="0" w:before="0"/>
      </w:pPr>
      <w:r>
        <w:rPr>
          <w:rFonts w:ascii="Arial" w:cs="Arial" w:eastAsia="Arial" w:hAnsi="Arial"/>
          <w:b/>
          <w:bCs/>
          <w:color w:val="0D2137"/>
          <w:sz w:val="20"/>
          <w:szCs w:val="20"/>
        </w:rPr>
        <w:t xml:space="preserve">Phase 1 (No external funding required)</w:t>
      </w:r>
    </w:p>
    <w:p>
      <w:pPr>
        <w:spacing w:after="20" w:before="40"/>
        <w:ind w:left="360"/>
      </w:pPr>
      <w:r>
        <w:rPr>
          <w:rFonts w:ascii="Arial" w:cs="Arial" w:eastAsia="Arial" w:hAnsi="Arial"/>
          <w:color w:val="1E1E1E"/>
          <w:sz w:val="20"/>
          <w:szCs w:val="20"/>
        </w:rPr>
        <w:t xml:space="preserve">Design:  Retrospective LIS query and EMR structured data extraction</w:t>
      </w:r>
    </w:p>
    <w:p>
      <w:pPr>
        <w:spacing w:after="20" w:before="0"/>
        <w:ind w:left="360"/>
      </w:pPr>
      <w:r>
        <w:rPr>
          <w:rFonts w:ascii="Arial" w:cs="Arial" w:eastAsia="Arial" w:hAnsi="Arial"/>
          <w:color w:val="1E1E1E"/>
          <w:sz w:val="20"/>
          <w:szCs w:val="20"/>
        </w:rPr>
        <w:t xml:space="preserve">Population:  All patients aged &gt;=65 with MCV &gt;=95 fL, 36-month lookback, reversible causes excluded</w:t>
      </w:r>
    </w:p>
    <w:p>
      <w:pPr>
        <w:spacing w:after="20" w:before="0"/>
        <w:ind w:left="360"/>
      </w:pPr>
      <w:r>
        <w:rPr>
          <w:rFonts w:ascii="Arial" w:cs="Arial" w:eastAsia="Arial" w:hAnsi="Arial"/>
          <w:color w:val="1E1E1E"/>
          <w:sz w:val="20"/>
          <w:szCs w:val="20"/>
        </w:rPr>
        <w:t xml:space="preserve">Primary arm:  CCUS-pattern: MCV elevated + hemoglobin below threshold + normal B12/folate (primary endpoint)</w:t>
      </w:r>
    </w:p>
    <w:p>
      <w:pPr>
        <w:spacing w:after="20" w:before="0"/>
        <w:ind w:left="360"/>
      </w:pPr>
      <w:r>
        <w:rPr>
          <w:rFonts w:ascii="Arial" w:cs="Arial" w:eastAsia="Arial" w:hAnsi="Arial"/>
          <w:color w:val="1E1E1E"/>
          <w:sz w:val="20"/>
          <w:szCs w:val="20"/>
        </w:rPr>
        <w:t xml:space="preserve">Secondary arms:  Erythrocytosis-pattern (MCV elevated + hematocrit above threshold) and isolated macrocytosis (MCV elevated, normal Hgb and Hct) -- pre-specified</w:t>
      </w:r>
    </w:p>
    <w:p>
      <w:pPr>
        <w:spacing w:after="20" w:before="0"/>
        <w:ind w:left="360"/>
      </w:pPr>
      <w:r>
        <w:rPr>
          <w:rFonts w:ascii="Arial" w:cs="Arial" w:eastAsia="Arial" w:hAnsi="Arial"/>
          <w:color w:val="1E1E1E"/>
          <w:sz w:val="20"/>
          <w:szCs w:val="20"/>
        </w:rPr>
        <w:t xml:space="preserve">Primary outcome:  Proportion with no documented hematologic workup (care gap)</w:t>
      </w:r>
    </w:p>
    <w:p>
      <w:pPr>
        <w:spacing w:after="20" w:before="0"/>
        <w:ind w:left="360"/>
      </w:pPr>
      <w:r>
        <w:rPr>
          <w:rFonts w:ascii="Arial" w:cs="Arial" w:eastAsia="Arial" w:hAnsi="Arial"/>
          <w:color w:val="1E1E1E"/>
          <w:sz w:val="20"/>
          <w:szCs w:val="20"/>
        </w:rPr>
        <w:t xml:space="preserve">Secondary:  Inflammaging composite (NLR, albumin, hsCRP, ferritin) from existing chart data</w:t>
      </w:r>
    </w:p>
    <w:p>
      <w:pPr>
        <w:spacing w:after="20" w:before="0"/>
        <w:ind w:left="360"/>
      </w:pPr>
      <w:r>
        <w:rPr>
          <w:rFonts w:ascii="Arial" w:cs="Arial" w:eastAsia="Arial" w:hAnsi="Arial"/>
          <w:color w:val="1E1E1E"/>
          <w:sz w:val="20"/>
          <w:szCs w:val="20"/>
        </w:rPr>
        <w:t xml:space="preserve">IRB:  Minimal risk retrospective chart review</w:t>
      </w:r>
    </w:p>
    <w:p>
      <w:pPr>
        <w:spacing w:after="40" w:before="0"/>
        <w:ind w:left="360"/>
      </w:pPr>
      <w:r>
        <w:rPr>
          <w:rFonts w:ascii="Arial" w:cs="Arial" w:eastAsia="Arial" w:hAnsi="Arial"/>
          <w:color w:val="1E1E1E"/>
          <w:sz w:val="20"/>
          <w:szCs w:val="20"/>
        </w:rPr>
        <w:t xml:space="preserve">Direct cost:  Near zero (existing data, existing infrastructure)</w:t>
      </w:r>
    </w:p>
    <w:p>
      <w:pPr>
        <w:pBdr>
          <w:top w:val="single" w:color="0D2137" w:sz="4" w:space="0"/>
          <w:bottom w:val="single" w:color="0D2137" w:sz="4" w:space="0"/>
        </w:pBdr>
        <w:spacing w:after="0" w:before="0"/>
      </w:pPr>
      <w:r>
        <w:rPr>
          <w:rFonts w:ascii="Arial" w:cs="Arial" w:eastAsia="Arial" w:hAnsi="Arial"/>
          <w:b/>
          <w:bCs/>
          <w:color w:val="0D2137"/>
          <w:sz w:val="20"/>
          <w:szCs w:val="20"/>
        </w:rPr>
        <w:t xml:space="preserve">Phase 2 (Small grant required; estimated $6,000-18,000)</w:t>
      </w:r>
    </w:p>
    <w:p>
      <w:pPr>
        <w:spacing w:after="20" w:before="40"/>
        <w:ind w:left="360"/>
      </w:pPr>
      <w:r>
        <w:rPr>
          <w:rFonts w:ascii="Arial" w:cs="Arial" w:eastAsia="Arial" w:hAnsi="Arial"/>
          <w:color w:val="1E1E1E"/>
          <w:sz w:val="20"/>
          <w:szCs w:val="20"/>
        </w:rPr>
        <w:t xml:space="preserve">Design:  Prospective enrollment of Phase 1-flagged patients for peripheral blood CHIP NGS panel</w:t>
      </w:r>
    </w:p>
    <w:p>
      <w:pPr>
        <w:spacing w:after="20" w:before="0"/>
        <w:ind w:left="360"/>
      </w:pPr>
      <w:r>
        <w:rPr>
          <w:rFonts w:ascii="Arial" w:cs="Arial" w:eastAsia="Arial" w:hAnsi="Arial"/>
          <w:color w:val="1E1E1E"/>
          <w:sz w:val="20"/>
          <w:szCs w:val="20"/>
        </w:rPr>
        <w:t xml:space="preserve">Primary outcomes:  CHIP/CCUS prevalence vs. published urban biobank rates; driver gene distribution; inflammaging composite vs. CHIP genotype correlation</w:t>
      </w:r>
    </w:p>
    <w:p>
      <w:pPr>
        <w:spacing w:after="20" w:before="0"/>
        <w:ind w:left="360"/>
      </w:pPr>
      <w:r>
        <w:rPr>
          <w:rFonts w:ascii="Arial" w:cs="Arial" w:eastAsia="Arial" w:hAnsi="Arial"/>
          <w:color w:val="1E1E1E"/>
          <w:sz w:val="20"/>
          <w:szCs w:val="20"/>
        </w:rPr>
        <w:t xml:space="preserve">Pre-specified analysis:  Stratification by age 65-69 vs. &gt;=70; agricultural chemical exposure as covariate</w:t>
      </w:r>
    </w:p>
    <w:p>
      <w:pPr>
        <w:spacing w:after="40" w:before="0"/>
        <w:ind w:left="360"/>
      </w:pPr>
      <w:r>
        <w:rPr>
          <w:rFonts w:ascii="Arial" w:cs="Arial" w:eastAsia="Arial" w:hAnsi="Arial"/>
          <w:color w:val="1E1E1E"/>
          <w:sz w:val="20"/>
          <w:szCs w:val="20"/>
        </w:rPr>
        <w:t xml:space="preserve">Target enrollment:  20-30 patients (Year 1 pilot)</w:t>
      </w:r>
    </w:p>
    <w:p>
      <w:pPr>
        <w:pBdr>
          <w:bottom w:val="single" w:color="0D2137" w:sz="8" w:space="0"/>
        </w:pBdr>
        <w:spacing w:after="200" w:before="0"/>
      </w:pPr>
      <w:r>
        <w:rPr>
          <w:rFonts w:ascii="Arial" w:cs="Arial" w:eastAsia="Arial" w:hAnsi="Arial"/>
          <w:color w:val="666666"/>
          <w:sz w:val="18"/>
          <w:szCs w:val="18"/>
        </w:rPr>
        <w:t xml:space="preserve">NLR, neutrophil-to-lymphocyte ratio; hsCRP, high-sensitivity C-reactive protein; NGS, next-generation sequencing; CBC, complete blood count; EMR, electronic medical record; LIS, laboratory information system.</w:t>
      </w:r>
    </w:p>
    <w:p>
      <w:pPr>
        <w:spacing w:after="80" w:before="0"/>
      </w:pPr>
      <w:r>
        <w:t xml:space="preserve"/>
      </w:r>
    </w:p>
    <w:p>
      <w:pPr>
        <w:keepNext/>
        <w:spacing w:after="80" w:before="160"/>
      </w:pPr>
      <w:r>
        <w:rPr>
          <w:rFonts w:ascii="Arial" w:cs="Arial" w:eastAsia="Arial" w:hAnsi="Arial"/>
          <w:b/>
          <w:bCs/>
          <w:color w:val="0D2137"/>
          <w:sz w:val="21"/>
          <w:szCs w:val="21"/>
        </w:rPr>
        <w:t xml:space="preserve">References</w:t>
      </w:r>
    </w:p>
    <w:p>
      <w:pPr>
        <w:spacing w:after="80" w:before="0" w:line="290"/>
        <w:ind w:left="540" w:hanging="540"/>
      </w:pPr>
      <w:r>
        <w:rPr>
          <w:rFonts w:ascii="Arial" w:cs="Arial" w:eastAsia="Arial" w:hAnsi="Arial"/>
          <w:b/>
          <w:bCs/>
          <w:color w:val="666666"/>
          <w:sz w:val="20"/>
          <w:szCs w:val="20"/>
        </w:rPr>
        <w:t xml:space="preserve">1.  </w:t>
      </w:r>
      <w:r>
        <w:rPr>
          <w:rFonts w:ascii="Arial" w:cs="Arial" w:eastAsia="Arial" w:hAnsi="Arial"/>
          <w:color w:val="666666"/>
          <w:sz w:val="20"/>
          <w:szCs w:val="20"/>
        </w:rPr>
        <w:t xml:space="preserve">Steensma DP, Bejar R, Jaiswal S, et al. Clonal hematopoiesis of indeterminate potential and its distinction from myelodysplastic syndromes. Blood. 2015;126(1):9-16.</w:t>
      </w:r>
    </w:p>
    <w:p>
      <w:pPr>
        <w:spacing w:after="80" w:before="0" w:line="290"/>
        <w:ind w:left="540" w:hanging="540"/>
      </w:pPr>
      <w:r>
        <w:rPr>
          <w:rFonts w:ascii="Arial" w:cs="Arial" w:eastAsia="Arial" w:hAnsi="Arial"/>
          <w:b/>
          <w:bCs/>
          <w:color w:val="666666"/>
          <w:sz w:val="20"/>
          <w:szCs w:val="20"/>
        </w:rPr>
        <w:t xml:space="preserve">2.  </w:t>
      </w:r>
      <w:r>
        <w:rPr>
          <w:rFonts w:ascii="Arial" w:cs="Arial" w:eastAsia="Arial" w:hAnsi="Arial"/>
          <w:color w:val="666666"/>
          <w:sz w:val="20"/>
          <w:szCs w:val="20"/>
        </w:rPr>
        <w:t xml:space="preserve">Jaiswal S, Fontanillas P, Flannick J, et al. Age-related clonal hematopoiesis associated with adverse outcomes. N Engl J Med. 2014;371(26):2488-2498.</w:t>
      </w:r>
    </w:p>
    <w:p>
      <w:pPr>
        <w:spacing w:after="80" w:before="0" w:line="290"/>
        <w:ind w:left="540" w:hanging="540"/>
      </w:pPr>
      <w:r>
        <w:rPr>
          <w:rFonts w:ascii="Arial" w:cs="Arial" w:eastAsia="Arial" w:hAnsi="Arial"/>
          <w:b/>
          <w:bCs/>
          <w:color w:val="666666"/>
          <w:sz w:val="20"/>
          <w:szCs w:val="20"/>
        </w:rPr>
        <w:t xml:space="preserve">3.  </w:t>
      </w:r>
      <w:r>
        <w:rPr>
          <w:rFonts w:ascii="Arial" w:cs="Arial" w:eastAsia="Arial" w:hAnsi="Arial"/>
          <w:color w:val="666666"/>
          <w:sz w:val="20"/>
          <w:szCs w:val="20"/>
        </w:rPr>
        <w:t xml:space="preserve">Jaiswal S, Natarajan P, Silver AJ, et al. Clonal hematopoiesis and risk of atherosclerotic cardiovascular disease. N Engl J Med. 2017;377(2):111-121.</w:t>
      </w:r>
    </w:p>
    <w:p>
      <w:pPr>
        <w:spacing w:after="80" w:before="0" w:line="290"/>
        <w:ind w:left="540" w:hanging="540"/>
      </w:pPr>
      <w:r>
        <w:rPr>
          <w:rFonts w:ascii="Arial" w:cs="Arial" w:eastAsia="Arial" w:hAnsi="Arial"/>
          <w:b/>
          <w:bCs/>
          <w:color w:val="666666"/>
          <w:sz w:val="20"/>
          <w:szCs w:val="20"/>
        </w:rPr>
        <w:t xml:space="preserve">4.  </w:t>
      </w:r>
      <w:r>
        <w:rPr>
          <w:rFonts w:ascii="Arial" w:cs="Arial" w:eastAsia="Arial" w:hAnsi="Arial"/>
          <w:color w:val="666666"/>
          <w:sz w:val="20"/>
          <w:szCs w:val="20"/>
        </w:rPr>
        <w:t xml:space="preserve">Genovese G, Kahler AK, Handsaker RE, et al. Clonal hematopoiesis and blood-cancer risk inferred from blood DNA sequence. N Engl J Med. 2014;371(26):2477-2487.</w:t>
      </w:r>
    </w:p>
    <w:p>
      <w:pPr>
        <w:spacing w:after="80" w:before="0" w:line="290"/>
        <w:ind w:left="540" w:hanging="540"/>
      </w:pPr>
      <w:r>
        <w:rPr>
          <w:rFonts w:ascii="Arial" w:cs="Arial" w:eastAsia="Arial" w:hAnsi="Arial"/>
          <w:b/>
          <w:bCs/>
          <w:color w:val="666666"/>
          <w:sz w:val="20"/>
          <w:szCs w:val="20"/>
        </w:rPr>
        <w:t xml:space="preserve">5.  </w:t>
      </w:r>
      <w:r>
        <w:rPr>
          <w:rFonts w:ascii="Arial" w:cs="Arial" w:eastAsia="Arial" w:hAnsi="Arial"/>
          <w:color w:val="666666"/>
          <w:sz w:val="20"/>
          <w:szCs w:val="20"/>
        </w:rPr>
        <w:t xml:space="preserve">Schinasi L, Leon ME. Non-Hodgkin lymphoma and occupational exposure to agricultural pesticide chemical groups and active ingredients: a systematic review and meta-analysis. Int J Environ Res Public Health. 2014;11(4):4449-4527.</w:t>
      </w:r>
    </w:p>
    <w:p>
      <w:pPr>
        <w:spacing w:after="80" w:before="0" w:line="290"/>
        <w:ind w:left="540" w:hanging="540"/>
      </w:pPr>
      <w:r>
        <w:rPr>
          <w:rFonts w:ascii="Arial" w:cs="Arial" w:eastAsia="Arial" w:hAnsi="Arial"/>
          <w:b/>
          <w:bCs/>
          <w:color w:val="666666"/>
          <w:sz w:val="20"/>
          <w:szCs w:val="20"/>
        </w:rPr>
        <w:t xml:space="preserve">6.  </w:t>
      </w:r>
      <w:r>
        <w:rPr>
          <w:rFonts w:ascii="Arial" w:cs="Arial" w:eastAsia="Arial" w:hAnsi="Arial"/>
          <w:color w:val="666666"/>
          <w:sz w:val="20"/>
          <w:szCs w:val="20"/>
        </w:rPr>
        <w:t xml:space="preserve">Merhi M, Raynal H, Cahuzac E, Vinson F, Cravedi JP, Gamet-Payrastre L. Occupational exposure to pesticides and risk of hematopoietic cancers: meta-analysis of case-control studies. Cancer Causes Control. 2007;18(10):1209-1226.</w:t>
      </w:r>
    </w:p>
    <w:p>
      <w:pPr>
        <w:spacing w:after="80" w:before="0" w:line="290"/>
        <w:ind w:left="540" w:hanging="540"/>
      </w:pPr>
      <w:r>
        <w:rPr>
          <w:rFonts w:ascii="Arial" w:cs="Arial" w:eastAsia="Arial" w:hAnsi="Arial"/>
          <w:b/>
          <w:bCs/>
          <w:color w:val="666666"/>
          <w:sz w:val="20"/>
          <w:szCs w:val="20"/>
        </w:rPr>
        <w:t xml:space="preserve">7.  </w:t>
      </w:r>
      <w:r>
        <w:rPr>
          <w:rFonts w:ascii="Arial" w:cs="Arial" w:eastAsia="Arial" w:hAnsi="Arial"/>
          <w:color w:val="666666"/>
          <w:sz w:val="20"/>
          <w:szCs w:val="20"/>
        </w:rPr>
        <w:t xml:space="preserve">Leiser CL, Hanson HA, Huang H, et al. Associations between ambient air pollutants and clonal hematopoiesis of indeterminate potential. Cancer Epidemiol Biomarkers Prev. 2023;32(10):1470-1473.</w:t>
      </w:r>
    </w:p>
    <w:p>
      <w:pPr>
        <w:spacing w:after="80" w:before="0" w:line="290"/>
        <w:ind w:left="540" w:hanging="540"/>
      </w:pPr>
      <w:r>
        <w:rPr>
          <w:rFonts w:ascii="Arial" w:cs="Arial" w:eastAsia="Arial" w:hAnsi="Arial"/>
          <w:b/>
          <w:bCs/>
          <w:color w:val="666666"/>
          <w:sz w:val="20"/>
          <w:szCs w:val="20"/>
        </w:rPr>
        <w:t xml:space="preserve">8.  </w:t>
      </w:r>
      <w:r>
        <w:rPr>
          <w:rFonts w:ascii="Arial" w:cs="Arial" w:eastAsia="Arial" w:hAnsi="Arial"/>
          <w:color w:val="666666"/>
          <w:sz w:val="20"/>
          <w:szCs w:val="20"/>
        </w:rPr>
        <w:t xml:space="preserve">Fuster JJ, MacLauchlan S, Zuriaga MA, et al. Clonal hematopoiesis associated with TET2 deficiency accelerates atherosclerosis development in mice. Science. 2017;355(6327):842-847.</w:t>
      </w:r>
    </w:p>
    <w:p>
      <w:pPr>
        <w:spacing w:after="80" w:before="0" w:line="290"/>
        <w:ind w:left="540" w:hanging="540"/>
      </w:pPr>
      <w:r>
        <w:rPr>
          <w:rFonts w:ascii="Arial" w:cs="Arial" w:eastAsia="Arial" w:hAnsi="Arial"/>
          <w:b/>
          <w:bCs/>
          <w:color w:val="666666"/>
          <w:sz w:val="20"/>
          <w:szCs w:val="20"/>
        </w:rPr>
        <w:t xml:space="preserve">9.  </w:t>
      </w:r>
      <w:r>
        <w:rPr>
          <w:rFonts w:ascii="Arial" w:cs="Arial" w:eastAsia="Arial" w:hAnsi="Arial"/>
          <w:color w:val="666666"/>
          <w:sz w:val="20"/>
          <w:szCs w:val="20"/>
        </w:rPr>
        <w:t xml:space="preserve">Schuermans A, Honigberg MC, Raffield LM, et al. Clonal hematopoiesis and incident heart failure with preserved ejection fraction. JAMA Netw Open. 2024;7(1):e2353244.</w:t>
      </w:r>
    </w:p>
    <w:p>
      <w:pPr>
        <w:spacing w:after="80" w:before="0" w:line="290"/>
        <w:ind w:left="540" w:hanging="540"/>
      </w:pPr>
      <w:r>
        <w:rPr>
          <w:rFonts w:ascii="Arial" w:cs="Arial" w:eastAsia="Arial" w:hAnsi="Arial"/>
          <w:b/>
          <w:bCs/>
          <w:color w:val="666666"/>
          <w:sz w:val="20"/>
          <w:szCs w:val="20"/>
        </w:rPr>
        <w:t xml:space="preserve">10.  </w:t>
      </w:r>
      <w:r>
        <w:rPr>
          <w:rFonts w:ascii="Arial" w:cs="Arial" w:eastAsia="Arial" w:hAnsi="Arial"/>
          <w:color w:val="666666"/>
          <w:sz w:val="20"/>
          <w:szCs w:val="20"/>
        </w:rPr>
        <w:t xml:space="preserve">Svensson EC, Madar A, Campbell CD, et al. TET2-driven clonal hematopoiesis and response to canakinumab: an exploratory analysis of the CANTOS randomized clinical trial. JAMA Cardiol. 2022;7(5):521-528.</w:t>
      </w:r>
    </w:p>
    <w:p>
      <w:pPr>
        <w:spacing w:after="80" w:before="0" w:line="290"/>
        <w:ind w:left="540" w:hanging="540"/>
      </w:pPr>
      <w:r>
        <w:rPr>
          <w:rFonts w:ascii="Arial" w:cs="Arial" w:eastAsia="Arial" w:hAnsi="Arial"/>
          <w:b/>
          <w:bCs/>
          <w:color w:val="666666"/>
          <w:sz w:val="20"/>
          <w:szCs w:val="20"/>
        </w:rPr>
        <w:t xml:space="preserve">11.  </w:t>
      </w:r>
      <w:r>
        <w:rPr>
          <w:rFonts w:ascii="Arial" w:cs="Arial" w:eastAsia="Arial" w:hAnsi="Arial"/>
          <w:color w:val="666666"/>
          <w:sz w:val="20"/>
          <w:szCs w:val="20"/>
        </w:rPr>
        <w:t xml:space="preserve">Tardif JC, Kouz S, Waters DD, et al. Efficacy and safety of low-dose colchicine after myocardial infarction. N Engl J Med. 2019;381(26):2497-2505.</w:t>
      </w:r>
    </w:p>
    <w:p>
      <w:pPr>
        <w:spacing w:after="80" w:before="0" w:line="290"/>
        <w:ind w:left="540" w:hanging="540"/>
      </w:pPr>
      <w:r>
        <w:rPr>
          <w:rFonts w:ascii="Arial" w:cs="Arial" w:eastAsia="Arial" w:hAnsi="Arial"/>
          <w:b/>
          <w:bCs/>
          <w:color w:val="666666"/>
          <w:sz w:val="20"/>
          <w:szCs w:val="20"/>
        </w:rPr>
        <w:t xml:space="preserve">12.  </w:t>
      </w:r>
      <w:r>
        <w:rPr>
          <w:rFonts w:ascii="Arial" w:cs="Arial" w:eastAsia="Arial" w:hAnsi="Arial"/>
          <w:color w:val="666666"/>
          <w:sz w:val="20"/>
          <w:szCs w:val="20"/>
        </w:rPr>
        <w:t xml:space="preserve">Nidorf SM, Fiolet ATL, Mosterd A, et al. Colchicine in patients with chronic coronary disease. N Engl J Med. 2020;383(19):1838-1847.</w:t>
      </w:r>
    </w:p>
    <w:p>
      <w:pPr>
        <w:spacing w:after="80" w:before="0" w:line="290"/>
        <w:ind w:left="540" w:hanging="540"/>
      </w:pPr>
      <w:r>
        <w:rPr>
          <w:rFonts w:ascii="Arial" w:cs="Arial" w:eastAsia="Arial" w:hAnsi="Arial"/>
          <w:b/>
          <w:bCs/>
          <w:color w:val="666666"/>
          <w:sz w:val="20"/>
          <w:szCs w:val="20"/>
        </w:rPr>
        <w:t xml:space="preserve">13.  </w:t>
      </w:r>
      <w:r>
        <w:rPr>
          <w:rFonts w:ascii="Arial" w:cs="Arial" w:eastAsia="Arial" w:hAnsi="Arial"/>
          <w:color w:val="666666"/>
          <w:sz w:val="20"/>
          <w:szCs w:val="20"/>
        </w:rPr>
        <w:t xml:space="preserve">Florez MA, Tran BT, Wathan TK, et al. Clonal hematopoiesis: mutation-specific adaptation to environmental change. Cell Stem Cell. 2022;29(6):882-904.</w:t>
      </w:r>
    </w:p>
    <w:p>
      <w:pPr>
        <w:spacing w:after="80" w:before="0" w:line="290"/>
        <w:ind w:left="540" w:hanging="540"/>
      </w:pPr>
      <w:r>
        <w:rPr>
          <w:rFonts w:ascii="Arial" w:cs="Arial" w:eastAsia="Arial" w:hAnsi="Arial"/>
          <w:b/>
          <w:bCs/>
          <w:color w:val="666666"/>
          <w:sz w:val="20"/>
          <w:szCs w:val="20"/>
        </w:rPr>
        <w:t xml:space="preserve">14.  </w:t>
      </w:r>
      <w:r>
        <w:rPr>
          <w:rFonts w:ascii="Arial" w:cs="Arial" w:eastAsia="Arial" w:hAnsi="Arial"/>
          <w:color w:val="666666"/>
          <w:sz w:val="20"/>
          <w:szCs w:val="20"/>
        </w:rPr>
        <w:t xml:space="preserve">Weeks LD, Niroula A, Neuberg D, et al. Prediction of risk for myeloid malignancy in clonal hematopoiesis. NEJM Evid. 2023;2(5):EVIDoa2200310.</w:t>
      </w:r>
    </w:p>
    <w:p>
      <w:pPr>
        <w:spacing w:after="80" w:before="0" w:line="290"/>
        <w:ind w:left="540" w:hanging="540"/>
      </w:pPr>
      <w:r>
        <w:rPr>
          <w:rFonts w:ascii="Arial" w:cs="Arial" w:eastAsia="Arial" w:hAnsi="Arial"/>
          <w:b/>
          <w:bCs/>
          <w:color w:val="666666"/>
          <w:sz w:val="20"/>
          <w:szCs w:val="20"/>
        </w:rPr>
        <w:t xml:space="preserve">15.  </w:t>
      </w:r>
      <w:r>
        <w:rPr>
          <w:rFonts w:ascii="Arial" w:cs="Arial" w:eastAsia="Arial" w:hAnsi="Arial"/>
          <w:color w:val="666666"/>
          <w:sz w:val="20"/>
          <w:szCs w:val="20"/>
        </w:rPr>
        <w:t xml:space="preserve">Libby P, Sidlow R, Lin AE, et al. Clonal hematopoiesis: crossroads of aging, cardiovascular disease, and cancer. J Am Coll Cardiol. 2019;74(4):567-577.</w:t>
      </w:r>
    </w:p>
    <w:p>
      <w:pPr>
        <w:spacing w:after="80" w:before="0"/>
      </w:pPr>
      <w:r>
        <w:t xml:space="preserve"/>
      </w:r>
    </w:p>
    <w:p>
      <w:pPr>
        <w:pBdr>
          <w:top w:val="single" w:color="C8DFF0" w:sz="4" w:space="4"/>
        </w:pBdr>
        <w:spacing w:after="0" w:before="120"/>
      </w:pPr>
      <w:r>
        <w:rPr>
          <w:rFonts w:ascii="Arial" w:cs="Arial" w:eastAsia="Arial" w:hAnsi="Arial"/>
          <w:color w:val="999999"/>
          <w:sz w:val="18"/>
          <w:szCs w:val="18"/>
        </w:rPr>
        <w:t xml:space="preserve">David Comstock, MD  |  Department of Internal Medicine, Guthrie Lourdes Hospital, Binghamton, NY  |  May 2026</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8"/>
        <w:szCs w:val="18"/>
      </w:rPr>
      <w:t xml:space="preserve">Comstock | Journal of Rural Health Commentary (Draft)   |   p.</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2026-05-18T02:36:48.119Z</dcterms:created>
  <dcterms:modified xsi:type="dcterms:W3CDTF">2026-05-18T02:36:48.119Z</dcterms:modified>
</cp:coreProperties>
</file>

<file path=docProps/custom.xml><?xml version="1.0" encoding="utf-8"?>
<Properties xmlns="http://schemas.openxmlformats.org/officeDocument/2006/custom-properties" xmlns:vt="http://schemas.openxmlformats.org/officeDocument/2006/docPropsVTypes"/>
</file>