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66666"/>
          <w:sz w:val="19"/>
          <w:szCs w:val="19"/>
        </w:rPr>
        <w:t xml:space="preserve">Blood Advances  |  Research Letter  |  Draft</w:t>
      </w:r>
    </w:p>
    <w:p>
      <w:pPr>
        <w:pBdr>
          <w:bottom w:val="single" w:color="C8DFF0" w:sz="4" w:space="4"/>
        </w:pBdr>
        <w:spacing w:after="200" w:before="80"/>
      </w:pPr>
      <w:r>
        <w:rPr>
          <w:rFonts w:ascii="Georgia" w:cs="Georgia" w:eastAsia="Georgia" w:hAnsi="Georgia"/>
          <w:b/>
          <w:bCs/>
          <w:color w:val="0D2137"/>
          <w:sz w:val="30"/>
          <w:szCs w:val="30"/>
        </w:rPr>
        <w:t xml:space="preserve">Clonal Hematopoiesis and Cardiovascular Risk in Rural Agricultural Populations: An Uncharacterized Care Gap</w:t>
      </w:r>
    </w:p>
    <w:p>
      <w:pPr>
        <w:spacing w:after="40" w:before="120"/>
      </w:pPr>
      <w:r>
        <w:rPr>
          <w:rFonts w:ascii="Arial" w:cs="Arial" w:eastAsia="Arial" w:hAnsi="Arial"/>
          <w:b/>
          <w:bCs/>
          <w:color w:val="1E1E1E"/>
          <w:sz w:val="22"/>
          <w:szCs w:val="22"/>
        </w:rPr>
        <w:t xml:space="preserve">David Comstock, MD</w:t>
      </w:r>
    </w:p>
    <w:p>
      <w:pPr>
        <w:spacing w:after="40" w:before="0"/>
      </w:pPr>
      <w:r>
        <w:rPr>
          <w:rFonts w:ascii="Arial" w:cs="Arial" w:eastAsia="Arial" w:hAnsi="Arial"/>
          <w:color w:val="666666"/>
          <w:sz w:val="21"/>
          <w:szCs w:val="21"/>
        </w:rPr>
        <w:t xml:space="preserve">Department of Internal Medicine, Guthrie Lourdes Hospital, Binghamton, New York</w:t>
      </w:r>
    </w:p>
    <w:p>
      <w:pPr>
        <w:spacing w:after="240" w:before="0"/>
      </w:pPr>
      <w:r>
        <w:rPr>
          <w:rFonts w:ascii="Arial" w:cs="Arial" w:eastAsia="Arial" w:hAnsi="Arial"/>
          <w:color w:val="666666"/>
          <w:sz w:val="20"/>
          <w:szCs w:val="20"/>
        </w:rPr>
        <w:t xml:space="preserve">Correspondence: david.comstock@guthrie.org</w:t>
      </w:r>
    </w:p>
    <w:p>
      <w:pPr>
        <w:spacing w:after="200" w:before="0"/>
      </w:pPr>
      <w:r>
        <w:rPr>
          <w:rFonts w:ascii="Arial" w:cs="Arial" w:eastAsia="Arial" w:hAnsi="Arial"/>
          <w:color w:val="666666"/>
          <w:sz w:val="19"/>
          <w:szCs w:val="19"/>
        </w:rPr>
        <w:t xml:space="preserve">Word count: 798   |   References: 15   |   Tables: 1</w:t>
      </w:r>
    </w:p>
    <w:p>
      <w:pPr>
        <w:spacing w:after="160" w:before="0" w:line="340"/>
        <w:jc w:val="both"/>
      </w:pPr>
      <w:r>
        <w:rPr>
          <w:rFonts w:ascii="Arial" w:cs="Arial" w:eastAsia="Arial" w:hAnsi="Arial"/>
          <w:color w:val="1E1E1E"/>
          <w:sz w:val="22"/>
          <w:szCs w:val="22"/>
        </w:rPr>
        <w:t xml:space="preserve">Clonal hematopoiesis of indeterminate potential (CHIP) is defined by the presence of somatic mutations in hematopoietic stem cell driver genes detectable in peripheral blood at a variant allele frequency of 2% or greater, in the absence of cytopenias meeting criteria for a hematologic neoplasm.1 Affecting more than 10% of adults over 70 years of age, CHIP confers a nearly 2-fold increase in coronary artery disease risk independent of traditional cardiovascular risk factors, and when it co-occurs with unexplained cytopenias as clonal cytopenia of undetermined significance (CCUS), the 5-year risk of hematologic malignancy exceeds 10%.2,3 Despite its prevalence and dual cardiovascular and malignancy burden, CHIP is largely unrecognized in primary care settings, and no published study has quantified the care gap in community-based or rural practice.</w:t>
      </w:r>
    </w:p>
    <w:p>
      <w:pPr>
        <w:spacing w:after="160" w:before="0" w:line="340"/>
        <w:ind w:firstLine="720"/>
        <w:jc w:val="both"/>
      </w:pPr>
      <w:r>
        <w:rPr>
          <w:rFonts w:ascii="Arial" w:cs="Arial" w:eastAsia="Arial" w:hAnsi="Arial"/>
          <w:color w:val="1E1E1E"/>
          <w:sz w:val="22"/>
          <w:szCs w:val="22"/>
        </w:rPr>
        <w:t xml:space="preserve">The existing CHIP epidemiology literature derives almost entirely from large urban biobank cohorts: the UK Biobank, Mass General Brigham Biobank, and Women's Health Initiative, among others.2,3,4 Rural populations are systematically underrepresented. This matters for two reasons. First, access to specialty hematology in rural settings is substantially limited, meaning the pipeline from CHIP identification to appropriate surveillance and cardiovascular risk management is structurally impaired in these communities. Second, and scientifically more distinctive, rural agricultural workers carry occupational exposures that are established risk factors for hematologic malignancy but whose relationship to CHIP prevalence and clonal dynamics has not been studied. Organophosphate pesticides, herbicides including atrazine and glyphosate, and other agricultural chemicals associated with lymphoma and leukemia risk in occupationally exposed populations have not been examined in the context of CHIP clonal selection or driver gene distribution.5,6 Leiser and colleagues recently established the first direct link between environmental exposure and CHIP prevalence, demonstrating an association between long-term ambient air pollution and CHIP detection in population data,7 providing methodological precedent for the agricultural chemical exposure question. Whether occupational exposures produce earlier or more frequent CHIP clonal selection than the general population remains entirely uncharacterized.</w:t>
      </w:r>
    </w:p>
    <w:p>
      <w:pPr>
        <w:spacing w:after="160" w:before="0" w:line="340"/>
        <w:ind w:firstLine="720"/>
        <w:jc w:val="both"/>
      </w:pPr>
      <w:r>
        <w:rPr>
          <w:rFonts w:ascii="Arial" w:cs="Arial" w:eastAsia="Arial" w:hAnsi="Arial"/>
          <w:color w:val="1E1E1E"/>
          <w:sz w:val="22"/>
          <w:szCs w:val="22"/>
        </w:rPr>
        <w:t xml:space="preserve">The driver gene identity of CHIP confers distinct clinical risk profiles with direct management implications. Mutations in TET2 (tet methylcytosine dioxygenase 2) carry the strongest cardiovascular signal, driving macrophage NLRP3 inflammasome hyperactivation and excess IL-1beta production that accelerates atherosclerotic plaque formation.8 TET2-CHIP is also independently associated with incident heart failure with preserved ejection fraction (HFpEF), with a hazard ratio of 2.35 across prospective cohorts, with the effect largest in patients with elevated C-reactive protein.9 DNMT3A (DNA methyltransferase 3 alpha) mutations are more prevalent but carry a less atherogenic cardiovascular phenotype, while ASXL1 (additional sex combs like 1) mutations carry dominant malignancy risk warranting expedited hematologic evaluation. Gene-specific cardiovascular risk stratification is not possible without genotyping, and genotyping cannot occur in patients who are never identified as candidates.</w:t>
      </w:r>
    </w:p>
    <w:p>
      <w:pPr>
        <w:spacing w:after="160" w:before="0" w:line="340"/>
        <w:ind w:firstLine="720"/>
        <w:jc w:val="both"/>
      </w:pPr>
      <w:r>
        <w:rPr>
          <w:rFonts w:ascii="Arial" w:cs="Arial" w:eastAsia="Arial" w:hAnsi="Arial"/>
          <w:color w:val="1E1E1E"/>
          <w:sz w:val="22"/>
          <w:szCs w:val="22"/>
        </w:rPr>
        <w:t xml:space="preserve">We propose a two-phase study to characterize both the care gap and the CHIP prevalence landscape in the rural elderly agricultural population served by Robert Packer Hospital, Sayre, Pennsylvania (Table 1). Phase 1 is a retrospective cohort identification study using the hospital laboratory information system (LIS) to identify all patients aged 65 and older with unexplained macrocytosis (MCV 95 fL or greater) over a 36-month lookback window. The LIS query captures three pre-specified phenotypic arms: (1) a CCUS-pattern primary cohort (MCV elevated plus hemoglobin below sex-specific thresholds, reversible causes excluded), which constitutes the primary scientific aim and is most directly comparable to published CHIP epidemiology; (2) an erythrocytosis-pattern arm (MCV elevated plus hematocrit above sex-specific threshold, reversible causes excluded), capturing the JAK2 CHIP phenotype that presents without cytopenia and is currently absent from standard-of-care evaluation pathways; and (3) an isolated macrocytosis arm (MCV elevated with hemoglobin and hematocrit within normal range, reversible causes excluded), characterizing the phenotype for which no community-based evaluation pathway currently exists. The primary outcome is the proportion of CCUS-pattern patients who received no further hematologic workup (the care gap). Pre-specified secondary outcomes include care gap characterization in the erythrocytosis and isolated macrocytosis arms, and an inflammaging composite score (NLR, albumin, hsCRP, and ferritin) derived from existing chart data across all three phenotypes. Phase 1 requires no new clinical testing, uses existing LIS and electronic medical record infrastructure, carries minimal IRB risk as a retrospective chart review, and has near-zero direct cost.</w:t>
      </w:r>
    </w:p>
    <w:p>
      <w:pPr>
        <w:spacing w:after="160" w:before="0" w:line="340"/>
        <w:ind w:firstLine="720"/>
        <w:jc w:val="both"/>
      </w:pPr>
      <w:r>
        <w:rPr>
          <w:rFonts w:ascii="Arial" w:cs="Arial" w:eastAsia="Arial" w:hAnsi="Arial"/>
          <w:color w:val="1E1E1E"/>
          <w:sz w:val="22"/>
          <w:szCs w:val="22"/>
        </w:rPr>
        <w:t xml:space="preserve">Phase 2, contingent on Phase 1 feasibility data and small grant funding, will prospectively enroll Phase 1-flagged patients for confirmatory peripheral blood next-generation sequencing (NGS) of CHIP driver genes. The primary outcomes will be CHIP and CCUS prevalence in this occupationally exposed rural cohort compared with published urban biobank rates, driver gene distribution, and the correlation between the Phase 1 inflammaging composite and confirmed CHIP genotype. A pre-specified stratified analysis by age 65-69 versus 70 and above will examine whether agricultural chemical exposure produces earlier-than-expected CHIP clonal selection relative to published population norms.</w:t>
      </w:r>
    </w:p>
    <w:p>
      <w:pPr>
        <w:spacing w:after="160" w:before="0" w:line="340"/>
        <w:ind w:firstLine="720"/>
        <w:jc w:val="both"/>
      </w:pPr>
      <w:r>
        <w:rPr>
          <w:rFonts w:ascii="Arial" w:cs="Arial" w:eastAsia="Arial" w:hAnsi="Arial"/>
          <w:color w:val="1E1E1E"/>
          <w:sz w:val="22"/>
          <w:szCs w:val="22"/>
        </w:rPr>
        <w:t xml:space="preserve">The cardiovascular implications of CHIP in this population extend beyond malignancy surveillance. TET2-CHIP carriers with elevated hsCRP represent a mechanistically defined subgroup that may derive preferential benefit from anti-inflammatory cardiovascular therapy. A post-hoc genomic analysis of the CANTOS trial demonstrated approximately 62% relative reduction in major adverse cardiovascular events with canakinumab in TET2-CHIP carriers versus equivocal benefit in non-CHIP participants,10 and colchicine, already guideline-supported for coronary artery disease, targets the same NLRP3 inflammasome pathway that TET2-deficient macrophages hyperactivate.11,12 Patients who are never identified as CHIP carriers cannot benefit from either of these treatment considerations. The care gap is not merely an epidemiological abstraction; it is a barrier to precision cardiovascular medicine.</w:t>
      </w:r>
    </w:p>
    <w:p>
      <w:pPr>
        <w:spacing w:after="160" w:before="0" w:line="340"/>
        <w:ind w:firstLine="720"/>
        <w:jc w:val="both"/>
      </w:pPr>
      <w:r>
        <w:rPr>
          <w:rFonts w:ascii="Arial" w:cs="Arial" w:eastAsia="Arial" w:hAnsi="Arial"/>
          <w:color w:val="1E1E1E"/>
          <w:sz w:val="22"/>
          <w:szCs w:val="22"/>
        </w:rPr>
        <w:t xml:space="preserve">Community hospitals serving rural populations are uniquely positioned to address this gap. Their laboratory information systems contain structured data on entire regional populations, including elderly agricultural workers who receive no care at urban academic centers. The methodology proposed here (LIS-based retrospective cohort identification combined with an inflammaging composite derived from existing chart data) is scalable, low-cost, and transferable to any community hospital with a functioning LIS. If the Phase 1 care gap is substantiated and Phase 2 CHIP prevalence data is generated, the resulting preliminary data will support external grant applications for a larger, multi-site community-based CHIP surveillance program and will provide the population-level evidence base required to inform future guideline development for CHIP recognition in primary care settings.</w:t>
      </w:r>
    </w:p>
    <w:p>
      <w:pPr>
        <w:spacing w:after="80" w:before="0"/>
      </w:pPr>
      <w:r>
        <w:t xml:space="preserve"/>
      </w:r>
    </w:p>
    <w:p>
      <w:pPr>
        <w:spacing w:after="80" w:before="0"/>
      </w:pPr>
      <w:r>
        <w:rPr>
          <w:rFonts w:ascii="Arial" w:cs="Arial" w:eastAsia="Arial" w:hAnsi="Arial"/>
          <w:b/>
          <w:bCs/>
          <w:color w:val="0D2137"/>
          <w:sz w:val="21"/>
          <w:szCs w:val="21"/>
        </w:rPr>
        <w:t xml:space="preserve">Disclosures</w:t>
      </w:r>
    </w:p>
    <w:p>
      <w:pPr>
        <w:spacing w:after="160" w:before="0" w:line="34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spacing w:after="80" w:before="0"/>
      </w:pPr>
      <w:r>
        <w:t xml:space="preserve"/>
      </w:r>
    </w:p>
    <w:p>
      <w:pPr>
        <w:spacing w:after="80" w:before="160"/>
      </w:pPr>
      <w:r>
        <w:rPr>
          <w:rFonts w:ascii="Arial" w:cs="Arial" w:eastAsia="Arial" w:hAnsi="Arial"/>
          <w:b/>
          <w:bCs/>
          <w:color w:val="0D2137"/>
          <w:sz w:val="21"/>
          <w:szCs w:val="21"/>
        </w:rPr>
        <w:t xml:space="preserve">Table 1. Proposed Study Design</w:t>
      </w:r>
    </w:p>
    <w:p>
      <w:pPr>
        <w:pBdr>
          <w:top w:val="single" w:color="0D2137" w:sz="8" w:space="0"/>
          <w:bottom w:val="single" w:color="0D2137" w:sz="4" w:space="0"/>
        </w:pBdr>
        <w:spacing w:after="0" w:before="0"/>
      </w:pPr>
      <w:r>
        <w:rPr>
          <w:rFonts w:ascii="Arial" w:cs="Arial" w:eastAsia="Arial" w:hAnsi="Arial"/>
          <w:b/>
          <w:bCs/>
          <w:color w:val="0D2137"/>
          <w:sz w:val="20"/>
          <w:szCs w:val="20"/>
        </w:rPr>
        <w:t xml:space="preserve">Phase 1 (No external funding required)</w:t>
      </w:r>
    </w:p>
    <w:p>
      <w:pPr>
        <w:spacing w:after="20" w:before="40"/>
        <w:ind w:left="360"/>
      </w:pPr>
      <w:r>
        <w:rPr>
          <w:rFonts w:ascii="Arial" w:cs="Arial" w:eastAsia="Arial" w:hAnsi="Arial"/>
          <w:color w:val="1E1E1E"/>
          <w:sz w:val="20"/>
          <w:szCs w:val="20"/>
        </w:rPr>
        <w:t xml:space="preserve">Design:  Retrospective LIS query and EMR structured data extraction</w:t>
      </w:r>
    </w:p>
    <w:p>
      <w:pPr>
        <w:spacing w:after="20" w:before="0"/>
        <w:ind w:left="360"/>
      </w:pPr>
      <w:r>
        <w:rPr>
          <w:rFonts w:ascii="Arial" w:cs="Arial" w:eastAsia="Arial" w:hAnsi="Arial"/>
          <w:color w:val="1E1E1E"/>
          <w:sz w:val="20"/>
          <w:szCs w:val="20"/>
        </w:rPr>
        <w:t xml:space="preserve">Primary arm:  CCUS-pattern: MCV elevated + hemoglobin below threshold + normal B12/folate (primary endpoint)</w:t>
      </w:r>
    </w:p>
    <w:p>
      <w:pPr>
        <w:spacing w:after="20" w:before="0"/>
        <w:ind w:left="360"/>
      </w:pPr>
      <w:r>
        <w:rPr>
          <w:rFonts w:ascii="Arial" w:cs="Arial" w:eastAsia="Arial" w:hAnsi="Arial"/>
          <w:color w:val="1E1E1E"/>
          <w:sz w:val="20"/>
          <w:szCs w:val="20"/>
        </w:rPr>
        <w:t xml:space="preserve">Secondary arms:  Erythrocytosis-pattern (MCV elevated + hematocrit above threshold) and isolated macrocytosis (MCV elevated, normal Hgb and Hct) -- pre-specified</w:t>
      </w:r>
    </w:p>
    <w:p>
      <w:pPr>
        <w:spacing w:after="20" w:before="0"/>
        <w:ind w:left="360"/>
      </w:pPr>
      <w:r>
        <w:rPr>
          <w:rFonts w:ascii="Arial" w:cs="Arial" w:eastAsia="Arial" w:hAnsi="Arial"/>
          <w:color w:val="1E1E1E"/>
          <w:sz w:val="20"/>
          <w:szCs w:val="20"/>
        </w:rPr>
        <w:t xml:space="preserve">Stratification:  65-69 vs &gt;=70 across all three arms</w:t>
      </w:r>
    </w:p>
    <w:p>
      <w:pPr>
        <w:spacing w:after="20" w:before="0"/>
        <w:ind w:left="360"/>
      </w:pPr>
      <w:r>
        <w:rPr>
          <w:rFonts w:ascii="Arial" w:cs="Arial" w:eastAsia="Arial" w:hAnsi="Arial"/>
          <w:color w:val="1E1E1E"/>
          <w:sz w:val="20"/>
          <w:szCs w:val="20"/>
        </w:rPr>
        <w:t xml:space="preserve">Primary outcome:  Proportion with no documented hematologic workup (care gap)</w:t>
      </w:r>
    </w:p>
    <w:p>
      <w:pPr>
        <w:spacing w:after="20" w:before="0"/>
        <w:ind w:left="360"/>
      </w:pPr>
      <w:r>
        <w:rPr>
          <w:rFonts w:ascii="Arial" w:cs="Arial" w:eastAsia="Arial" w:hAnsi="Arial"/>
          <w:color w:val="1E1E1E"/>
          <w:sz w:val="20"/>
          <w:szCs w:val="20"/>
        </w:rPr>
        <w:t xml:space="preserve">Secondary:  Inflammaging composite (NLR, albumin, hsCRP, ferritin) from existing chart data</w:t>
      </w:r>
    </w:p>
    <w:p>
      <w:pPr>
        <w:spacing w:after="20" w:before="0"/>
        <w:ind w:left="360"/>
      </w:pPr>
      <w:r>
        <w:rPr>
          <w:rFonts w:ascii="Arial" w:cs="Arial" w:eastAsia="Arial" w:hAnsi="Arial"/>
          <w:color w:val="1E1E1E"/>
          <w:sz w:val="20"/>
          <w:szCs w:val="20"/>
        </w:rPr>
        <w:t xml:space="preserve">IRB:  Minimal risk retrospective chart review</w:t>
      </w:r>
    </w:p>
    <w:p>
      <w:pPr>
        <w:spacing w:after="40" w:before="0"/>
        <w:ind w:left="360"/>
      </w:pPr>
      <w:r>
        <w:rPr>
          <w:rFonts w:ascii="Arial" w:cs="Arial" w:eastAsia="Arial" w:hAnsi="Arial"/>
          <w:color w:val="1E1E1E"/>
          <w:sz w:val="20"/>
          <w:szCs w:val="20"/>
        </w:rPr>
        <w:t xml:space="preserve">Direct cost:  Near zero (existing data, existing infrastructure)</w:t>
      </w:r>
    </w:p>
    <w:p>
      <w:pPr>
        <w:pBdr>
          <w:top w:val="single" w:color="0D2137" w:sz="4" w:space="0"/>
          <w:bottom w:val="single" w:color="0D2137" w:sz="4" w:space="0"/>
        </w:pBdr>
        <w:spacing w:after="0" w:before="0"/>
      </w:pPr>
      <w:r>
        <w:rPr>
          <w:rFonts w:ascii="Arial" w:cs="Arial" w:eastAsia="Arial" w:hAnsi="Arial"/>
          <w:b/>
          <w:bCs/>
          <w:color w:val="0D2137"/>
          <w:sz w:val="20"/>
          <w:szCs w:val="20"/>
        </w:rPr>
        <w:t xml:space="preserve">Phase 2 (Small grant required; estimated $6,000-18,000)</w:t>
      </w:r>
    </w:p>
    <w:p>
      <w:pPr>
        <w:spacing w:after="20" w:before="40"/>
        <w:ind w:left="360"/>
      </w:pPr>
      <w:r>
        <w:rPr>
          <w:rFonts w:ascii="Arial" w:cs="Arial" w:eastAsia="Arial" w:hAnsi="Arial"/>
          <w:color w:val="1E1E1E"/>
          <w:sz w:val="20"/>
          <w:szCs w:val="20"/>
        </w:rPr>
        <w:t xml:space="preserve">Design:  Prospective enrollment of Phase 1-flagged patients for peripheral blood CHIP NGS panel</w:t>
      </w:r>
    </w:p>
    <w:p>
      <w:pPr>
        <w:spacing w:after="20" w:before="0"/>
        <w:ind w:left="360"/>
      </w:pPr>
      <w:r>
        <w:rPr>
          <w:rFonts w:ascii="Arial" w:cs="Arial" w:eastAsia="Arial" w:hAnsi="Arial"/>
          <w:color w:val="1E1E1E"/>
          <w:sz w:val="20"/>
          <w:szCs w:val="20"/>
        </w:rPr>
        <w:t xml:space="preserve">Primary outcomes:  CHIP/CCUS prevalence vs. published urban biobank rates; driver gene distribution; inflammaging composite vs. CHIP genotype correlation</w:t>
      </w:r>
    </w:p>
    <w:p>
      <w:pPr>
        <w:spacing w:after="20" w:before="0"/>
        <w:ind w:left="360"/>
      </w:pPr>
      <w:r>
        <w:rPr>
          <w:rFonts w:ascii="Arial" w:cs="Arial" w:eastAsia="Arial" w:hAnsi="Arial"/>
          <w:color w:val="1E1E1E"/>
          <w:sz w:val="20"/>
          <w:szCs w:val="20"/>
        </w:rPr>
        <w:t xml:space="preserve">Pre-specified analysis:  Stratification by age 65-69 vs. &gt;=70; agricultural chemical exposure as covariate</w:t>
      </w:r>
    </w:p>
    <w:p>
      <w:pPr>
        <w:spacing w:after="40" w:before="0"/>
        <w:ind w:left="360"/>
      </w:pPr>
      <w:r>
        <w:rPr>
          <w:rFonts w:ascii="Arial" w:cs="Arial" w:eastAsia="Arial" w:hAnsi="Arial"/>
          <w:color w:val="1E1E1E"/>
          <w:sz w:val="20"/>
          <w:szCs w:val="20"/>
        </w:rPr>
        <w:t xml:space="preserve">Target enrollment:  20-30 patients (Year 1 pilot)</w:t>
      </w:r>
    </w:p>
    <w:p>
      <w:pPr>
        <w:pBdr>
          <w:bottom w:val="single" w:color="0D2137" w:sz="8" w:space="0"/>
        </w:pBdr>
        <w:spacing w:after="200" w:before="0"/>
      </w:pPr>
      <w:r>
        <w:rPr>
          <w:rFonts w:ascii="Arial" w:cs="Arial" w:eastAsia="Arial" w:hAnsi="Arial"/>
          <w:color w:val="666666"/>
          <w:sz w:val="18"/>
          <w:szCs w:val="18"/>
        </w:rPr>
        <w:t xml:space="preserve">NLR, neutrophil-to-lymphocyte ratio; hsCRP, high-sensitivity C-reactive protein; NGS, next-generation sequencing; CBC, complete blood count; EMR, electronic medical record; LIS, laboratory information system.</w:t>
      </w:r>
    </w:p>
    <w:p>
      <w:pPr>
        <w:spacing w:after="80" w:before="0"/>
      </w:pPr>
      <w:r>
        <w:t xml:space="preserve"/>
      </w:r>
    </w:p>
    <w:p>
      <w:pPr>
        <w:spacing w:after="80" w:before="160"/>
      </w:pPr>
      <w:r>
        <w:rPr>
          <w:rFonts w:ascii="Arial" w:cs="Arial" w:eastAsia="Arial" w:hAnsi="Arial"/>
          <w:b/>
          <w:bCs/>
          <w:color w:val="0D2137"/>
          <w:sz w:val="21"/>
          <w:szCs w:val="21"/>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Genovese G, Kahler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Schinasi L, Leon ME. Non-Hodgkin lymphoma and occupational exposure to agricultural pesticide chemical groups and active ingredients: a systematic review and meta-analysis. Int J Environ Res Public Health. 2014;11(4):4449-4527.</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Merhi M, Raynal H, Cahuzac E, Vinson F, Cravedi JP, Gamet-Payrastre L. Occupational exposure to pesticides and risk of hematopoietic cancers: meta-analysis of case-control studies. Cancer Causes Control. 2007;18(10):1209-1226.</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Leiser CL, Hanson HA, Huang H,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Libby P, Sidlow R, Lin AE, et al. Clonal hematopoiesis: crossroads of aging, cardiovascular disease, and cancer. J Am Coll Cardiol. 2019;74(4):567-577.</w:t>
      </w:r>
    </w:p>
    <w:p>
      <w:pPr>
        <w:spacing w:after="80" w:before="0"/>
      </w:pPr>
      <w:r>
        <w:t xml:space="preserve"/>
      </w:r>
    </w:p>
    <w:p>
      <w:pPr>
        <w:pBdr>
          <w:top w:val="single" w:color="C8DFF0" w:sz="4" w:space="4"/>
        </w:pBdr>
        <w:spacing w:after="0" w:before="12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 Blood Advances Research Letter (Draft)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2026-05-18T02:36:48.325Z</dcterms:created>
  <dcterms:modified xsi:type="dcterms:W3CDTF">2026-05-18T02:36:48.326Z</dcterms:modified>
</cp:coreProperties>
</file>

<file path=docProps/custom.xml><?xml version="1.0" encoding="utf-8"?>
<Properties xmlns="http://schemas.openxmlformats.org/officeDocument/2006/custom-properties" xmlns:vt="http://schemas.openxmlformats.org/officeDocument/2006/docPropsVTypes"/>
</file>