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0D2137" w:sz="16" w:space="0"/>
        </w:pBdr>
        <w:spacing w:after="0" w:before="0"/>
      </w:pPr>
      <w:r>
        <w:rPr>
          <w:rFonts w:ascii="Arial" w:cs="Arial" w:eastAsia="Arial" w:hAnsi="Arial"/>
          <w:b/>
          <w:bCs/>
          <w:color w:val="028090"/>
          <w:sz w:val="17"/>
          <w:szCs w:val="17"/>
        </w:rPr>
        <w:t xml:space="preserve">PROPOSAL  </w:t>
      </w:r>
      <w:r>
        <w:rPr>
          <w:rFonts w:ascii="Arial" w:cs="Arial" w:eastAsia="Arial" w:hAnsi="Arial"/>
          <w:color w:val="666666"/>
          <w:sz w:val="17"/>
          <w:szCs w:val="17"/>
        </w:rPr>
        <w:t xml:space="preserve">Presented to Dr. Sheela Prabhu, MD  ·  Department of Internal Medicine  ·  May 2026</w:t>
      </w:r>
    </w:p>
    <w:p>
      <w:pPr>
        <w:spacing w:after="80" w:before="0"/>
      </w:pPr>
      <w:r>
        <w:t xml:space="preserve"/>
      </w:r>
    </w:p>
    <w:p>
      <w:pPr>
        <w:spacing w:after="80" w:before="0"/>
      </w:pPr>
      <w:r>
        <w:rPr>
          <w:rFonts w:ascii="Georgia" w:cs="Georgia" w:eastAsia="Georgia" w:hAnsi="Georgia"/>
          <w:b/>
          <w:bCs/>
          <w:color w:val="0D2137"/>
          <w:sz w:val="32"/>
          <w:szCs w:val="32"/>
        </w:rPr>
        <w:t xml:space="preserve">A Proposal for Clinician Employment and Collaborative Research</w:t>
      </w:r>
    </w:p>
    <w:p>
      <w:pPr>
        <w:spacing w:after="240" w:before="0"/>
      </w:pPr>
      <w:r>
        <w:rPr>
          <w:rFonts w:ascii="Georgia" w:cs="Georgia" w:eastAsia="Georgia" w:hAnsi="Georgia"/>
          <w:color w:val="028090"/>
          <w:sz w:val="22"/>
          <w:szCs w:val="22"/>
        </w:rPr>
        <w:t xml:space="preserve">Characterizing Clonal Hematopoiesis and the Inflammaging Phenotype in the Rural Agricultural Population of the Guthrie Catchment Area</w:t>
      </w:r>
    </w:p>
    <w:p>
      <w:pPr>
        <w:spacing w:after="40" w:before="0"/>
      </w:pPr>
      <w:r>
        <w:rPr>
          <w:rFonts w:ascii="Arial" w:cs="Arial" w:eastAsia="Arial" w:hAnsi="Arial"/>
          <w:b/>
          <w:bCs/>
          <w:color w:val="1E1E1E"/>
          <w:sz w:val="22"/>
          <w:szCs w:val="22"/>
        </w:rPr>
        <w:t xml:space="preserve">David Comstock, MD</w:t>
      </w:r>
    </w:p>
    <w:p>
      <w:pPr>
        <w:spacing w:after="240" w:before="0"/>
      </w:pPr>
      <w:r>
        <w:rPr>
          <w:rFonts w:ascii="Arial" w:cs="Arial" w:eastAsia="Arial" w:hAnsi="Arial"/>
          <w:color w:val="666666"/>
          <w:sz w:val="20"/>
          <w:szCs w:val="20"/>
        </w:rPr>
        <w:t xml:space="preserve">PGY-3 Internal Medicine  ·  Guthrie Lourdes Hospital  ·  Graduating June 23, 2026</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The Proposal</w:t>
      </w:r>
    </w:p>
    <w:p>
      <w:pPr>
        <w:spacing w:after="100" w:before="0" w:line="290"/>
        <w:jc w:val="both"/>
      </w:pPr>
      <w:r>
        <w:rPr>
          <w:rFonts w:ascii="Arial" w:cs="Arial" w:eastAsia="Arial" w:hAnsi="Arial"/>
          <w:color w:val="1E1E1E"/>
          <w:sz w:val="21"/>
          <w:szCs w:val="21"/>
        </w:rPr>
        <w:t xml:space="preserve">I am proposing to join the Department of Internal Medicine at Robert Packer Hospital and Guthrie Clinic as an outpatient internist with occasional inpatient shift coverage, while simultaneously developing a funded clinical research program in clonal hematopoiesis of indeterminate potential (CHIP) and cardiovascular risk in the rural elderly population served by the Guthrie system.</w:t>
      </w:r>
    </w:p>
    <w:p>
      <w:pPr>
        <w:spacing w:after="100" w:before="0" w:line="290"/>
        <w:jc w:val="both"/>
      </w:pPr>
      <w:r>
        <w:rPr>
          <w:rFonts w:ascii="Arial" w:cs="Arial" w:eastAsia="Arial" w:hAnsi="Arial"/>
          <w:color w:val="1E1E1E"/>
          <w:sz w:val="21"/>
          <w:szCs w:val="21"/>
        </w:rPr>
        <w:t xml:space="preserve">This research program has its origins in graduate thesis work in molecular aging biology and stem cell science, subsequently developed through clinical training in internal medicine. That foundational work (covering aging-driven stem cell dysfunction, the inflammaging framework, and the biological mechanisms linking cellular aging to malignant predisposition) provided the scientific grounding to recognize clonal hematopoiesis as its most directly translatable clinical expression. The convergence of that academic foundation with the patient population encountered at Guthrie (rural elderly agricultural workers with high rates of unrecognized hematologic abnormality and cardiovascular risk) has produced a research program that is both scientifically grounded and immediately actionable in this clinical setting.</w:t>
      </w:r>
    </w:p>
    <w:p>
      <w:pPr>
        <w:spacing w:after="100" w:before="0" w:line="290"/>
        <w:jc w:val="both"/>
      </w:pPr>
      <w:r>
        <w:rPr>
          <w:rFonts w:ascii="Arial" w:cs="Arial" w:eastAsia="Arial" w:hAnsi="Arial"/>
          <w:color w:val="1E1E1E"/>
          <w:sz w:val="21"/>
          <w:szCs w:val="21"/>
        </w:rPr>
        <w:t xml:space="preserve">This proposal brings a specific and fundable research capacity to the department from day one of employment, one that requires minimal startup resources, uses existing institutional infrastructure, and addresses a genuine care gap in the patient population this department serves.</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Clinical Role Proposed</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Outpatient internal medicine practice within the Guthrie Clinic system</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Occasional inpatient shift coverage at Robert Packer Hospital as scheduling allows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Longitudinal care of elderly patients (particularly those aged 65 and older with complex comorbidities, unexplained cytopenias, and high cardiovascular risk) who constitute the research target population</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Participation in hematology co-management as appropriate to clinical role</w:t>
      </w:r>
    </w:p>
    <w:p>
      <w:pPr>
        <w:spacing w:after="80" w:before="0"/>
      </w:pPr>
      <w:r>
        <w:t xml:space="preserve"/>
      </w:r>
    </w:p>
    <w:p>
      <w:pPr>
        <w:pBdr>
          <w:left w:val="thick" w:color="028090" w:sz="20" w:space="8"/>
        </w:pBdr>
        <w:spacing w:after="80" w:before="80" w:line="285"/>
        <w:ind w:left="600" w:right="300"/>
      </w:pPr>
      <w:r>
        <w:rPr>
          <w:rFonts w:ascii="Arial" w:cs="Arial" w:eastAsia="Arial" w:hAnsi="Arial"/>
          <w:b/>
          <w:bCs/>
          <w:color w:val="028090"/>
          <w:sz w:val="21"/>
          <w:szCs w:val="21"/>
        </w:rPr>
        <w:t xml:space="preserve">Strategic fit:  </w:t>
      </w:r>
      <w:r>
        <w:rPr>
          <w:rFonts w:ascii="Arial" w:cs="Arial" w:eastAsia="Arial" w:hAnsi="Arial"/>
          <w:color w:val="3D3D3D"/>
          <w:sz w:val="21"/>
          <w:szCs w:val="21"/>
        </w:rPr>
        <w:t xml:space="preserve">The outpatient IM setting provides direct and continuous access to the rural elderly agricultural patient population that is the primary scientific focus of the proposed research, creating a natural integration between clinical duties and research enrollment.</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The Research Program</w:t>
      </w:r>
    </w:p>
    <w:p>
      <w:pPr>
        <w:keepNext/>
        <w:spacing w:after="60" w:before="140"/>
      </w:pPr>
      <w:r>
        <w:rPr>
          <w:rFonts w:ascii="Arial" w:cs="Arial" w:eastAsia="Arial" w:hAnsi="Arial"/>
          <w:b/>
          <w:bCs/>
          <w:color w:val="028090"/>
          <w:sz w:val="22"/>
          <w:szCs w:val="22"/>
        </w:rPr>
        <w:t xml:space="preserve">The Scientific Gap</w:t>
      </w:r>
    </w:p>
    <w:p>
      <w:pPr>
        <w:spacing w:after="100" w:before="0" w:line="290"/>
        <w:jc w:val="both"/>
      </w:pPr>
      <w:r>
        <w:rPr>
          <w:rFonts w:ascii="Arial" w:cs="Arial" w:eastAsia="Arial" w:hAnsi="Arial"/>
          <w:color w:val="1E1E1E"/>
          <w:sz w:val="21"/>
          <w:szCs w:val="21"/>
        </w:rPr>
        <w:t xml:space="preserve">Clonal hematopoiesis of indeterminate potential (CHIP), defined as somatic mutations in hematopoietic stem cell driver genes detectable in peripheral blood, affects approximately 5-10% of adults aged 65-69 and more than 10% of those over 70, and is associated with a nearly 2-fold increase in cardiovascular disease risk, independent of traditional risk factors. When CHIP co-occurs with unexplained cytopenias (clonal cytopenia of undetermined significance, or CCUS), the 5-year risk of hematologic malignancy exceeds 10%.</w:t>
      </w:r>
    </w:p>
    <w:p>
      <w:pPr>
        <w:spacing w:after="100" w:before="0" w:line="290"/>
        <w:jc w:val="both"/>
      </w:pPr>
      <w:r>
        <w:rPr>
          <w:rFonts w:ascii="Arial" w:cs="Arial" w:eastAsia="Arial" w:hAnsi="Arial"/>
          <w:color w:val="1E1E1E"/>
          <w:sz w:val="21"/>
          <w:szCs w:val="21"/>
        </w:rPr>
        <w:t xml:space="preserve">The existing CHIP epidemiology literature is derived almost entirely from large urban biobank cohorts. Rural agricultural populations aged 65 and older, precisely the population Guthrie serves, are significantly underrepresented. Agricultural chemical exposures (organophosphates, herbicides) are known risk factors for hematologic malignancy, but their relationship to CHIP prevalence and clonal dynamics are uncharacterized. No published study has examined CHIP in this occupational context.</w:t>
      </w:r>
    </w:p>
    <w:p>
      <w:pPr>
        <w:spacing w:after="100" w:before="0" w:line="290"/>
        <w:jc w:val="both"/>
      </w:pPr>
      <w:r>
        <w:rPr>
          <w:rFonts w:ascii="Arial" w:cs="Arial" w:eastAsia="Arial" w:hAnsi="Arial"/>
          <w:color w:val="1E1E1E"/>
          <w:sz w:val="21"/>
          <w:szCs w:val="21"/>
        </w:rPr>
        <w:t xml:space="preserve">Simultaneously, no published data quantifies the care gap in CHIP and CCUS recognition in community or rural primary care settings. Patients with unexplained macrocytic anemia meeting CCUS criteria are likely going unrecognized and unreferred in this system, and the magnitude of that gap has never been measured.</w:t>
      </w:r>
    </w:p>
    <w:p>
      <w:pPr>
        <w:keepNext/>
        <w:spacing w:after="60" w:before="140"/>
      </w:pPr>
      <w:r>
        <w:rPr>
          <w:rFonts w:ascii="Arial" w:cs="Arial" w:eastAsia="Arial" w:hAnsi="Arial"/>
          <w:b/>
          <w:bCs/>
          <w:color w:val="028090"/>
          <w:sz w:val="22"/>
          <w:szCs w:val="22"/>
        </w:rPr>
        <w:t xml:space="preserve">The Research Questions</w:t>
      </w:r>
    </w:p>
    <w:p>
      <w:pPr>
        <w:pStyle w:val="ListParagraph"/>
        <w:numPr>
          <w:ilvl w:val="0"/>
          <w:numId w:val="2"/>
        </w:numPr>
        <w:spacing w:after="30" w:before="30" w:line="295"/>
      </w:pPr>
      <w:r>
        <w:rPr>
          <w:rFonts w:ascii="Arial" w:cs="Arial" w:eastAsia="Arial" w:hAnsi="Arial"/>
          <w:b/>
          <w:bCs/>
          <w:color w:val="1E1E1E"/>
          <w:sz w:val="21"/>
          <w:szCs w:val="21"/>
        </w:rPr>
        <w:t xml:space="preserve">What proportion of Guthrie patients aged ≥65 with CBC patterns consistent with CCUS have received no further hematologic workup, and does the care gap differ between the 65-69 and 70-plus age strata? (Care gap characterization)</w:t>
      </w:r>
    </w:p>
    <w:p>
      <w:pPr>
        <w:pStyle w:val="ListParagraph"/>
        <w:numPr>
          <w:ilvl w:val="0"/>
          <w:numId w:val="2"/>
        </w:numPr>
        <w:spacing w:after="30" w:before="30" w:line="295"/>
      </w:pPr>
      <w:r>
        <w:rPr>
          <w:rFonts w:ascii="Arial" w:cs="Arial" w:eastAsia="Arial" w:hAnsi="Arial"/>
          <w:b/>
          <w:bCs/>
          <w:color w:val="1E1E1E"/>
          <w:sz w:val="21"/>
          <w:szCs w:val="21"/>
        </w:rPr>
        <w:t xml:space="preserve">What is the prevalence of CHIP driver gene mutations in this rural agricultural cohort, and does it differ from published urban biobank rates? (Prevalence characterization)</w:t>
      </w:r>
    </w:p>
    <w:p>
      <w:pPr>
        <w:pStyle w:val="ListParagraph"/>
        <w:numPr>
          <w:ilvl w:val="0"/>
          <w:numId w:val="2"/>
        </w:numPr>
        <w:spacing w:after="30" w:before="30" w:line="295"/>
      </w:pPr>
      <w:r>
        <w:rPr>
          <w:rFonts w:ascii="Arial" w:cs="Arial" w:eastAsia="Arial" w:hAnsi="Arial"/>
          <w:b/>
          <w:bCs/>
          <w:color w:val="1E1E1E"/>
          <w:sz w:val="21"/>
          <w:szCs w:val="21"/>
        </w:rPr>
        <w:t xml:space="preserve">Can a clinically accessible inflammaging composite score (inflammaging: chronic, low-grade systemic inflammation characteristic of aging that drives cardiovascular and malignancy risk) derived from routine laboratory values already in the chart, predict CHIP genotype and CCUS-level hematologic findings? (Score development)</w:t>
      </w:r>
    </w:p>
    <w:p>
      <w:pPr>
        <w:keepNext/>
        <w:spacing w:after="60" w:before="140"/>
      </w:pPr>
      <w:r>
        <w:rPr>
          <w:rFonts w:ascii="Arial" w:cs="Arial" w:eastAsia="Arial" w:hAnsi="Arial"/>
          <w:b/>
          <w:bCs/>
          <w:color w:val="028090"/>
          <w:sz w:val="22"/>
          <w:szCs w:val="22"/>
        </w:rPr>
        <w:t xml:space="preserve">The Data Architecture</w:t>
      </w:r>
    </w:p>
    <w:p>
      <w:pPr>
        <w:spacing w:after="100" w:before="0" w:line="290"/>
        <w:jc w:val="both"/>
      </w:pPr>
      <w:r>
        <w:rPr>
          <w:rFonts w:ascii="Arial" w:cs="Arial" w:eastAsia="Arial" w:hAnsi="Arial"/>
          <w:color w:val="1E1E1E"/>
          <w:sz w:val="21"/>
          <w:szCs w:val="21"/>
        </w:rPr>
        <w:t xml:space="preserve">The study does not require new clinical testing for Phase 1. The Guthrie laboratory information system (LIS) already contains, for the entire patient population, the structured laboratory data needed to identify CCUS-pattern patients and construct an inflammaging composite:</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Complete blood count with differential: neutrophil-to-lymphocyte ratio, platelet-to-lymphocyte ratio, mean corpuscular volume</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Comprehensive metabolic panel: albumin as an acute phase negative reactant</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C-reactive protein and high-sensitivity CRP: the primary clinical inflammaging markers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Ferritin, LDH: secondary inflammatory signals</w:t>
      </w:r>
    </w:p>
    <w:p>
      <w:pPr>
        <w:spacing w:after="80" w:before="0"/>
      </w:pPr>
      <w:r>
        <w:t xml:space="preserve"/>
      </w:r>
    </w:p>
    <w:p>
      <w:pPr>
        <w:spacing w:after="100" w:before="0" w:line="290"/>
        <w:jc w:val="both"/>
      </w:pPr>
      <w:r>
        <w:rPr>
          <w:rFonts w:ascii="Arial" w:cs="Arial" w:eastAsia="Arial" w:hAnsi="Arial"/>
          <w:color w:val="1E1E1E"/>
          <w:sz w:val="21"/>
          <w:szCs w:val="21"/>
        </w:rPr>
        <w:t xml:space="preserve">A preliminary feasibility query of the LIS (an aggregate count query requiring no individual patient identifiers) will establish the size of the qualifying cohort before any IRB application is filed. This is the immediate next step and requires only laboratory director cooperation. All data handling protocols will be HIPAA-compliant, with individually identifiable information accessible only under an approved IRB protocol and stored in a password-protected, access-controlled research database.</w:t>
      </w:r>
    </w:p>
    <w:p>
      <w:pPr>
        <w:pBdr>
          <w:bottom w:val="single" w:color="DDDDDD" w:sz="2" w:space="1"/>
        </w:pBdr>
        <w:spacing w:after="100" w:before="100"/>
      </w:pPr>
      <w:r>
        <w:t xml:space="preserve"/>
      </w:r>
    </w:p>
    <w:p>
      <w:pPr>
        <w:keepNext/>
        <w:spacing w:after="60" w:before="140"/>
      </w:pPr>
      <w:r>
        <w:rPr>
          <w:rFonts w:ascii="Arial" w:cs="Arial" w:eastAsia="Arial" w:hAnsi="Arial"/>
          <w:b/>
          <w:bCs/>
          <w:color w:val="028090"/>
          <w:sz w:val="22"/>
          <w:szCs w:val="22"/>
        </w:rPr>
        <w:t xml:space="preserve">Phased Design</w:t>
      </w:r>
    </w:p>
    <w:p>
      <w:pPr>
        <w:keepNext/>
        <w:spacing w:after="60" w:before="140"/>
      </w:pPr>
      <w:r>
        <w:rPr>
          <w:rFonts w:ascii="Arial" w:cs="Arial" w:eastAsia="Arial" w:hAnsi="Arial"/>
          <w:b/>
          <w:bCs/>
          <w:color w:val="9B2335"/>
          <w:sz w:val="21"/>
          <w:szCs w:val="21"/>
        </w:rPr>
        <w:t xml:space="preserve">Phase 1: Retrospective LIS Query and Care Gap Analysis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Design: Retrospective cohort identification via LIS query + EMR structured data extraction</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Population: All Guthrie patients aged ≥65 with CCUS-pattern CBC over a 36-month lookback window, stratified by age 65-69 and 70-plus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Primary outcome: Proportion with no documented hematologic workup (the care gap)</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Secondary: Inflammaging composite characterization from existing laboratory data</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IRB classification: Minimal risk retrospective chart review, the most straightforward approval pathway</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Direct cost: Near zero. Existing data, existing infrastructure, existing lab values.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Timeline: IRB submission within 60 days of employment start; data extraction within 90 days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Output: Research letter or brief communication. Target journals: Journal of Rural Health, Blood Advances, or American Journal of Hematology</w:t>
      </w:r>
    </w:p>
    <w:p>
      <w:pPr>
        <w:spacing w:after="80" w:before="0"/>
      </w:pPr>
      <w:r>
        <w:t xml:space="preserve"/>
      </w:r>
    </w:p>
    <w:p>
      <w:pPr>
        <w:keepNext/>
        <w:spacing w:after="60" w:before="140"/>
      </w:pPr>
      <w:r>
        <w:rPr>
          <w:rFonts w:ascii="Arial" w:cs="Arial" w:eastAsia="Arial" w:hAnsi="Arial"/>
          <w:b/>
          <w:bCs/>
          <w:color w:val="9B2335"/>
          <w:sz w:val="21"/>
          <w:szCs w:val="21"/>
        </w:rPr>
        <w:t xml:space="preserve">Phase 2: Prospective Pilot with Confirmatory NGS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Design: Prospective enrollment of Phase 1-flagged patients for peripheral blood CHIP next-generation sequencing (NGS) panel</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Add-ons to standard draw: hsCRP if not already in chart (~$16); NGS panel (~$300–600 per patient)</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Target enrollment: 20–30 patients in Year 1</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Primary outcome: CHIP driver gene prevalence; inflammaging composite vs. genotype correlation</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Funding: Phase 2 requires small grant (see funding section below)</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Output: Full cohort paper in Blood Advances or Journal of Rural Health; platform for larger grant application</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Funding Pathway</w:t>
      </w:r>
    </w:p>
    <w:p>
      <w:pPr>
        <w:spacing w:after="100" w:before="0" w:line="290"/>
        <w:jc w:val="both"/>
      </w:pPr>
      <w:r>
        <w:rPr>
          <w:rFonts w:ascii="Arial" w:cs="Arial" w:eastAsia="Arial" w:hAnsi="Arial"/>
          <w:color w:val="1E1E1E"/>
          <w:sz w:val="21"/>
          <w:szCs w:val="21"/>
        </w:rPr>
        <w:t xml:space="preserve">Phase 1 requires no external funding and no departmental budget allocation beyond the cost of the IRB application process. Phase 2 laboratory costs (NGS panels for 20–30 patients) are estimated at $6,000–18,000 and are targeted to the following funding sources: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Departmental pilot fund: first application; modest ask; strongest institutional case after Phase 1 care gap data is in hand</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Pennsylvania Medical Society Foundation Research Award: annual cycle; community physician research explicitly encouraged</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American Society of Hematology (ASH) Research Collaborative: small grant mechanism for community-based hematology research</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Guthrie Research Office pilot mechanism: if available, the care gap data provides preliminary data for internal competitive applications</w:t>
      </w:r>
    </w:p>
    <w:p>
      <w:pPr>
        <w:spacing w:after="80" w:before="0"/>
      </w:pPr>
      <w:r>
        <w:t xml:space="preserve"/>
      </w:r>
    </w:p>
    <w:p>
      <w:pPr>
        <w:pBdr>
          <w:left w:val="thick" w:color="028090" w:sz="20" w:space="8"/>
        </w:pBdr>
        <w:spacing w:after="80" w:before="80" w:line="285"/>
        <w:ind w:left="600" w:right="300"/>
      </w:pPr>
      <w:r>
        <w:rPr>
          <w:rFonts w:ascii="Arial" w:cs="Arial" w:eastAsia="Arial" w:hAnsi="Arial"/>
          <w:b/>
          <w:bCs/>
          <w:color w:val="028090"/>
          <w:sz w:val="21"/>
          <w:szCs w:val="21"/>
        </w:rPr>
        <w:t xml:space="preserve">Grant leverage:  </w:t>
      </w:r>
      <w:r>
        <w:rPr>
          <w:rFonts w:ascii="Arial" w:cs="Arial" w:eastAsia="Arial" w:hAnsi="Arial"/>
          <w:color w:val="3D3D3D"/>
          <w:sz w:val="21"/>
          <w:szCs w:val="21"/>
        </w:rPr>
        <w:t xml:space="preserve">Phase 1 care gap data constitutes the preliminary data required to make Phase 2 externally fundable. The study is designed so that each phase funds the next, with no requirement for large upfront institutional commitment.</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What I Am Asking For</w:t>
      </w:r>
    </w:p>
    <w:p>
      <w:pPr>
        <w:spacing w:after="100" w:before="0" w:line="290"/>
        <w:jc w:val="both"/>
      </w:pPr>
      <w:r>
        <w:rPr>
          <w:rFonts w:ascii="Arial" w:cs="Arial" w:eastAsia="Arial" w:hAnsi="Arial"/>
          <w:color w:val="1E1E1E"/>
          <w:sz w:val="21"/>
          <w:szCs w:val="21"/>
        </w:rPr>
        <w:t xml:space="preserve">The proposal has four specific components, listed in order of importance:</w:t>
      </w:r>
    </w:p>
    <w:p>
      <w:pPr>
        <w:spacing w:after="80" w:before="0"/>
      </w:pPr>
      <w:r>
        <w:t xml:space="preserve"/>
      </w:r>
    </w:p>
    <w:p>
      <w:pPr>
        <w:keepNext/>
        <w:spacing w:after="60" w:before="140"/>
      </w:pPr>
      <w:r>
        <w:rPr>
          <w:rFonts w:ascii="Arial" w:cs="Arial" w:eastAsia="Arial" w:hAnsi="Arial"/>
          <w:b/>
          <w:bCs/>
          <w:color w:val="9B2335"/>
          <w:sz w:val="21"/>
          <w:szCs w:val="21"/>
        </w:rPr>
        <w:t xml:space="preserve">1.  Employment</w:t>
      </w:r>
    </w:p>
    <w:p>
      <w:pPr>
        <w:spacing w:after="100" w:before="0" w:line="290"/>
        <w:jc w:val="both"/>
      </w:pPr>
      <w:r>
        <w:rPr>
          <w:rFonts w:ascii="Arial" w:cs="Arial" w:eastAsia="Arial" w:hAnsi="Arial"/>
          <w:color w:val="1E1E1E"/>
          <w:sz w:val="21"/>
          <w:szCs w:val="21"/>
        </w:rPr>
        <w:t xml:space="preserve">An outpatient internal medicine position within Guthrie Clinic, with occasional inpatient shift coverage at Robert Packer Hospital, beginning as early as July 2026.</w:t>
      </w:r>
    </w:p>
    <w:p>
      <w:pPr>
        <w:keepNext/>
        <w:spacing w:after="60" w:before="140"/>
      </w:pPr>
      <w:r>
        <w:rPr>
          <w:rFonts w:ascii="Arial" w:cs="Arial" w:eastAsia="Arial" w:hAnsi="Arial"/>
          <w:b/>
          <w:bCs/>
          <w:color w:val="9B2335"/>
          <w:sz w:val="21"/>
          <w:szCs w:val="21"/>
        </w:rPr>
        <w:t xml:space="preserve">2.  Protected Research Time</w:t>
      </w:r>
    </w:p>
    <w:p>
      <w:pPr>
        <w:spacing w:after="100" w:before="0" w:line="290"/>
        <w:jc w:val="both"/>
      </w:pPr>
      <w:r>
        <w:rPr>
          <w:rFonts w:ascii="Arial" w:cs="Arial" w:eastAsia="Arial" w:hAnsi="Arial"/>
          <w:color w:val="1E1E1E"/>
          <w:sz w:val="21"/>
          <w:szCs w:val="21"/>
        </w:rPr>
        <w:t xml:space="preserve">A minimum of one half-day per week (4 hours) written into the employment agreement as protected research time. This is the standard academic community medicine arrangement and is the single factor most predictive of whether a clinician-researcher produces sustained scholarly output. Without protected time, research accumulates in the evenings and weekends until clinical demands absorb it entirely.</w:t>
      </w:r>
    </w:p>
    <w:p>
      <w:pPr>
        <w:keepNext/>
        <w:spacing w:after="60" w:before="140"/>
      </w:pPr>
      <w:r>
        <w:rPr>
          <w:rFonts w:ascii="Arial" w:cs="Arial" w:eastAsia="Arial" w:hAnsi="Arial"/>
          <w:b/>
          <w:bCs/>
          <w:color w:val="9B2335"/>
          <w:sz w:val="21"/>
          <w:szCs w:val="21"/>
        </w:rPr>
        <w:t xml:space="preserve">3.  Facilitation of Two Internal Introductions</w:t>
      </w:r>
    </w:p>
    <w:p>
      <w:pPr>
        <w:spacing w:after="100" w:before="0" w:line="290"/>
        <w:jc w:val="both"/>
      </w:pPr>
      <w:r>
        <w:rPr>
          <w:rFonts w:ascii="Arial" w:cs="Arial" w:eastAsia="Arial" w:hAnsi="Arial"/>
          <w:color w:val="1E1E1E"/>
          <w:sz w:val="21"/>
          <w:szCs w:val="21"/>
        </w:rPr>
        <w:t xml:space="preserve">An introduction to the laboratory director or LIS administrator to request the preliminary feasibility query, and an introduction to the research office to discuss IRB pathway and infrastructure. Both are brief conversations that are substantially easier to initiate with departmental endorsement than without.</w:t>
      </w:r>
    </w:p>
    <w:p>
      <w:pPr>
        <w:keepNext/>
        <w:spacing w:after="60" w:before="140"/>
      </w:pPr>
      <w:r>
        <w:rPr>
          <w:rFonts w:ascii="Arial" w:cs="Arial" w:eastAsia="Arial" w:hAnsi="Arial"/>
          <w:b/>
          <w:bCs/>
          <w:color w:val="9B2335"/>
          <w:sz w:val="21"/>
          <w:szCs w:val="21"/>
        </w:rPr>
        <w:t xml:space="preserve">4.  Hematology Co-Mentorship</w:t>
      </w:r>
    </w:p>
    <w:p>
      <w:pPr>
        <w:spacing w:after="100" w:before="0" w:line="290"/>
        <w:jc w:val="both"/>
      </w:pPr>
      <w:r>
        <w:rPr>
          <w:rFonts w:ascii="Arial" w:cs="Arial" w:eastAsia="Arial" w:hAnsi="Arial"/>
          <w:color w:val="1E1E1E"/>
          <w:sz w:val="21"/>
          <w:szCs w:val="21"/>
        </w:rPr>
        <w:t xml:space="preserve">Identification of a willing hematology faculty co-investigator to serve as content expert and co-mentor on the IRB application. I am currently on hematology rotation and actively developing this relationship, but a departmental introduction from the chair accelerates and formalizes it considerably.</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What the Department Receives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 fully trained internist providing outpatient and occasional inpatient clinical coverage from day one</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An internally developed research program requiring no departmental startup budget for Phase 1</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First authorship publications crediting Guthrie Lourdes Hospital and Robert Packer Hospital, providing institutional visibility in peer-reviewed hematology and rural health literature</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Preliminary data that supports external grant applications naming RPH and Guthrie Clinic as the study site, positioning the system for future extramural research funding</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 clinical research infrastructure, including a LIS surveillance module, a REDCap repository (a HIPAA-compliant, web-based research data platform widely used in academic medicine), and an IRB-approved protocol, that can be extended to other research questions beyond the initial CHIP project</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Documentation of a care gap in the served population, supporting quality improvement initiatives, referral pathway development, and potentially payer conversations about CHIP-related cardiovascular risk management</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 foundation for a longer-term research program: Phases 1 and 2 generate the preliminary data required to pursue an R21 or equivalent NIH mechanism, extending the cohort and positioning Guthrie as a named study site in a larger externally funded investigation</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Proposed Timeline</w:t>
      </w:r>
    </w:p>
    <w:p>
      <w:pPr>
        <w:spacing w:after="40" w:before="40"/>
      </w:pPr>
      <w:r>
        <w:rPr>
          <w:rFonts w:ascii="Arial" w:cs="Arial" w:eastAsia="Arial" w:hAnsi="Arial"/>
          <w:b/>
          <w:bCs/>
          <w:color w:val="0D2137"/>
          <w:sz w:val="21"/>
          <w:szCs w:val="21"/>
        </w:rPr>
        <w:t xml:space="preserve">June 2026:  </w:t>
      </w:r>
      <w:r>
        <w:rPr>
          <w:rFonts w:ascii="Arial" w:cs="Arial" w:eastAsia="Arial" w:hAnsi="Arial"/>
          <w:color w:val="1E1E1E"/>
          <w:sz w:val="21"/>
          <w:szCs w:val="21"/>
        </w:rPr>
        <w:t xml:space="preserve">Employment agreement finalized; hematology co-investigator confirmed</w:t>
      </w:r>
    </w:p>
    <w:p>
      <w:pPr>
        <w:spacing w:after="40" w:before="40"/>
      </w:pPr>
      <w:r>
        <w:rPr>
          <w:rFonts w:ascii="Arial" w:cs="Arial" w:eastAsia="Arial" w:hAnsi="Arial"/>
          <w:b/>
          <w:bCs/>
          <w:color w:val="0D2137"/>
          <w:sz w:val="21"/>
          <w:szCs w:val="21"/>
        </w:rPr>
        <w:t xml:space="preserve">July 2026:  </w:t>
      </w:r>
      <w:r>
        <w:rPr>
          <w:rFonts w:ascii="Arial" w:cs="Arial" w:eastAsia="Arial" w:hAnsi="Arial"/>
          <w:color w:val="1E1E1E"/>
          <w:sz w:val="21"/>
          <w:szCs w:val="21"/>
        </w:rPr>
        <w:t xml:space="preserve">Employment begins; research office consultation; LIS feasibility query initiated</w:t>
      </w:r>
    </w:p>
    <w:p>
      <w:pPr>
        <w:spacing w:after="40" w:before="40"/>
      </w:pPr>
      <w:r>
        <w:rPr>
          <w:rFonts w:ascii="Arial" w:cs="Arial" w:eastAsia="Arial" w:hAnsi="Arial"/>
          <w:b/>
          <w:bCs/>
          <w:color w:val="0D2137"/>
          <w:sz w:val="21"/>
          <w:szCs w:val="21"/>
        </w:rPr>
        <w:t xml:space="preserve">August 2026:  </w:t>
      </w:r>
      <w:r>
        <w:rPr>
          <w:rFonts w:ascii="Arial" w:cs="Arial" w:eastAsia="Arial" w:hAnsi="Arial"/>
          <w:color w:val="1E1E1E"/>
          <w:sz w:val="21"/>
          <w:szCs w:val="21"/>
        </w:rPr>
        <w:t xml:space="preserve">IRB application submitted (Phase 1 minimal risk chart review)</w:t>
      </w:r>
    </w:p>
    <w:p>
      <w:pPr>
        <w:spacing w:after="40" w:before="40"/>
      </w:pPr>
      <w:r>
        <w:rPr>
          <w:rFonts w:ascii="Arial" w:cs="Arial" w:eastAsia="Arial" w:hAnsi="Arial"/>
          <w:b/>
          <w:bCs/>
          <w:color w:val="0D2137"/>
          <w:sz w:val="21"/>
          <w:szCs w:val="21"/>
        </w:rPr>
        <w:t xml:space="preserve">September–October 2026:  </w:t>
      </w:r>
      <w:r>
        <w:rPr>
          <w:rFonts w:ascii="Arial" w:cs="Arial" w:eastAsia="Arial" w:hAnsi="Arial"/>
          <w:color w:val="1E1E1E"/>
          <w:sz w:val="21"/>
          <w:szCs w:val="21"/>
        </w:rPr>
        <w:t xml:space="preserve">IRB approval; LIS data extraction; care gap analysis</w:t>
      </w:r>
    </w:p>
    <w:p>
      <w:pPr>
        <w:spacing w:after="40" w:before="40"/>
      </w:pPr>
      <w:r>
        <w:rPr>
          <w:rFonts w:ascii="Arial" w:cs="Arial" w:eastAsia="Arial" w:hAnsi="Arial"/>
          <w:b/>
          <w:bCs/>
          <w:color w:val="0D2137"/>
          <w:sz w:val="21"/>
          <w:szCs w:val="21"/>
        </w:rPr>
        <w:t xml:space="preserve">November–December 2026:  </w:t>
      </w:r>
      <w:r>
        <w:rPr>
          <w:rFonts w:ascii="Arial" w:cs="Arial" w:eastAsia="Arial" w:hAnsi="Arial"/>
          <w:color w:val="1E1E1E"/>
          <w:sz w:val="21"/>
          <w:szCs w:val="21"/>
        </w:rPr>
        <w:t xml:space="preserve">Phase 1 manuscript drafted; pilot grant application submitted</w:t>
      </w:r>
    </w:p>
    <w:p>
      <w:pPr>
        <w:spacing w:after="40" w:before="40"/>
      </w:pPr>
      <w:r>
        <w:rPr>
          <w:rFonts w:ascii="Arial" w:cs="Arial" w:eastAsia="Arial" w:hAnsi="Arial"/>
          <w:b/>
          <w:bCs/>
          <w:color w:val="0D2137"/>
          <w:sz w:val="21"/>
          <w:szCs w:val="21"/>
        </w:rPr>
        <w:t xml:space="preserve">Q1 2027:  </w:t>
      </w:r>
      <w:r>
        <w:rPr>
          <w:rFonts w:ascii="Arial" w:cs="Arial" w:eastAsia="Arial" w:hAnsi="Arial"/>
          <w:color w:val="1E1E1E"/>
          <w:sz w:val="21"/>
          <w:szCs w:val="21"/>
        </w:rPr>
        <w:t xml:space="preserve">Phase 1 manuscript submitted; Phase 2 IRB submitted pending funding</w:t>
      </w:r>
    </w:p>
    <w:p>
      <w:pPr>
        <w:spacing w:after="40" w:before="40"/>
      </w:pPr>
      <w:r>
        <w:rPr>
          <w:rFonts w:ascii="Arial" w:cs="Arial" w:eastAsia="Arial" w:hAnsi="Arial"/>
          <w:b/>
          <w:bCs/>
          <w:color w:val="0D2137"/>
          <w:sz w:val="21"/>
          <w:szCs w:val="21"/>
        </w:rPr>
        <w:t xml:space="preserve">Q2–Q3 2027:  </w:t>
      </w:r>
      <w:r>
        <w:rPr>
          <w:rFonts w:ascii="Arial" w:cs="Arial" w:eastAsia="Arial" w:hAnsi="Arial"/>
          <w:color w:val="1E1E1E"/>
          <w:sz w:val="21"/>
          <w:szCs w:val="21"/>
        </w:rPr>
        <w:t xml:space="preserve">Phase 2 prospective enrollment begins upon funding confirmation</w:t>
      </w:r>
    </w:p>
    <w:p>
      <w:pPr>
        <w:spacing w:after="40" w:before="40"/>
      </w:pPr>
      <w:r>
        <w:rPr>
          <w:rFonts w:ascii="Arial" w:cs="Arial" w:eastAsia="Arial" w:hAnsi="Arial"/>
          <w:b/>
          <w:bCs/>
          <w:color w:val="0D2137"/>
          <w:sz w:val="21"/>
          <w:szCs w:val="21"/>
        </w:rPr>
        <w:t xml:space="preserve">Q4 2027:  </w:t>
      </w:r>
      <w:r>
        <w:rPr>
          <w:rFonts w:ascii="Arial" w:cs="Arial" w:eastAsia="Arial" w:hAnsi="Arial"/>
          <w:color w:val="1E1E1E"/>
          <w:sz w:val="21"/>
          <w:szCs w:val="21"/>
        </w:rPr>
        <w:t xml:space="preserve">Phase 2 interim analysis; second manuscript drafted</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Selected Scientific Foundation</w:t>
      </w:r>
    </w:p>
    <w:p>
      <w:pPr>
        <w:spacing w:after="80" w:before="0"/>
      </w:pPr>
      <w:r>
        <w:rPr>
          <w:rFonts w:ascii="Arial" w:cs="Arial" w:eastAsia="Arial" w:hAnsi="Arial"/>
          <w:color w:val="666666"/>
          <w:sz w:val="20"/>
          <w:szCs w:val="20"/>
        </w:rPr>
        <w:t xml:space="preserve">The following peer-reviewed publications form the primary evidentiary basis for this proposal. Each represents a landmark finding directly relevant to the research questions described above.</w:t>
      </w:r>
    </w:p>
    <w:p>
      <w:pPr>
        <w:spacing w:after="10" w:before="60"/>
        <w:ind w:left="540" w:hanging="540"/>
      </w:pPr>
      <w:r>
        <w:rPr>
          <w:rFonts w:ascii="Arial" w:cs="Arial" w:eastAsia="Arial" w:hAnsi="Arial"/>
          <w:b/>
          <w:bCs/>
          <w:color w:val="028090"/>
          <w:sz w:val="20"/>
          <w:szCs w:val="20"/>
        </w:rPr>
        <w:t xml:space="preserve">1.  </w:t>
      </w:r>
      <w:r>
        <w:rPr>
          <w:rFonts w:ascii="Arial" w:cs="Arial" w:eastAsia="Arial" w:hAnsi="Arial"/>
          <w:b/>
          <w:bCs/>
          <w:color w:val="1E1E1E"/>
          <w:sz w:val="20"/>
          <w:szCs w:val="20"/>
        </w:rPr>
        <w:t xml:space="preserve">Jaiswal S, et al. Age-related clonal hematopoiesis associated with adverse outcomes. </w:t>
      </w:r>
      <w:r>
        <w:rPr>
          <w:rFonts w:ascii="Arial" w:cs="Arial" w:eastAsia="Arial" w:hAnsi="Arial"/>
          <w:color w:val="1E1E1E"/>
          <w:sz w:val="20"/>
          <w:szCs w:val="20"/>
        </w:rPr>
        <w:t xml:space="preserve">N Engl J Med. 2014;371:2488–2498.</w:t>
      </w:r>
    </w:p>
    <w:p>
      <w:pPr>
        <w:pBdr>
          <w:left w:val="single" w:color="C8DFF0" w:sz="8" w:space="6"/>
        </w:pBdr>
        <w:spacing w:after="60" w:before="0"/>
        <w:ind w:left="540"/>
      </w:pPr>
      <w:r>
        <w:rPr>
          <w:rFonts w:ascii="Arial" w:cs="Arial" w:eastAsia="Arial" w:hAnsi="Arial"/>
          <w:color w:val="666666"/>
          <w:sz w:val="19"/>
          <w:szCs w:val="19"/>
        </w:rPr>
        <w:t xml:space="preserve">Founding CHIP paper. Established that somatic driver mutations affect 10–20% of adults over 70, with doubled all-cause mortality, with excess attributable to cardiovascular events rather than leukemia.</w:t>
      </w:r>
    </w:p>
    <w:p>
      <w:pPr>
        <w:spacing w:after="10" w:before="60"/>
        <w:ind w:left="540" w:hanging="540"/>
      </w:pPr>
      <w:r>
        <w:rPr>
          <w:rFonts w:ascii="Arial" w:cs="Arial" w:eastAsia="Arial" w:hAnsi="Arial"/>
          <w:b/>
          <w:bCs/>
          <w:color w:val="028090"/>
          <w:sz w:val="20"/>
          <w:szCs w:val="20"/>
        </w:rPr>
        <w:t xml:space="preserve">2.  </w:t>
      </w:r>
      <w:r>
        <w:rPr>
          <w:rFonts w:ascii="Arial" w:cs="Arial" w:eastAsia="Arial" w:hAnsi="Arial"/>
          <w:b/>
          <w:bCs/>
          <w:color w:val="1E1E1E"/>
          <w:sz w:val="20"/>
          <w:szCs w:val="20"/>
        </w:rPr>
        <w:t xml:space="preserve">Jaiswal S, et al. Clonal hematopoiesis and risk of atherosclerotic cardiovascular disease. </w:t>
      </w:r>
      <w:r>
        <w:rPr>
          <w:rFonts w:ascii="Arial" w:cs="Arial" w:eastAsia="Arial" w:hAnsi="Arial"/>
          <w:color w:val="1E1E1E"/>
          <w:sz w:val="20"/>
          <w:szCs w:val="20"/>
        </w:rPr>
        <w:t xml:space="preserve">N Engl J Med. 2017;377:111–121.</w:t>
      </w:r>
    </w:p>
    <w:p>
      <w:pPr>
        <w:pBdr>
          <w:left w:val="single" w:color="C8DFF0" w:sz="8" w:space="6"/>
        </w:pBdr>
        <w:spacing w:after="60" w:before="0"/>
        <w:ind w:left="540"/>
      </w:pPr>
      <w:r>
        <w:rPr>
          <w:rFonts w:ascii="Arial" w:cs="Arial" w:eastAsia="Arial" w:hAnsi="Arial"/>
          <w:color w:val="666666"/>
          <w:sz w:val="19"/>
          <w:szCs w:val="19"/>
        </w:rPr>
        <w:t xml:space="preserve">Established CHIP as an independent cardiovascular risk factor: 1.9-fold increased coronary artery disease risk across four prospective cohorts, independent of all traditional risk factors.</w:t>
      </w:r>
    </w:p>
    <w:p>
      <w:pPr>
        <w:spacing w:after="10" w:before="60"/>
        <w:ind w:left="540" w:hanging="540"/>
      </w:pPr>
      <w:r>
        <w:rPr>
          <w:rFonts w:ascii="Arial" w:cs="Arial" w:eastAsia="Arial" w:hAnsi="Arial"/>
          <w:b/>
          <w:bCs/>
          <w:color w:val="028090"/>
          <w:sz w:val="20"/>
          <w:szCs w:val="20"/>
        </w:rPr>
        <w:t xml:space="preserve">3.  </w:t>
      </w:r>
      <w:r>
        <w:rPr>
          <w:rFonts w:ascii="Arial" w:cs="Arial" w:eastAsia="Arial" w:hAnsi="Arial"/>
          <w:b/>
          <w:bCs/>
          <w:color w:val="1E1E1E"/>
          <w:sz w:val="20"/>
          <w:szCs w:val="20"/>
        </w:rPr>
        <w:t xml:space="preserve">Schuermans A, et al. Clonal hematopoiesis and incident heart failure with preserved ejection fraction. </w:t>
      </w:r>
      <w:r>
        <w:rPr>
          <w:rFonts w:ascii="Arial" w:cs="Arial" w:eastAsia="Arial" w:hAnsi="Arial"/>
          <w:color w:val="1E1E1E"/>
          <w:sz w:val="20"/>
          <w:szCs w:val="20"/>
        </w:rPr>
        <w:t xml:space="preserve">JAMA Netw Open. 2024;7(1):e2353244.</w:t>
      </w:r>
    </w:p>
    <w:p>
      <w:pPr>
        <w:pBdr>
          <w:left w:val="single" w:color="C8DFF0" w:sz="8" w:space="6"/>
        </w:pBdr>
        <w:spacing w:after="60" w:before="0"/>
        <w:ind w:left="540"/>
      </w:pPr>
      <w:r>
        <w:rPr>
          <w:rFonts w:ascii="Arial" w:cs="Arial" w:eastAsia="Arial" w:hAnsi="Arial"/>
          <w:color w:val="666666"/>
          <w:sz w:val="19"/>
          <w:szCs w:val="19"/>
        </w:rPr>
        <w:t xml:space="preserve">TET2-CHIP (but not DNMT3A-CHIP) independently associated with incident HFpEF (HR 2.35), with the strongest effect in patients with elevated CRP. Directly relevant to the elderly rural population served by Guthrie.</w:t>
      </w:r>
    </w:p>
    <w:p>
      <w:pPr>
        <w:spacing w:after="10" w:before="60"/>
        <w:ind w:left="540" w:hanging="540"/>
      </w:pPr>
      <w:r>
        <w:rPr>
          <w:rFonts w:ascii="Arial" w:cs="Arial" w:eastAsia="Arial" w:hAnsi="Arial"/>
          <w:b/>
          <w:bCs/>
          <w:color w:val="028090"/>
          <w:sz w:val="20"/>
          <w:szCs w:val="20"/>
        </w:rPr>
        <w:t xml:space="preserve">4.  </w:t>
      </w:r>
      <w:r>
        <w:rPr>
          <w:rFonts w:ascii="Arial" w:cs="Arial" w:eastAsia="Arial" w:hAnsi="Arial"/>
          <w:b/>
          <w:bCs/>
          <w:color w:val="1E1E1E"/>
          <w:sz w:val="20"/>
          <w:szCs w:val="20"/>
        </w:rPr>
        <w:t xml:space="preserve">Svensson EC, et al. TET2-driven clonal hematopoiesis and response to canakinumab: an exploratory analysis of the CANTOS trial. </w:t>
      </w:r>
      <w:r>
        <w:rPr>
          <w:rFonts w:ascii="Arial" w:cs="Arial" w:eastAsia="Arial" w:hAnsi="Arial"/>
          <w:color w:val="1E1E1E"/>
          <w:sz w:val="20"/>
          <w:szCs w:val="20"/>
        </w:rPr>
        <w:t xml:space="preserve">JAMA Cardiol. 2022;7(5):521–528.</w:t>
      </w:r>
    </w:p>
    <w:p>
      <w:pPr>
        <w:pBdr>
          <w:left w:val="single" w:color="C8DFF0" w:sz="8" w:space="6"/>
        </w:pBdr>
        <w:spacing w:after="60" w:before="0"/>
        <w:ind w:left="540"/>
      </w:pPr>
      <w:r>
        <w:rPr>
          <w:rFonts w:ascii="Arial" w:cs="Arial" w:eastAsia="Arial" w:hAnsi="Arial"/>
          <w:color w:val="666666"/>
          <w:sz w:val="19"/>
          <w:szCs w:val="19"/>
        </w:rPr>
        <w:t xml:space="preserve">TET2-CHIP carriers in CANTOS experienced ~62% relative reduction in major cardiovascular events with IL-1β inhibition versus equivocal benefit in non-CHIP patients, representing the key mechanistic link between CHIP genotype and targeted therapy.</w:t>
      </w:r>
    </w:p>
    <w:p>
      <w:pPr>
        <w:spacing w:after="10" w:before="60"/>
        <w:ind w:left="540" w:hanging="540"/>
      </w:pPr>
      <w:r>
        <w:rPr>
          <w:rFonts w:ascii="Arial" w:cs="Arial" w:eastAsia="Arial" w:hAnsi="Arial"/>
          <w:b/>
          <w:bCs/>
          <w:color w:val="028090"/>
          <w:sz w:val="20"/>
          <w:szCs w:val="20"/>
        </w:rPr>
        <w:t xml:space="preserve">5.  </w:t>
      </w:r>
      <w:r>
        <w:rPr>
          <w:rFonts w:ascii="Arial" w:cs="Arial" w:eastAsia="Arial" w:hAnsi="Arial"/>
          <w:b/>
          <w:bCs/>
          <w:color w:val="1E1E1E"/>
          <w:sz w:val="20"/>
          <w:szCs w:val="20"/>
        </w:rPr>
        <w:t xml:space="preserve">Leiser CL, et al. Associations between ambient air pollutants and clonal hematopoiesis of indeterminate potential. </w:t>
      </w:r>
      <w:r>
        <w:rPr>
          <w:rFonts w:ascii="Arial" w:cs="Arial" w:eastAsia="Arial" w:hAnsi="Arial"/>
          <w:color w:val="1E1E1E"/>
          <w:sz w:val="20"/>
          <w:szCs w:val="20"/>
        </w:rPr>
        <w:t xml:space="preserve">Cancer Epidemiol Biomarkers Prev. 2023;32(10):1470–1473.</w:t>
      </w:r>
    </w:p>
    <w:p>
      <w:pPr>
        <w:pBdr>
          <w:left w:val="single" w:color="C8DFF0" w:sz="8" w:space="6"/>
        </w:pBdr>
        <w:spacing w:after="80" w:before="0"/>
        <w:ind w:left="540"/>
      </w:pPr>
      <w:r>
        <w:rPr>
          <w:rFonts w:ascii="Arial" w:cs="Arial" w:eastAsia="Arial" w:hAnsi="Arial"/>
          <w:color w:val="666666"/>
          <w:sz w:val="19"/>
          <w:szCs w:val="19"/>
        </w:rPr>
        <w:t xml:space="preserve">First published study linking environmental exposure to CHIP prevalence. Establishes the scientific precedent for the agricultural chemical exposure question at the core of this proposal's population science rationale.</w:t>
      </w:r>
    </w:p>
    <w:p>
      <w:pPr>
        <w:pBdr>
          <w:bottom w:val="single" w:color="C8DFF0" w:sz="4" w:space="1"/>
        </w:pBdr>
        <w:spacing w:after="100" w:before="100"/>
      </w:pPr>
      <w:r>
        <w:t xml:space="preserve"/>
      </w:r>
    </w:p>
    <w:p>
      <w:pPr>
        <w:spacing w:after="80" w:before="120"/>
      </w:pPr>
      <w:r>
        <w:rPr>
          <w:rFonts w:ascii="Arial" w:cs="Arial" w:eastAsia="Arial" w:hAnsi="Arial"/>
          <w:color w:val="1E1E1E"/>
          <w:sz w:val="21"/>
          <w:szCs w:val="21"/>
        </w:rPr>
        <w:t xml:space="preserve">I welcome the opportunity to discuss this proposal further at your convenience.</w:t>
      </w:r>
    </w:p>
    <w:p>
      <w:pPr>
        <w:spacing w:after="80" w:before="0"/>
      </w:pPr>
      <w:r>
        <w:t xml:space="preserve"/>
      </w:r>
    </w:p>
    <w:p>
      <w:pPr>
        <w:spacing w:after="40" w:before="0"/>
      </w:pPr>
      <w:r>
        <w:rPr>
          <w:rFonts w:ascii="Arial" w:cs="Arial" w:eastAsia="Arial" w:hAnsi="Arial"/>
          <w:b/>
          <w:bCs/>
          <w:color w:val="0D2137"/>
          <w:sz w:val="22"/>
          <w:szCs w:val="22"/>
        </w:rPr>
        <w:t xml:space="preserve">David Comstock, MD</w:t>
      </w:r>
    </w:p>
    <w:p>
      <w:pPr>
        <w:spacing w:after="40" w:before="0"/>
      </w:pPr>
      <w:r>
        <w:rPr>
          <w:rFonts w:ascii="Arial" w:cs="Arial" w:eastAsia="Arial" w:hAnsi="Arial"/>
          <w:color w:val="666666"/>
          <w:sz w:val="20"/>
          <w:szCs w:val="20"/>
        </w:rPr>
        <w:t xml:space="preserve">Department of Internal Medicine  ·  Guthrie Lourdes Hospital</w:t>
      </w:r>
    </w:p>
    <w:p>
      <w:pPr>
        <w:spacing w:after="0" w:before="0"/>
      </w:pPr>
      <w:r>
        <w:rPr>
          <w:rFonts w:ascii="Arial" w:cs="Arial" w:eastAsia="Arial" w:hAnsi="Arial"/>
          <w:color w:val="666666"/>
          <w:sz w:val="20"/>
          <w:szCs w:val="20"/>
        </w:rPr>
        <w:t xml:space="preserve">david.comstock@guthrie.org</w:t>
      </w:r>
    </w:p>
    <w:p>
      <w:pPr>
        <w:spacing w:after="80" w:before="0"/>
      </w:pPr>
      <w:r>
        <w:t xml:space="preserve"/>
      </w:r>
    </w:p>
    <w:p>
      <w:pPr>
        <w:pBdr>
          <w:top w:val="single" w:color="C8DFF0" w:sz="4" w:space="4"/>
        </w:pBdr>
        <w:spacing w:after="0" w:before="120"/>
      </w:pPr>
      <w:r>
        <w:rPr>
          <w:rFonts w:ascii="Arial" w:cs="Arial" w:eastAsia="Arial" w:hAnsi="Arial"/>
          <w:color w:val="999999"/>
          <w:sz w:val="17"/>
          <w:szCs w:val="17"/>
        </w:rPr>
        <w:t xml:space="preserve">Prepared May 2026  ·  Confidential  ·  For discussion purposes</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7"/>
        <w:szCs w:val="17"/>
      </w:rPr>
      <w:t xml:space="preserve">David Comstock, MD  ·  Guthrie Lourdes Hospital  ·  May 2026   |   p.</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2026-05-17T06:33:30.932Z</dcterms:created>
  <dcterms:modified xsi:type="dcterms:W3CDTF">2026-05-17T06:33:30.932Z</dcterms:modified>
</cp:coreProperties>
</file>

<file path=docProps/custom.xml><?xml version="1.0" encoding="utf-8"?>
<Properties xmlns="http://schemas.openxmlformats.org/officeDocument/2006/custom-properties" xmlns:vt="http://schemas.openxmlformats.org/officeDocument/2006/docPropsVTypes"/>
</file>