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66666"/>
          <w:sz w:val="20"/>
          <w:szCs w:val="20"/>
        </w:rPr>
        <w:t xml:space="preserve">CLAUDE SESSION SUMMARY</w:t>
      </w:r>
    </w:p>
    <w:p>
      <w:pPr>
        <w:spacing w:after="200" w:before="0"/>
      </w:pPr>
      <w:r>
        <w:rPr>
          <w:rFonts w:ascii="Arial" w:cs="Arial" w:eastAsia="Arial" w:hAnsi="Arial"/>
          <w:color w:val="666666"/>
          <w:sz w:val="20"/>
          <w:szCs w:val="20"/>
        </w:rPr>
        <w:t xml:space="preserve">David Alan Comstock, MD  ·  May 2026  ·  For transfer to Project folder</w:t>
      </w:r>
    </w:p>
    <w:p>
      <w:pPr>
        <w:pBdr>
          <w:bottom w:val="thick" w:color="028090" w:sz="12" w:space="4"/>
        </w:pBdr>
        <w:spacing w:after="320" w:before="0"/>
      </w:pPr>
      <w:r>
        <w:rPr>
          <w:rFonts w:ascii="Arial" w:cs="Arial" w:eastAsia="Arial" w:hAnsi="Arial"/>
          <w:b/>
          <w:bCs/>
          <w:color w:val="0D2137"/>
          <w:sz w:val="36"/>
          <w:szCs w:val="36"/>
        </w:rPr>
        <w:t xml:space="preserve">Scholarly Work Review, Paper Updates &amp; CHIP Clinical Research Planning</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1.  Session Overview</w:t>
      </w:r>
    </w:p>
    <w:p>
      <w:pPr>
        <w:spacing w:after="120" w:before="60" w:line="320"/>
        <w:jc w:val="both"/>
      </w:pPr>
      <w:r>
        <w:rPr>
          <w:rFonts w:ascii="Arial" w:cs="Arial" w:eastAsia="Arial" w:hAnsi="Arial"/>
          <w:color w:val="2C2C2C"/>
          <w:sz w:val="22"/>
          <w:szCs w:val="22"/>
        </w:rPr>
        <w:t xml:space="preserve">This session reviewed three graduate-level molecular biology papers written at The City College of New York (CCNY/MSKCC, 2012) for Dr. David Calhoun, Dr. Karen Hubbard, and Dr. Jerry Guyden. Two deliverables were produced (a PowerPoint presentation and an updated Word document), and a substantive clinical discussion developed around clonal hematopoiesis (CHIP) and a potential rural hematology research project.</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Papers Reviewed</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Paper #1: Aging, Stem Cells and the Cancer Stem Cell Hypothesis (2012 MS thesis paper)</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Paper #2: Intrathymic Thymopoiesis and the Induction of T Cell Self-Recognition</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Paper #3: Overview of DNA Repair Mechanisms</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Overall Assessment</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Scientific accuracy (for 2012): ★★★★☆ ,  Above-average MS-level review work</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Primary literature engagement: ★★★★★ ,  Blackburn, Campisi, Hanahan/Weinberg, Blasco, Rando cited correctly</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Paper #2 (Immunology) is the most technically polished of the three</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Weakness across papers: conclusions that summarize rather than synthesize; Paper #3 summary is generic</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Paper #1 strongest for cross-field integration (telomere biology, stem cells, CSC hypothesis, ECM)</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2.  Deliverable: Thymopoiesis Presentation (Paper #2)</w:t>
      </w:r>
    </w:p>
    <w:p>
      <w:pPr>
        <w:spacing w:after="120" w:before="60" w:line="320"/>
        <w:jc w:val="both"/>
      </w:pPr>
      <w:r>
        <w:rPr>
          <w:rFonts w:ascii="Arial" w:cs="Arial" w:eastAsia="Arial" w:hAnsi="Arial"/>
          <w:color w:val="2C2C2C"/>
          <w:sz w:val="22"/>
          <w:szCs w:val="22"/>
        </w:rPr>
        <w:t xml:space="preserve">A 12-slide PowerPoint presentation was created from Paper #2 (Intrathymic Thymopoiesis). File: thymopoiesis_presentation.pptx</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Slide Structure</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1: Title (dark navy, decorative geometry)</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2: Roadmap: 6-card color-coded grid</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3: T Cells &amp; Cell-Mediated Immunity (two-column: bullets + CD4/CD8 cards)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4: TCR Structure (info boxes + α/β chain schematic with CD3 subunits)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5: MHC: Class I vs Class II side-by-side panels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6: The Thymic Journey (oval thymus diagram with anatomic zones)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7: Double Negative Stages DN1→DN4 (color-coded table with markers + events)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8: β-Selection &amp; V(D)J Recombination (steps left + outcome box right)</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9: Double Positive Stage &amp; Positive Selection (DP table + 4 outcome cards)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10: Negative Selection &amp; AIRE (prose left + AIRE feature box right)</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11: T Cell Repertoire: Selection Outcomes (3-column fate summary with percentages)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Slide 12: Key Takeaways (dark navy, 5 numbered conclusions)</w:t>
      </w:r>
    </w:p>
    <w:p>
      <w:pPr>
        <w:spacing w:after="60" w:before="0"/>
      </w:pPr>
      <w:r>
        <w:t xml:space="preserve"/>
      </w:r>
    </w:p>
    <w:p>
      <w:pPr>
        <w:pBdr>
          <w:left w:val="thick" w:color="028090" w:sz="24" w:space="8"/>
        </w:pBdr>
        <w:spacing w:after="120" w:before="120" w:line="300"/>
        <w:ind w:left="720" w:right="360"/>
      </w:pPr>
      <w:r>
        <w:rPr>
          <w:rFonts w:ascii="Arial" w:cs="Arial" w:eastAsia="Arial" w:hAnsi="Arial"/>
          <w:b/>
          <w:bCs/>
          <w:color w:val="028090"/>
          <w:sz w:val="22"/>
          <w:szCs w:val="22"/>
        </w:rPr>
        <w:t xml:space="preserve">Design:  </w:t>
      </w:r>
      <w:r>
        <w:rPr>
          <w:rFonts w:ascii="Arial" w:cs="Arial" w:eastAsia="Arial" w:hAnsi="Arial"/>
          <w:color w:val="2C2C2C"/>
          <w:sz w:val="22"/>
          <w:szCs w:val="22"/>
        </w:rPr>
        <w:t xml:space="preserve">Navy/teal color scheme. Georgia serif titles, Calibri body. Anatomic zone diagram built from shapes (no external images required). Color-coding consistent across slides: blue=CMJ, green=cortex, amber=SCZ, coral=medulla.</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3.  Deliverable: Paper #1 Updated (2025)</w:t>
      </w:r>
    </w:p>
    <w:p>
      <w:pPr>
        <w:spacing w:after="120" w:before="60" w:line="320"/>
        <w:jc w:val="both"/>
      </w:pPr>
      <w:r>
        <w:rPr>
          <w:rFonts w:ascii="Arial" w:cs="Arial" w:eastAsia="Arial" w:hAnsi="Arial"/>
          <w:color w:val="2C2C2C"/>
          <w:sz w:val="22"/>
          <w:szCs w:val="22"/>
        </w:rPr>
        <w:t xml:space="preserve">A comprehensive update document was written covering major developments from 2012 to 2025. File: aging_stem_cells_CSC_2025_update.docx</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Ten Update Sections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   Organism Aging: Hallmarks of Aging 2013→2023 (López-Otín; 9→12 hallmarks; epigenetic clocks)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II.  Cellular Senescence: cGAS-STING as SASP trigger; paracrine senescence; immunosenescence</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III. Inflammaging: new formal hallmark; DAMPs; clinical correlates; IL-6/CRP as markers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IV.  Senolytics: SCAPs; dasatinib+quercetin, navitoclax, fisetin; CAR-T senolytics; first human RCTs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V.   Stem Cell Biology: stem cell exhaustion as hallmark; CHIP discovery; muscle satellite cell autophagy; organoids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VI.  Epigenetic Reprogramming: OSKM partial reprogramming; Lu 2020 vision restoration; chemical reprogramming; information theory of aging</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VII. Cancer Stem Cell Hypothesis: CSC 2.0; plasticity over hierarchy; EMT; scRNA-seq heterogeneity; metabolic plasticity</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VIII. Cancer Hallmarks Updated: Hanahan 2022: phenotypic plasticity, epigenetic reprogramming, microbiome, senescent cells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IX.  Telomere Biology: therapeutic telomerase activation; full shelterin complex; TPE-OLD</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X.   Revised Summary: updated aging-cancer nexus synthesis</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4.  Clinical Discussion: CHIP</w:t>
      </w:r>
    </w:p>
    <w:p>
      <w:pPr>
        <w:pStyle w:val="Heading2"/>
        <w:spacing w:after="120" w:before="280"/>
      </w:pPr>
      <w:r>
        <w:rPr>
          <w:rFonts w:ascii="Arial" w:cs="Arial" w:eastAsia="Arial" w:hAnsi="Arial"/>
          <w:b/>
          <w:bCs/>
          <w:color w:val="028090"/>
          <w:sz w:val="24"/>
          <w:szCs w:val="24"/>
        </w:rPr>
        <w:t xml:space="preserve">Key Distinctions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CHIP: Clonal mutation (VAF ≥2%), no cytopenias, no dysplasia. ~0.5–1%/yr malignancy risk</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CCUS: Clonal mutation + unexplained cytopenia, no dysplasia. ~10–15% malignancy risk at 5 years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ICUS: Unexplained cytopenia, no clonal mutation. Lower risk, still warrants monitoring</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Major Driver Genes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DNMT3A  (most common overall)</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TET2  (strongest cardiovascular signal; drives macrophage NLRP3/IL-1β in atherosclerotic plaques)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ASXL1  (higher malignancy conversion risk)</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Cardiovascular Signal</w:t>
      </w:r>
    </w:p>
    <w:p>
      <w:pPr>
        <w:spacing w:after="120" w:before="60" w:line="320"/>
        <w:jc w:val="both"/>
      </w:pPr>
      <w:r>
        <w:rPr>
          <w:rFonts w:ascii="Arial" w:cs="Arial" w:eastAsia="Arial" w:hAnsi="Arial"/>
          <w:color w:val="2C2C2C"/>
          <w:sz w:val="22"/>
          <w:szCs w:val="22"/>
        </w:rPr>
        <w:t xml:space="preserve">CHIP carriers have ~2-fold increased coronary artery disease risk and ~4-fold increased early-onset MI risk independent of traditional cardiovascular risk factors (Jaiswal 2014). TET2 mutations specifically drive atherosclerosis via NLRP3 inflammasome activation: the same pathway targeted in the CANTOS trial. CHIP is also associated with HFpEF, atrial fibrillation, and stroke.</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Clinical Triggers for Suspecting CHIP/CCUS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Unexplained macrocytic anemia in patient &gt;70 with normal B12/folate</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Unexplained mild neutropenia or thrombocytopenia</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Incidental clonal mutation flagged on tumor next-generation sequencing</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Patient presenting with results from commercial sequencing panel</w:t>
      </w:r>
    </w:p>
    <w:p>
      <w:pPr>
        <w:spacing w:after="60" w:before="0"/>
      </w:pPr>
      <w:r>
        <w:t xml:space="preserve"/>
      </w:r>
    </w:p>
    <w:p>
      <w:pPr>
        <w:pBdr>
          <w:left w:val="thick" w:color="028090" w:sz="24" w:space="8"/>
        </w:pBdr>
        <w:spacing w:after="120" w:before="120" w:line="300"/>
        <w:ind w:left="720" w:right="360"/>
      </w:pPr>
      <w:r>
        <w:rPr>
          <w:rFonts w:ascii="Arial" w:cs="Arial" w:eastAsia="Arial" w:hAnsi="Arial"/>
          <w:b/>
          <w:bCs/>
          <w:color w:val="028090"/>
          <w:sz w:val="22"/>
          <w:szCs w:val="22"/>
        </w:rPr>
        <w:t xml:space="preserve">Correction from session:  </w:t>
      </w:r>
      <w:r>
        <w:rPr>
          <w:rFonts w:ascii="Arial" w:cs="Arial" w:eastAsia="Arial" w:hAnsi="Arial"/>
          <w:color w:val="2C2C2C"/>
          <w:sz w:val="22"/>
          <w:szCs w:val="22"/>
        </w:rPr>
        <w:t xml:space="preserve">CHIP is associated with cytopenias (low counts), not elevated hematocrit. Elevated hematocrit points to polycythemia vera (JAK2 V617F), secondary erythrocytosis, or spurious causes: a distinct clinical pathway.</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Management Framework</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CHIP alone, no cytopenias, VAF &lt;10% → optimize cardiovascular risk factors; CBC annually; no mandatory hematology referral</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CHIP + cytopenias (CCUS) → hematology referral; bone marrow biopsy consideration</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VAF &gt;10% → hematology referral regardless of cytopenias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CHIP + TET2 mutation + elevated hsCRP → consider cardiovascular risk factor intensification</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5.  Research Project Concept: Rural CHIP/CCUS Screening</w:t>
      </w:r>
    </w:p>
    <w:p>
      <w:pPr>
        <w:pStyle w:val="Heading2"/>
        <w:spacing w:after="120" w:before="280"/>
      </w:pPr>
      <w:r>
        <w:rPr>
          <w:rFonts w:ascii="Arial" w:cs="Arial" w:eastAsia="Arial" w:hAnsi="Arial"/>
          <w:b/>
          <w:bCs/>
          <w:color w:val="028090"/>
          <w:sz w:val="24"/>
          <w:szCs w:val="24"/>
        </w:rPr>
        <w:t xml:space="preserve">Population</w:t>
      </w:r>
    </w:p>
    <w:p>
      <w:pPr>
        <w:spacing w:after="120" w:before="60" w:line="320"/>
        <w:jc w:val="both"/>
      </w:pPr>
      <w:r>
        <w:rPr>
          <w:rFonts w:ascii="Arial" w:cs="Arial" w:eastAsia="Arial" w:hAnsi="Arial"/>
          <w:color w:val="2C2C2C"/>
          <w:sz w:val="22"/>
          <w:szCs w:val="22"/>
        </w:rPr>
        <w:t xml:space="preserve">Predominantly rural, agricultural workers, &gt;70 years of age. Distinctive scientific value: agricultural chemical exposure (organophosphates, glyphosate, atrazine) is a known risk factor for hematologic malignancy but its relationship to CHIP prevalence and clonal dynamics is not well characterized in the existing literature (which is predominantly urban biobank-derived).</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Proposed Study Design: Phased Approach</w:t>
      </w:r>
    </w:p>
    <w:p>
      <w:pPr>
        <w:pStyle w:val="Heading3"/>
        <w:spacing w:after="80" w:before="200"/>
      </w:pPr>
      <w:r>
        <w:rPr>
          <w:rFonts w:ascii="Arial" w:cs="Arial" w:eastAsia="Arial" w:hAnsi="Arial"/>
          <w:b/>
          <w:bCs/>
          <w:color w:val="9B2335"/>
          <w:sz w:val="22"/>
          <w:szCs w:val="22"/>
        </w:rPr>
        <w:t xml:space="preserve">Phase 1: Retrospective Chart Review (No new testing required)</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Research question: What fraction of patients at this institution with CBC pattern consistent with CCUS (MCV &gt;100, Hgb below threshold, normal B12/folate, age &gt;70) had no further documented workup?</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Method: AI-assisted chart review prompt applied to EHR data export or FHIR API</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IRB: Chart review only: minimal risk, straightforward application</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Direct cost: ~$50–100 in LLM API costs for thousands of charts; EHR data pull via informatics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Output: Care gap characterization; publishable as research letter or brief communication</w:t>
      </w:r>
    </w:p>
    <w:p>
      <w:pPr>
        <w:pStyle w:val="Heading3"/>
        <w:spacing w:after="80" w:before="200"/>
      </w:pPr>
      <w:r>
        <w:rPr>
          <w:rFonts w:ascii="Arial" w:cs="Arial" w:eastAsia="Arial" w:hAnsi="Arial"/>
          <w:b/>
          <w:bCs/>
          <w:color w:val="9B2335"/>
          <w:sz w:val="22"/>
          <w:szCs w:val="22"/>
        </w:rPr>
        <w:t xml:space="preserve">Phase 2: Prospective Pilot with Confirmatory NGS (Requires funding)</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Flag patients from Phase 1 → offer peripheral blood NGS panel for CHIP confirmation</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NGS cost: ~$300–600/patient; 20–30 patient pilot = $6,000–18,000 laboratory costs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Funding targets: departmental pilot fund, Pennsylvania Medical Society, ASH Research Collaborative small grant</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Primary outcome: CHIP/CCUS prevalence in rural agricultural cohort vs. published biobank rates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Secondary: agricultural chemical exposure as covariate; cardiovascular comorbidity burden</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The AI Prompt as Methodology</w:t>
      </w:r>
    </w:p>
    <w:p>
      <w:pPr>
        <w:spacing w:after="120" w:before="60" w:line="320"/>
        <w:jc w:val="both"/>
      </w:pPr>
      <w:r>
        <w:rPr>
          <w:rFonts w:ascii="Arial" w:cs="Arial" w:eastAsia="Arial" w:hAnsi="Arial"/>
          <w:color w:val="2C2C2C"/>
          <w:sz w:val="22"/>
          <w:szCs w:val="22"/>
        </w:rPr>
        <w:t xml:space="preserve">The LLM-based chart review prompt is the tool, not the scientific question. Frame it as a scaling method for systematic phenotype identification: not as an AI-for-AI's-sake project. This distinction is important when pitching to a skeptical clinician collaborator. The prompt identifies patients meeting a defined CBC phenotype; the science is about what that means in this population.</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Potential Framing Angles for Funding/Publication</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Rural health disparities / care gap in specialty hematology access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Occupational exposure and clonal hematopoiesis (undercharacterized subgroup)</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AI-assisted clinical phenotyping methodology (methods paper)</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Health equity: CHIP screening literature is predominantly urban and European-ancestry derived</w:t>
      </w:r>
    </w:p>
    <w:p>
      <w:pPr>
        <w:spacing w:after="60" w:before="0"/>
      </w:pPr>
      <w:r>
        <w:t xml:space="preserve"/>
      </w:r>
    </w:p>
    <w:p>
      <w:pPr>
        <w:pBdr>
          <w:left w:val="thick" w:color="028090" w:sz="24" w:space="8"/>
        </w:pBdr>
        <w:spacing w:after="120" w:before="120" w:line="300"/>
        <w:ind w:left="720" w:right="360"/>
      </w:pPr>
      <w:r>
        <w:rPr>
          <w:rFonts w:ascii="Arial" w:cs="Arial" w:eastAsia="Arial" w:hAnsi="Arial"/>
          <w:b/>
          <w:bCs/>
          <w:color w:val="028090"/>
          <w:sz w:val="22"/>
          <w:szCs w:val="22"/>
        </w:rPr>
        <w:t xml:space="preserve">Key caveat:  </w:t>
      </w:r>
      <w:r>
        <w:rPr>
          <w:rFonts w:ascii="Arial" w:cs="Arial" w:eastAsia="Arial" w:hAnsi="Arial"/>
          <w:color w:val="2C2C2C"/>
          <w:sz w:val="22"/>
          <w:szCs w:val="22"/>
        </w:rPr>
        <w:t xml:space="preserve">CHIP screening is not guideline-supported by ASH, NCCN, or USPSTF. Frame as investigational characterization of a care gap: not clinical screening. The absence of a guideline is the justification for the study, not an obstacle to it.</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6.  Hematology Conversation: Talking Points</w:t>
      </w:r>
    </w:p>
    <w:p>
      <w:pPr>
        <w:pStyle w:val="Heading2"/>
        <w:spacing w:after="120" w:before="280"/>
      </w:pPr>
      <w:r>
        <w:rPr>
          <w:rFonts w:ascii="Arial" w:cs="Arial" w:eastAsia="Arial" w:hAnsi="Arial"/>
          <w:b/>
          <w:bCs/>
          <w:color w:val="028090"/>
          <w:sz w:val="24"/>
          <w:szCs w:val="24"/>
        </w:rPr>
        <w:t xml:space="preserve">Opening Frame (clinical observation, not research pitch)</w:t>
      </w:r>
    </w:p>
    <w:p>
      <w:pPr>
        <w:spacing w:after="120" w:before="60" w:line="320"/>
        <w:jc w:val="both"/>
      </w:pPr>
      <w:r>
        <w:rPr>
          <w:rFonts w:ascii="Arial" w:cs="Arial" w:eastAsia="Arial" w:hAnsi="Arial"/>
          <w:color w:val="2C2C2C"/>
          <w:sz w:val="22"/>
          <w:szCs w:val="22"/>
        </w:rPr>
        <w:t xml:space="preserve">"I've been thinking about our rural patient population (predominantly farmers, heavily over 70) and how often we're seeing unexplained macrocytic anemias where the standard workup is unrevealing. I've been reading about CCUS and CHIP and wondering how often we're missing it in this cohort, and whether agricultural chemical exposure might be an undercharacterized risk factor in the literature."</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Five Core Talking Points</w:t>
      </w:r>
    </w:p>
    <w:p>
      <w:pPr>
        <w:pStyle w:val="ListParagraph"/>
        <w:numPr>
          <w:ilvl w:val="0"/>
          <w:numId w:val="2"/>
        </w:numPr>
        <w:spacing w:after="40" w:before="40" w:line="300"/>
      </w:pPr>
      <w:r>
        <w:rPr>
          <w:rFonts w:ascii="Arial" w:cs="Arial" w:eastAsia="Arial" w:hAnsi="Arial"/>
          <w:b/>
          <w:bCs/>
          <w:color w:val="2C2C2C"/>
          <w:sz w:val="22"/>
          <w:szCs w:val="22"/>
        </w:rPr>
        <w:t xml:space="preserve">The population is scientifically distinctive (agricultural cohort underrepresented in existing CHIP epidemiology literature (UK Biobank, MGH/BWH, WHI) all urban-skewed)</w:t>
      </w:r>
    </w:p>
    <w:p>
      <w:pPr>
        <w:pStyle w:val="ListParagraph"/>
        <w:numPr>
          <w:ilvl w:val="0"/>
          <w:numId w:val="2"/>
        </w:numPr>
        <w:spacing w:after="40" w:before="40" w:line="300"/>
      </w:pPr>
      <w:r>
        <w:rPr>
          <w:rFonts w:ascii="Arial" w:cs="Arial" w:eastAsia="Arial" w:hAnsi="Arial"/>
          <w:b/>
          <w:bCs/>
          <w:color w:val="2C2C2C"/>
          <w:sz w:val="22"/>
          <w:szCs w:val="22"/>
        </w:rPr>
        <w:t xml:space="preserve">Care gap angle is immediately actionable: retrospective chart review, no new testing, minimal IRB complexity, publishable independently</w:t>
      </w:r>
    </w:p>
    <w:p>
      <w:pPr>
        <w:pStyle w:val="ListParagraph"/>
        <w:numPr>
          <w:ilvl w:val="0"/>
          <w:numId w:val="2"/>
        </w:numPr>
        <w:spacing w:after="40" w:before="40" w:line="300"/>
      </w:pPr>
      <w:r>
        <w:rPr>
          <w:rFonts w:ascii="Arial" w:cs="Arial" w:eastAsia="Arial" w:hAnsi="Arial"/>
          <w:b/>
          <w:bCs/>
          <w:color w:val="2C2C2C"/>
          <w:sz w:val="22"/>
          <w:szCs w:val="22"/>
        </w:rPr>
        <w:t xml:space="preserve">AI prompt is the tool for scale, not the endpoint: distinguishes this from an 'AI project'</w:t>
      </w:r>
    </w:p>
    <w:p>
      <w:pPr>
        <w:pStyle w:val="ListParagraph"/>
        <w:numPr>
          <w:ilvl w:val="0"/>
          <w:numId w:val="2"/>
        </w:numPr>
        <w:spacing w:after="40" w:before="40" w:line="300"/>
      </w:pPr>
      <w:r>
        <w:rPr>
          <w:rFonts w:ascii="Arial" w:cs="Arial" w:eastAsia="Arial" w:hAnsi="Arial"/>
          <w:b/>
          <w:bCs/>
          <w:color w:val="2C2C2C"/>
          <w:sz w:val="22"/>
          <w:szCs w:val="22"/>
        </w:rPr>
        <w:t xml:space="preserve">Path to funding exists: Phase 1 is self-funded; Phase 2 requires small grant within departmental reach</w:t>
      </w:r>
    </w:p>
    <w:p>
      <w:pPr>
        <w:pStyle w:val="ListParagraph"/>
        <w:numPr>
          <w:ilvl w:val="0"/>
          <w:numId w:val="2"/>
        </w:numPr>
        <w:spacing w:after="40" w:before="40" w:line="300"/>
      </w:pPr>
      <w:r>
        <w:rPr>
          <w:rFonts w:ascii="Arial" w:cs="Arial" w:eastAsia="Arial" w:hAnsi="Arial"/>
          <w:b/>
          <w:bCs/>
          <w:color w:val="2C2C2C"/>
          <w:sz w:val="22"/>
          <w:szCs w:val="22"/>
        </w:rPr>
        <w:t xml:space="preserve">Ask is low: co-mentorship on IRB application, your name as hematology content expert: I do the work remotely post-graduation</w:t>
      </w:r>
    </w:p>
    <w:p>
      <w:pPr>
        <w:spacing w:after="60" w:before="0"/>
      </w:pPr>
      <w:r>
        <w:t xml:space="preserve"/>
      </w:r>
    </w:p>
    <w:p>
      <w:pPr>
        <w:pStyle w:val="Heading2"/>
        <w:spacing w:after="120" w:before="280"/>
      </w:pPr>
      <w:r>
        <w:rPr>
          <w:rFonts w:ascii="Arial" w:cs="Arial" w:eastAsia="Arial" w:hAnsi="Arial"/>
          <w:b/>
          <w:bCs/>
          <w:color w:val="028090"/>
          <w:sz w:val="24"/>
          <w:szCs w:val="24"/>
        </w:rPr>
        <w:t xml:space="preserve">Anticipated Objections &amp; Responses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"CHIP screening isn't guideline-supported" → Correct: that's why the study is needed. Not proposing screening; proposing to characterize whether a care gap exists.</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"Downstream management doesn't change much" → TET2/cardiovascular risk is underutilized; CCUS changes surveillance frequency and MDS workup threshold. That's actionable.</w:t>
      </w:r>
    </w:p>
    <w:p>
      <w:pPr>
        <w:pStyle w:val="ListParagraph"/>
        <w:numPr>
          <w:ilvl w:val="0"/>
          <w:numId w:val="2"/>
        </w:numPr>
        <w:spacing w:after="40" w:before="40" w:line="300"/>
      </w:pPr>
      <w:r>
        <w:rPr>
          <w:rFonts w:ascii="Arial" w:cs="Arial" w:eastAsia="Arial" w:hAnsi="Arial"/>
          <w:b w:val="false"/>
          <w:bCs w:val="false"/>
          <w:color w:val="2C2C2C"/>
          <w:sz w:val="22"/>
          <w:szCs w:val="22"/>
        </w:rPr>
        <w:t xml:space="preserve">"What would you need from me?" → Co-mentorship on IRB application for retrospective chart review. You provide domain expertise; I do analysis.</w:t>
      </w:r>
    </w:p>
    <w:p>
      <w:pPr>
        <w:pBdr>
          <w:bottom w:val="single" w:color="C8DFF0" w:sz="4" w:space="1"/>
        </w:pBdr>
        <w:spacing w:after="240" w:before="240"/>
      </w:pPr>
      <w:r>
        <w:t xml:space="preserve"/>
      </w:r>
    </w:p>
    <w:p>
      <w:pPr>
        <w:pStyle w:val="Heading1"/>
        <w:spacing w:after="160" w:before="400"/>
      </w:pPr>
      <w:r>
        <w:rPr>
          <w:rFonts w:ascii="Arial" w:cs="Arial" w:eastAsia="Arial" w:hAnsi="Arial"/>
          <w:b/>
          <w:bCs/>
          <w:color w:val="0D2137"/>
          <w:sz w:val="30"/>
          <w:szCs w:val="30"/>
        </w:rPr>
        <w:t xml:space="preserve">7.  Key References with URLs</w:t>
      </w:r>
    </w:p>
    <w:p>
      <w:pPr>
        <w:pStyle w:val="Heading2"/>
        <w:spacing w:after="120" w:before="280"/>
      </w:pPr>
      <w:r>
        <w:rPr>
          <w:rFonts w:ascii="Arial" w:cs="Arial" w:eastAsia="Arial" w:hAnsi="Arial"/>
          <w:b/>
          <w:bCs/>
          <w:color w:val="028090"/>
          <w:sz w:val="24"/>
          <w:szCs w:val="24"/>
        </w:rPr>
        <w:t xml:space="preserve">CHIP Landmark Papers</w:t>
      </w:r>
    </w:p>
    <w:p>
      <w:pPr>
        <w:spacing w:after="80" w:before="40"/>
      </w:pPr>
      <w:r>
        <w:rPr>
          <w:rFonts w:ascii="Arial" w:cs="Arial" w:eastAsia="Arial" w:hAnsi="Arial"/>
          <w:b/>
          <w:bCs/>
          <w:color w:val="2C2C2C"/>
          <w:sz w:val="22"/>
          <w:szCs w:val="22"/>
        </w:rPr>
        <w:t xml:space="preserve">Jaiswal et al., NEJM 2014: Age-Related Clonal Hematopoiesis Associated with Adverse Outcomes: </w:t>
      </w:r>
      <w:hyperlink w:history="1" r:id="rIdw_h76ubsk9ars5lekw9nt">
        <w:r>
          <w:rPr>
            <w:rFonts w:ascii="Arial" w:cs="Arial" w:eastAsia="Arial" w:hAnsi="Arial"/>
            <w:color w:val="1C7293"/>
            <w:sz w:val="22"/>
            <w:szCs w:val="22"/>
            <w:u w:val="single"/>
          </w:rPr>
          <w:t xml:space="preserve">https://www.nejm.org/doi/full/10.1056/NEJMoa1408617</w:t>
        </w:r>
      </w:hyperlink>
    </w:p>
    <w:p>
      <w:pPr>
        <w:spacing w:after="60" w:before="0"/>
      </w:pPr>
      <w:r>
        <w:t xml:space="preserve"/>
      </w:r>
    </w:p>
    <w:p>
      <w:pPr>
        <w:spacing w:after="80" w:before="40"/>
      </w:pPr>
      <w:r>
        <w:rPr>
          <w:rFonts w:ascii="Arial" w:cs="Arial" w:eastAsia="Arial" w:hAnsi="Arial"/>
          <w:b/>
          <w:bCs/>
          <w:color w:val="2C2C2C"/>
          <w:sz w:val="22"/>
          <w:szCs w:val="22"/>
        </w:rPr>
        <w:t xml:space="preserve">Genovese et al., NEJM 2014: Clonal Hematopoiesis and Blood-Cancer Risk Inferred from Blood DNA Sequence: </w:t>
      </w:r>
      <w:hyperlink w:history="1" r:id="rIdssxennvnbeo_zahg0ukwy">
        <w:r>
          <w:rPr>
            <w:rFonts w:ascii="Arial" w:cs="Arial" w:eastAsia="Arial" w:hAnsi="Arial"/>
            <w:color w:val="1C7293"/>
            <w:sz w:val="22"/>
            <w:szCs w:val="22"/>
            <w:u w:val="single"/>
          </w:rPr>
          <w:t xml:space="preserve">https://www.nejm.org/doi/full/10.1056/NEJMoa1409405</w:t>
        </w:r>
      </w:hyperlink>
    </w:p>
    <w:p>
      <w:pPr>
        <w:spacing w:after="60" w:before="0"/>
      </w:pPr>
      <w:r>
        <w:t xml:space="preserve"/>
      </w:r>
    </w:p>
    <w:p>
      <w:pPr>
        <w:pStyle w:val="Heading2"/>
        <w:spacing w:after="120" w:before="280"/>
      </w:pPr>
      <w:r>
        <w:rPr>
          <w:rFonts w:ascii="Arial" w:cs="Arial" w:eastAsia="Arial" w:hAnsi="Arial"/>
          <w:b/>
          <w:bCs/>
          <w:color w:val="028090"/>
          <w:sz w:val="24"/>
          <w:szCs w:val="24"/>
        </w:rPr>
        <w:t xml:space="preserve">CANTOS Trial</w:t>
      </w:r>
    </w:p>
    <w:p>
      <w:pPr>
        <w:spacing w:after="80" w:before="40"/>
      </w:pPr>
      <w:r>
        <w:rPr>
          <w:rFonts w:ascii="Arial" w:cs="Arial" w:eastAsia="Arial" w:hAnsi="Arial"/>
          <w:b/>
          <w:bCs/>
          <w:color w:val="2C2C2C"/>
          <w:sz w:val="22"/>
          <w:szCs w:val="22"/>
        </w:rPr>
        <w:t xml:space="preserve">Ridker et al., NEJM 2017: Antiinflammatory Therapy with Canakinumab for Atherosclerotic Disease: </w:t>
      </w:r>
      <w:hyperlink w:history="1" r:id="rIdtmvldboxysneqeplqcsqf">
        <w:r>
          <w:rPr>
            <w:rFonts w:ascii="Arial" w:cs="Arial" w:eastAsia="Arial" w:hAnsi="Arial"/>
            <w:color w:val="1C7293"/>
            <w:sz w:val="22"/>
            <w:szCs w:val="22"/>
            <w:u w:val="single"/>
          </w:rPr>
          <w:t xml:space="preserve">https://www.nejm.org/doi/full/10.1056/NEJMoa1707914</w:t>
        </w:r>
      </w:hyperlink>
    </w:p>
    <w:p>
      <w:pPr>
        <w:spacing w:after="60" w:before="0"/>
      </w:pPr>
      <w:r>
        <w:t xml:space="preserve"/>
      </w:r>
    </w:p>
    <w:p>
      <w:pPr>
        <w:spacing w:after="120" w:before="60" w:line="320"/>
        <w:jc w:val="both"/>
      </w:pPr>
      <w:r>
        <w:rPr>
          <w:rFonts w:ascii="Arial" w:cs="Arial" w:eastAsia="Arial" w:hAnsi="Arial"/>
          <w:color w:val="2C2C2C"/>
          <w:sz w:val="22"/>
          <w:szCs w:val="22"/>
        </w:rPr>
        <w:t xml:space="preserve">Note: Jaiswal and Genovese were published simultaneously in the same NEJM issue (December 25, 2014) (independent groups arriving at the same conclusion through different cohorts, which is why the finding achieved rapid credibility. CANTOS connection to CHIP: TET2-mutant macrophages drive atherosclerosis via NLRP3/IL-1β) the exact pathway canakinumab targets: providing mechanistic rationale for anti-inflammatory therapy in TET2-CHIP carriers.</w:t>
      </w:r>
    </w:p>
    <w:p>
      <w:pPr>
        <w:pBdr>
          <w:bottom w:val="single" w:color="C8DFF0" w:sz="4" w:space="1"/>
        </w:pBdr>
        <w:spacing w:after="240" w:before="240"/>
      </w:pPr>
      <w:r>
        <w:t xml:space="preserve"/>
      </w:r>
    </w:p>
    <w:p>
      <w:pPr>
        <w:pBdr>
          <w:top w:val="single" w:color="C8DFF0" w:sz="4" w:space="4"/>
        </w:pBdr>
        <w:spacing w:after="0" w:before="200"/>
      </w:pPr>
      <w:r>
        <w:rPr>
          <w:rFonts w:ascii="Arial" w:cs="Arial" w:eastAsia="Arial" w:hAnsi="Arial"/>
          <w:color w:val="666666"/>
          <w:sz w:val="18"/>
          <w:szCs w:val="18"/>
        </w:rPr>
        <w:t xml:space="preserve">Generated May 2026  ·  David Alan Comstock, MD  ·  PGY-3 Internal Medicine, Guthrie Lourdes Hospital / SUNY Upstate  ·  Graduating June 23,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Comstock: Session Summary (May 2026)   |   p.</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137"/>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2809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9B23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_h76ubsk9ars5lekw9nt" Type="http://schemas.openxmlformats.org/officeDocument/2006/relationships/hyperlink" Target="https://www.nejm.org/doi/full/10.1056/NEJMoa1408617" TargetMode="External"/><Relationship Id="rIdssxennvnbeo_zahg0ukwy" Type="http://schemas.openxmlformats.org/officeDocument/2006/relationships/hyperlink" Target="https://www.nejm.org/doi/full/10.1056/NEJMoa1409405" TargetMode="External"/><Relationship Id="rIdtmvldboxysneqeplqcsqf" Type="http://schemas.openxmlformats.org/officeDocument/2006/relationships/hyperlink" Target="https://www.nejm.org/doi/full/10.1056/NEJMoa1707914"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2026-05-17T15:41:46.128Z</dcterms:created>
  <dcterms:modified xsi:type="dcterms:W3CDTF">2026-05-17T15:41:46.129Z</dcterms:modified>
</cp:coreProperties>
</file>

<file path=docProps/custom.xml><?xml version="1.0" encoding="utf-8"?>
<Properties xmlns="http://schemas.openxmlformats.org/officeDocument/2006/custom-properties" xmlns:vt="http://schemas.openxmlformats.org/officeDocument/2006/docPropsVTypes"/>
</file>