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pPr>
      <w:r>
        <w:rPr>
          <w:rFonts w:ascii="Georgia" w:cs="Georgia" w:eastAsia="Georgia" w:hAnsi="Georgia"/>
          <w:b/>
          <w:bCs/>
          <w:color w:val="0D2137"/>
          <w:sz w:val="36"/>
          <w:szCs w:val="36"/>
        </w:rPr>
        <w:t xml:space="preserve">Clonal Hematopoiesis of Indeterminate Potential and Cardiovascular Risk: Clinical Implications for the Practicing Internist</w:t>
      </w:r>
    </w:p>
    <w:p>
      <w:pPr>
        <w:spacing w:after="80" w:before="0"/>
      </w:pPr>
      <w:r>
        <w:rPr>
          <w:rFonts w:ascii="Arial" w:cs="Arial" w:eastAsia="Arial" w:hAnsi="Arial"/>
          <w:b/>
          <w:bCs/>
          <w:color w:val="1E1E1E"/>
          <w:sz w:val="23"/>
          <w:szCs w:val="23"/>
        </w:rPr>
        <w:t xml:space="preserve">David Comstock, MD</w:t>
      </w:r>
    </w:p>
    <w:p>
      <w:pPr>
        <w:spacing w:after="80" w:before="0"/>
      </w:pPr>
      <w:r>
        <w:rPr>
          <w:rFonts w:ascii="Arial" w:cs="Arial" w:eastAsia="Arial" w:hAnsi="Arial"/>
          <w:color w:val="666666"/>
          <w:sz w:val="22"/>
          <w:szCs w:val="22"/>
        </w:rPr>
        <w:t xml:space="preserve">Department of Internal Medicine, Guthrie Lourdes Hospital, Binghamton, New York</w:t>
      </w:r>
    </w:p>
    <w:p>
      <w:pPr>
        <w:spacing w:after="320" w:before="0"/>
      </w:pPr>
      <w:r>
        <w:rPr>
          <w:rFonts w:ascii="Arial" w:cs="Arial" w:eastAsia="Arial" w:hAnsi="Arial"/>
          <w:color w:val="666666"/>
          <w:sz w:val="20"/>
          <w:szCs w:val="20"/>
        </w:rPr>
        <w:t xml:space="preserve">Correspondence: David A. Comstock, MD, Department of Internal Medicine, Guthrie Lourdes Hospital, 169 Riverside Drive, Binghamton, NY 13905. Email: david.comstock@guthrie.org</w:t>
      </w:r>
    </w:p>
    <w:p>
      <w:pPr>
        <w:pBdr>
          <w:top w:val="single" w:color="C8DFF0" w:sz="4" w:space="4"/>
          <w:bottom w:val="single" w:color="C8DFF0" w:sz="4" w:space="4"/>
          <w:left w:val="single" w:color="C8DFF0" w:sz="4" w:space="8"/>
          <w:right w:val="single" w:color="C8DFF0" w:sz="4" w:space="8"/>
        </w:pBdr>
        <w:spacing w:after="80" w:before="60"/>
        <w:ind w:left="180" w:right="180"/>
      </w:pPr>
      <w:r>
        <w:rPr>
          <w:rFonts w:ascii="Arial" w:cs="Arial" w:eastAsia="Arial" w:hAnsi="Arial"/>
          <w:b/>
          <w:bCs/>
          <w:color w:val="0D2137"/>
          <w:sz w:val="20"/>
          <w:szCs w:val="20"/>
        </w:rPr>
        <w:t xml:space="preserve">KEY POINTS</w:t>
      </w:r>
    </w:p>
    <w:p>
      <w:pPr>
        <w:pBdr>
          <w:bottom w:val="single" w:color="C8DFF0" w:sz="4" w:space="4"/>
          <w:left w:val="single" w:color="C8DFF0" w:sz="4" w:space="8"/>
          <w:right w:val="single" w:color="C8DFF0" w:sz="4" w:space="8"/>
        </w:pBdr>
        <w:spacing w:after="40" w:before="0"/>
        <w:ind w:left="360" w:right="180"/>
      </w:pPr>
      <w:r>
        <w:rPr>
          <w:rFonts w:ascii="Arial" w:cs="Arial" w:eastAsia="Arial" w:hAnsi="Arial"/>
          <w:color w:val="1E1E1E"/>
          <w:sz w:val="21"/>
          <w:szCs w:val="21"/>
        </w:rPr>
        <w:t xml:space="preserve">•  CHIP affects more than 10% of adults over 70 and confers a 1.5- to 2-fold increase in cardiovascular disease risk independent of traditional risk factors: a clinical burden that will be encountered primarily by internists rather than hematologists.</w:t>
      </w:r>
    </w:p>
    <w:p>
      <w:pPr>
        <w:pBdr>
          <w:bottom w:val="single" w:color="C8DFF0" w:sz="4" w:space="4"/>
          <w:left w:val="single" w:color="C8DFF0" w:sz="4" w:space="8"/>
          <w:right w:val="single" w:color="C8DFF0" w:sz="4" w:space="8"/>
        </w:pBdr>
        <w:spacing w:after="40" w:before="0"/>
        <w:ind w:left="360" w:right="180"/>
      </w:pPr>
      <w:r>
        <w:rPr>
          <w:rFonts w:ascii="Arial" w:cs="Arial" w:eastAsia="Arial" w:hAnsi="Arial"/>
          <w:color w:val="1E1E1E"/>
          <w:sz w:val="21"/>
          <w:szCs w:val="21"/>
        </w:rPr>
        <w:t xml:space="preserve">•  TET2 mutations drive cardiovascular risk predominantly through NLRP3 inflammasome activation and IL-1β hypersecretion in macrophages, mechanistically linking CHIP to the same pathway targeted by canakinumab in the CANTOS trial.</w:t>
      </w:r>
    </w:p>
    <w:p>
      <w:pPr>
        <w:pBdr>
          <w:bottom w:val="single" w:color="C8DFF0" w:sz="4" w:space="4"/>
          <w:left w:val="single" w:color="C8DFF0" w:sz="4" w:space="8"/>
          <w:right w:val="single" w:color="C8DFF0" w:sz="4" w:space="8"/>
        </w:pBdr>
        <w:spacing w:after="40" w:before="0"/>
        <w:ind w:left="360" w:right="180"/>
      </w:pPr>
      <w:r>
        <w:rPr>
          <w:rFonts w:ascii="Arial" w:cs="Arial" w:eastAsia="Arial" w:hAnsi="Arial"/>
          <w:color w:val="1E1E1E"/>
          <w:sz w:val="21"/>
          <w:szCs w:val="21"/>
        </w:rPr>
        <w:t xml:space="preserve">•  TET2-CHIP is associated with incident heart failure with preserved ejection fraction (HFpEF), independent of DNMT3A-CHIP: a gene-specific distinction with emerging therapeutic implications.</w:t>
      </w:r>
    </w:p>
    <w:p>
      <w:pPr>
        <w:pBdr>
          <w:bottom w:val="single" w:color="C8DFF0" w:sz="4" w:space="4"/>
          <w:left w:val="single" w:color="C8DFF0" w:sz="4" w:space="8"/>
          <w:right w:val="single" w:color="C8DFF0" w:sz="4" w:space="8"/>
        </w:pBdr>
        <w:spacing w:after="40" w:before="0"/>
        <w:ind w:left="360" w:right="180"/>
      </w:pPr>
      <w:r>
        <w:rPr>
          <w:rFonts w:ascii="Arial" w:cs="Arial" w:eastAsia="Arial" w:hAnsi="Arial"/>
          <w:color w:val="1E1E1E"/>
          <w:sz w:val="21"/>
          <w:szCs w:val="21"/>
        </w:rPr>
        <w:t xml:space="preserve">•  No society guidelines currently direct CHIP management by internists; this review proposes a practical risk-stratified framework emphasizing cardiovascular risk factor optimization, VAF- and gene-guided hematology referral, and selective anti-inflammatory strategy.</w:t>
      </w:r>
    </w:p>
    <w:p>
      <w:pPr>
        <w:pBdr>
          <w:bottom w:val="single" w:color="C8DFF0" w:sz="4" w:space="4"/>
          <w:left w:val="single" w:color="C8DFF0" w:sz="4" w:space="8"/>
          <w:right w:val="single" w:color="C8DFF0" w:sz="4" w:space="8"/>
        </w:pBdr>
        <w:spacing w:after="320" w:before="0"/>
        <w:ind w:left="360" w:right="180"/>
      </w:pPr>
      <w:r>
        <w:rPr>
          <w:rFonts w:ascii="Arial" w:cs="Arial" w:eastAsia="Arial" w:hAnsi="Arial"/>
          <w:color w:val="1E1E1E"/>
          <w:sz w:val="21"/>
          <w:szCs w:val="21"/>
        </w:rPr>
        <w:t xml:space="preserve">•  The absence of established CHIP screening guidelines represents both a care gap and a research opportunity, particularly in high-prevalence populations such as elderly rural agricultural workers.</w:t>
      </w:r>
    </w:p>
    <w:p>
      <w:pPr>
        <w:spacing w:after="80" w:before="0"/>
      </w:pPr>
      <w:r>
        <w:rPr>
          <w:rFonts w:ascii="Arial" w:cs="Arial" w:eastAsia="Arial" w:hAnsi="Arial"/>
          <w:b/>
          <w:bCs/>
          <w:color w:val="0D2137"/>
          <w:sz w:val="22"/>
          <w:szCs w:val="22"/>
        </w:rPr>
        <w:t xml:space="preserve">ABSTRACT</w:t>
      </w:r>
    </w:p>
    <w:p>
      <w:pPr>
        <w:spacing w:after="60" w:before="120"/>
        <w:ind w:left="720"/>
      </w:pPr>
      <w:r>
        <w:rPr>
          <w:rFonts w:ascii="Arial" w:cs="Arial" w:eastAsia="Arial" w:hAnsi="Arial"/>
          <w:b/>
          <w:bCs/>
          <w:color w:val="0D2137"/>
          <w:sz w:val="21"/>
          <w:szCs w:val="21"/>
        </w:rPr>
        <w:t xml:space="preserve">Background:</w:t>
      </w:r>
    </w:p>
    <w:p>
      <w:pPr>
        <w:spacing w:after="140" w:before="0" w:line="305"/>
        <w:ind w:left="720" w:right="720"/>
        <w:jc w:val="both"/>
      </w:pPr>
      <w:r>
        <w:rPr>
          <w:rFonts w:ascii="Arial" w:cs="Arial" w:eastAsia="Arial" w:hAnsi="Arial"/>
          <w:color w:val="3D3D3D"/>
          <w:sz w:val="21"/>
          <w:szCs w:val="21"/>
        </w:rPr>
        <w:t xml:space="preserve">Clonal hematopoiesis of indeterminate potential (CHIP) (defined by the presence of somatic driver gene mutations in peripheral blood at a variant allele frequency (VAF) of 2% or greater in the absence of overt hematologic malignancy) affects more than 10% of adults over age 70. Historically framed as a pre-leukemic condition, CHIP is now recognized as an independent risk factor for atherosclerotic cardiovascular disease, heart failure, atrial fibrillation, and all-cause mortality, with a magnitude of cardiovascular risk that rivals established traditional risk factors. Despite this, no clinical practice guidelines direct its management in the internal medicine setting.</w:t>
      </w:r>
    </w:p>
    <w:p>
      <w:pPr>
        <w:spacing w:after="60" w:before="120"/>
        <w:ind w:left="720"/>
      </w:pPr>
      <w:r>
        <w:rPr>
          <w:rFonts w:ascii="Arial" w:cs="Arial" w:eastAsia="Arial" w:hAnsi="Arial"/>
          <w:b/>
          <w:bCs/>
          <w:color w:val="0D2137"/>
          <w:sz w:val="21"/>
          <w:szCs w:val="21"/>
        </w:rPr>
        <w:t xml:space="preserve">Purpose:</w:t>
      </w:r>
    </w:p>
    <w:p>
      <w:pPr>
        <w:spacing w:after="140" w:before="0" w:line="305"/>
        <w:ind w:left="720" w:right="720"/>
        <w:jc w:val="both"/>
      </w:pPr>
      <w:r>
        <w:rPr>
          <w:rFonts w:ascii="Arial" w:cs="Arial" w:eastAsia="Arial" w:hAnsi="Arial"/>
          <w:color w:val="3D3D3D"/>
          <w:sz w:val="21"/>
          <w:szCs w:val="21"/>
        </w:rPr>
        <w:t xml:space="preserve">This review synthesizes the epidemiology, gene-specific mechanisms, and clinical cardiovascular evidence for CHIP, and proposes a practical risk-stratified management framework for the internist. Particular emphasis is placed on gene-specific cardiovascular risk (distinguishing TET2 from DNMT3A CHIP) emerging anti-inflammatory therapeutic strategies, and the three principal clinical scenarios through which CHIP is now encountered in internal medicine practice.</w:t>
      </w:r>
    </w:p>
    <w:p>
      <w:pPr>
        <w:spacing w:after="60" w:before="120"/>
        <w:ind w:left="720"/>
      </w:pPr>
      <w:r>
        <w:rPr>
          <w:rFonts w:ascii="Arial" w:cs="Arial" w:eastAsia="Arial" w:hAnsi="Arial"/>
          <w:b/>
          <w:bCs/>
          <w:color w:val="0D2137"/>
          <w:sz w:val="21"/>
          <w:szCs w:val="21"/>
        </w:rPr>
        <w:t xml:space="preserve">Conclusions:</w:t>
      </w:r>
    </w:p>
    <w:p>
      <w:pPr>
        <w:spacing w:after="140" w:before="0" w:line="305"/>
        <w:ind w:left="720" w:right="720"/>
        <w:jc w:val="both"/>
      </w:pPr>
      <w:r>
        <w:rPr>
          <w:rFonts w:ascii="Arial" w:cs="Arial" w:eastAsia="Arial" w:hAnsi="Arial"/>
          <w:color w:val="3D3D3D"/>
          <w:sz w:val="21"/>
          <w:szCs w:val="21"/>
        </w:rPr>
        <w:t xml:space="preserve">CHIP represents a novel, modifiable cardiovascular risk factor whose primary clinical management will fall to internists, not hematologists. An evidence-based approach to CHIP cardiovascular risk management (grounded in VAF, driver gene identity, and systemic inflammatory burden) is both feasible and necessary. Targeted anti-inflammatory therapy guided by CHIP mutation status represents a promising and mechanistically coherent frontier for precision cardiovascular prevention.</w:t>
      </w:r>
    </w:p>
    <w:p>
      <w:pPr>
        <w:spacing w:after="60" w:before="0"/>
      </w:pPr>
      <w:r>
        <w:t xml:space="preserve"/>
      </w:r>
    </w:p>
    <w:p>
      <w:pPr>
        <w:pBdr>
          <w:bottom w:val="single" w:color="C8DFF0" w:sz="4" w:space="1"/>
        </w:pBdr>
        <w:spacing w:after="200" w:before="200"/>
      </w:pPr>
      <w:r>
        <w:t xml:space="preserve"/>
      </w:r>
    </w:p>
    <w:p>
      <w:r>
        <w:br w:type="page"/>
      </w:r>
    </w:p>
    <w:p>
      <w:pPr>
        <w:pStyle w:val="Heading1"/>
        <w:spacing w:after="140" w:before="360"/>
      </w:pPr>
      <w:r>
        <w:rPr>
          <w:rFonts w:ascii="Arial" w:cs="Arial" w:eastAsia="Arial" w:hAnsi="Arial"/>
          <w:b/>
          <w:bCs/>
          <w:color w:val="0D2137"/>
          <w:sz w:val="26"/>
          <w:szCs w:val="26"/>
        </w:rPr>
        <w:t xml:space="preserve">Introduction</w:t>
      </w:r>
    </w:p>
    <w:p>
      <w:pPr>
        <w:spacing w:after="160" w:before="0" w:line="320"/>
        <w:jc w:val="both"/>
      </w:pPr>
      <w:r>
        <w:rPr>
          <w:rFonts w:ascii="Arial" w:cs="Arial" w:eastAsia="Arial" w:hAnsi="Arial"/>
          <w:color w:val="1E1E1E"/>
          <w:sz w:val="22"/>
          <w:szCs w:val="22"/>
        </w:rPr>
        <w:t xml:space="preserve">The hematologist and the internist inhabit different zones of clinical attention, but clonal hematopoiesis of indeterminate potential (CHIP) does not respect that boundary. CHIP is defined by the expansion of hematopoietic stem cell (HSC) clones harboring somatic mutations in myeloid-associated driver genes (most commonly DNMT3A (DNA methyltransferase 3 alpha), TET2 (tet methylcytosine dioxygenase 2), and ASXL1 (additional sex combs like 1)) at a variant allele frequency (VAF) of 2% or greater in peripheral blood, in the absence of cytopenias or morphological dysplasia sufficient to meet criteria for a recognized hematologic neoplasm.¹ It is common (detectable in approximately 10–20% of adults over 70 and more than half of those over 90¹⁻²) and it is consequential in ways that extend far beyond the hematology clinic.</w:t>
      </w:r>
    </w:p>
    <w:p>
      <w:pPr>
        <w:spacing w:after="160" w:before="0" w:line="320"/>
        <w:jc w:val="both"/>
      </w:pPr>
      <w:r>
        <w:rPr>
          <w:rFonts w:ascii="Arial" w:cs="Arial" w:eastAsia="Arial" w:hAnsi="Arial"/>
          <w:color w:val="1E1E1E"/>
          <w:sz w:val="22"/>
          <w:szCs w:val="22"/>
        </w:rPr>
        <w:t xml:space="preserve">When the landmark simultaneous publications of Jaiswal and Genovese and colleagues appeared in the New England Journal of Medicine in December 2014, the field anticipated that the primary clinical story of CHIP would be hematologic malignancy. Both papers confirmed an approximately 10-fold increase in the risk of developing a blood cancer in CHIP carriers.¹⁻² What emerged more prominently, however, was the cardiovascular signal: age-related clonal hematopoiesis was associated with a nearly doubling of all-cause mortality in the Jaiswal cohort, with the excess mortality attributed predominantly to cardiovascular events rather than leukemia.¹ This observation (that mutations traditionally associated with leukemia predisposition were killing patients more often through myocardial infarction and stroke than through blood cancer) reframed CHIP as a cardiovascular condition.</w:t>
      </w:r>
    </w:p>
    <w:p>
      <w:pPr>
        <w:spacing w:after="160" w:before="0" w:line="320"/>
        <w:jc w:val="both"/>
      </w:pPr>
      <w:r>
        <w:rPr>
          <w:rFonts w:ascii="Arial" w:cs="Arial" w:eastAsia="Arial" w:hAnsi="Arial"/>
          <w:color w:val="1E1E1E"/>
          <w:sz w:val="22"/>
          <w:szCs w:val="22"/>
        </w:rPr>
        <w:t xml:space="preserve">In the decade since, mechanistic and epidemiological evidence has converged to establish CHIP as an independent, potentially modifiable cardiovascular risk factor with gene-specific mechanisms, a dose-response relationship with clone size, and a plausible therapeutic pathway through anti-inflammatory strategies. Despite this, the internist encounters CHIP without guidance: no major society (not the American Heart Association, the American College of Cardiology, the American Society of Hematology, nor the American College of Physicians) has issued clinical practice guidelines directing CHIP management in the internal medicine setting.</w:t>
      </w:r>
    </w:p>
    <w:p>
      <w:pPr>
        <w:spacing w:after="160" w:before="0" w:line="320"/>
        <w:jc w:val="both"/>
      </w:pPr>
      <w:r>
        <w:rPr>
          <w:rFonts w:ascii="Arial" w:cs="Arial" w:eastAsia="Arial" w:hAnsi="Arial"/>
          <w:color w:val="1E1E1E"/>
          <w:sz w:val="22"/>
          <w:szCs w:val="22"/>
        </w:rPr>
        <w:t xml:space="preserve">This review addresses that gap. It is written for the practicing internist, hospitalist, and general practitioner who will increasingly encounter CHIP through tumor next-generation sequencing (NGS) reports, commercial genetic panels, and the clinical workup of unexplained cytopenias: and who must navigate its cardiovascular implications with existing, imperfect evidence. We summarize the clinical definitions and spectrum of CHIP, the gene-specific mechanisms of cardiovascular risk, the clinical outcome data across cardiac phenotypes, the three principal detection scenarios in internal medicine practice, and a proposed risk-stratified management framework. We conclude by identifying the most important unanswered questions and research opportunities in this rapidly evolving field.</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Definitions and Clinical Spectrum</w:t>
      </w:r>
    </w:p>
    <w:p>
      <w:pPr>
        <w:spacing w:after="160" w:before="0" w:line="320"/>
        <w:jc w:val="both"/>
      </w:pPr>
      <w:r>
        <w:rPr>
          <w:rFonts w:ascii="Arial" w:cs="Arial" w:eastAsia="Arial" w:hAnsi="Arial"/>
          <w:color w:val="1E1E1E"/>
          <w:sz w:val="22"/>
          <w:szCs w:val="22"/>
        </w:rPr>
        <w:t xml:space="preserve">Precise terminology is essential in this field, as the clinical implications differ substantially across the entities within the broader spectrum of clonal hematopoiesis.</w:t>
      </w:r>
    </w:p>
    <w:p>
      <w:pPr>
        <w:pStyle w:val="Heading2"/>
        <w:spacing w:after="100" w:before="260"/>
      </w:pPr>
      <w:r>
        <w:rPr>
          <w:rFonts w:ascii="Arial" w:cs="Arial" w:eastAsia="Arial" w:hAnsi="Arial"/>
          <w:b/>
          <w:bCs/>
          <w:color w:val="028090"/>
          <w:sz w:val="23"/>
          <w:szCs w:val="23"/>
        </w:rPr>
        <w:t xml:space="preserve">Clonal Hematopoiesis of Indeterminate Potential (CHIP)</w:t>
      </w:r>
    </w:p>
    <w:p>
      <w:pPr>
        <w:spacing w:after="160" w:before="0" w:line="320"/>
        <w:jc w:val="both"/>
      </w:pPr>
      <w:r>
        <w:rPr>
          <w:rFonts w:ascii="Arial" w:cs="Arial" w:eastAsia="Arial" w:hAnsi="Arial"/>
          <w:color w:val="1E1E1E"/>
          <w:sz w:val="22"/>
          <w:szCs w:val="22"/>
        </w:rPr>
        <w:t xml:space="preserve">CHIP requires three criteria: (1) a somatic mutation in a gene recurrently mutated in hematologic malignancies, present at VAF ≥2% in peripheral blood DNA; (2) absence of cytopenias meeting World Health Organization (WHO) criteria for a myeloid neoplasm; and (3) absence of morphologic dysplasia sufficient for a myelodysplastic syndrome (MDS) diagnosis.³ The VAF ≥2% threshold reflects the practical lower limit of reliable detection by clinical-grade next-generation sequencing, not a biologically meaningful boundary. Mutations present at VAF &lt;2% are common and biologically real but excluded from the CHIP definition by convention.</w:t>
      </w:r>
    </w:p>
    <w:p>
      <w:pPr>
        <w:pStyle w:val="Heading2"/>
        <w:spacing w:after="100" w:before="260"/>
      </w:pPr>
      <w:r>
        <w:rPr>
          <w:rFonts w:ascii="Arial" w:cs="Arial" w:eastAsia="Arial" w:hAnsi="Arial"/>
          <w:b/>
          <w:bCs/>
          <w:color w:val="028090"/>
          <w:sz w:val="23"/>
          <w:szCs w:val="23"/>
        </w:rPr>
        <w:t xml:space="preserve">Clonal Cytopenia of Undetermined Significance (CCUS)</w:t>
      </w:r>
    </w:p>
    <w:p>
      <w:pPr>
        <w:spacing w:after="160" w:before="0" w:line="320"/>
        <w:jc w:val="both"/>
      </w:pPr>
      <w:r>
        <w:rPr>
          <w:rFonts w:ascii="Arial" w:cs="Arial" w:eastAsia="Arial" w:hAnsi="Arial"/>
          <w:color w:val="1E1E1E"/>
          <w:sz w:val="22"/>
          <w:szCs w:val="22"/>
        </w:rPr>
        <w:t xml:space="preserve">CCUS is defined by the same clonal mutation criteria as CHIP plus at least one cytopenia (hemoglobin &lt;13 g/dL in men or &lt;12 g/dL in women; platelet count &lt;150×10⁹/L; or absolute neutrophil count &lt;1.8×10⁹/L) that cannot be explained by another etiology. CCUS carries a substantially higher risk of progression to overt hematologic malignancy than CHIP (approximately 10–15% over 5 years compared with 0.5–1% per year for CHIP) and warrants expedited hematology referral.³⁻⁴</w:t>
      </w:r>
    </w:p>
    <w:p>
      <w:pPr>
        <w:pStyle w:val="Heading2"/>
        <w:spacing w:after="100" w:before="260"/>
      </w:pPr>
      <w:r>
        <w:rPr>
          <w:rFonts w:ascii="Arial" w:cs="Arial" w:eastAsia="Arial" w:hAnsi="Arial"/>
          <w:b/>
          <w:bCs/>
          <w:color w:val="028090"/>
          <w:sz w:val="23"/>
          <w:szCs w:val="23"/>
        </w:rPr>
        <w:t xml:space="preserve">Idiopathic Cytopenia of Undetermined Significance (ICUS)</w:t>
      </w:r>
    </w:p>
    <w:p>
      <w:pPr>
        <w:spacing w:after="160" w:before="0" w:line="320"/>
        <w:jc w:val="both"/>
      </w:pPr>
      <w:r>
        <w:rPr>
          <w:rFonts w:ascii="Arial" w:cs="Arial" w:eastAsia="Arial" w:hAnsi="Arial"/>
          <w:color w:val="1E1E1E"/>
          <w:sz w:val="22"/>
          <w:szCs w:val="22"/>
        </w:rPr>
        <w:t xml:space="preserve">ICUS describes an unexplained cytopenia meeting the same thresholds as CCUS but without a detectable clonal mutation on standard clinical NGS panels. It may reflect clonal hematopoiesis below the VAF detection threshold, non-clonal etiologies, or germline variants; its malignancy risk is lower than CCUS but higher than the general population.³</w:t>
      </w:r>
    </w:p>
    <w:p>
      <w:pPr>
        <w:pBdr>
          <w:left w:val="thick" w:color="028090" w:sz="24" w:space="8"/>
        </w:pBdr>
        <w:spacing w:after="140" w:before="140" w:line="300"/>
        <w:ind w:left="720" w:right="360"/>
      </w:pPr>
      <w:r>
        <w:rPr>
          <w:rFonts w:ascii="Arial" w:cs="Arial" w:eastAsia="Arial" w:hAnsi="Arial"/>
          <w:b/>
          <w:bCs/>
          <w:color w:val="028090"/>
          <w:sz w:val="22"/>
          <w:szCs w:val="22"/>
        </w:rPr>
        <w:t xml:space="preserve">Clinical note:  </w:t>
      </w:r>
      <w:r>
        <w:rPr>
          <w:rFonts w:ascii="Arial" w:cs="Arial" w:eastAsia="Arial" w:hAnsi="Arial"/>
          <w:color w:val="3D3D3D"/>
          <w:sz w:val="22"/>
          <w:szCs w:val="22"/>
        </w:rPr>
        <w:t xml:space="preserve">The distinction between CHIP and CCUS is not academic: it directs the urgency of hematology referral. Any internist encountering a CHIP report should simultaneously assess the complete blood count (CBC). If cytopenias coexist and lack a clear alternative explanation, the diagnosis is CCUS, not CHIP, and the malignancy risk is an order of magnitude higher.</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Epidemiology and Driver Gene Distribution</w:t>
      </w:r>
    </w:p>
    <w:p>
      <w:pPr>
        <w:spacing w:after="160" w:before="0" w:line="320"/>
        <w:jc w:val="both"/>
      </w:pPr>
      <w:r>
        <w:rPr>
          <w:rFonts w:ascii="Arial" w:cs="Arial" w:eastAsia="Arial" w:hAnsi="Arial"/>
          <w:color w:val="1E1E1E"/>
          <w:sz w:val="22"/>
          <w:szCs w:val="22"/>
        </w:rPr>
        <w:t xml:space="preserve">CHIP prevalence increases steeply with chronological age: detectable in approximately 1–2% of individuals under 50, 5–10% of those aged 60–69, 10–20% of those aged 70–79, and more than 50% of individuals over 90.¹⁻² It is more prevalent in males than females and shows ethnic variation, with lower prevalence in individuals of Hispanic and East Asian ancestry compared with European ancestry in large biobank studies.¹</w:t>
      </w:r>
    </w:p>
    <w:p>
      <w:pPr>
        <w:spacing w:after="160" w:before="0" w:line="320"/>
        <w:jc w:val="both"/>
      </w:pPr>
      <w:r>
        <w:rPr>
          <w:rFonts w:ascii="Arial" w:cs="Arial" w:eastAsia="Arial" w:hAnsi="Arial"/>
          <w:color w:val="1E1E1E"/>
          <w:sz w:val="22"/>
          <w:szCs w:val="22"/>
        </w:rPr>
        <w:t xml:space="preserve">Driver gene distribution follows a consistent pattern across cohorts. DNMT3A mutations are the most prevalent, accounting for approximately 40–50% of CHIP cases. TET2 mutations constitute approximately 20–25%, followed by ASXL1 at 5–10%, JAK2 (Janus kinase 2) at 2–5%, and a long tail of rarer mutations in TP53 (tumor protein p53), splicing factors (SF3B1, SRSF2, U2AF1), IDH1/2 (isocitrate dehydrogenase 1 and 2), CBL, and others.⁵ The identity of the driver gene is not interchangeable: DNMT3A, TET2, ASXL1, and JAK2 mutations carry distinct mechanistic profiles and consequently distinct cardiovascular risk phenotypes.</w:t>
      </w:r>
    </w:p>
    <w:p>
      <w:pPr>
        <w:spacing w:after="160" w:before="0" w:line="320"/>
        <w:jc w:val="both"/>
      </w:pPr>
      <w:r>
        <w:rPr>
          <w:rFonts w:ascii="Arial" w:cs="Arial" w:eastAsia="Arial" w:hAnsi="Arial"/>
          <w:color w:val="1E1E1E"/>
          <w:sz w:val="22"/>
          <w:szCs w:val="22"/>
        </w:rPr>
        <w:t xml:space="preserve">Age is the dominant risk factor for developing CHIP, reflecting the cumulative probability of somatic mutation acquisition and clonal selection over decades of HSC self-renewal. Emerging evidence implicates modifiable exposures that may accelerate this process: smoking, obesity, type 2 diabetes, prior cytotoxic therapy, and potentially agricultural chemical exposures including organophosphates and herbicides, which are known mutagens and have been associated with hematologic malignancy risk in occupationally exposed populations.⁶ The degree to which these exposures specifically promote CHIP clonal expansion, rather than malignant transformation of established clones, remains an active area of investigation.</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Gene-Specific Mechanisms of Cardiovascular Risk</w:t>
      </w:r>
    </w:p>
    <w:p>
      <w:pPr>
        <w:spacing w:after="160" w:before="0" w:line="320"/>
        <w:jc w:val="both"/>
      </w:pPr>
      <w:r>
        <w:rPr>
          <w:rFonts w:ascii="Arial" w:cs="Arial" w:eastAsia="Arial" w:hAnsi="Arial"/>
          <w:color w:val="1E1E1E"/>
          <w:sz w:val="22"/>
          <w:szCs w:val="22"/>
        </w:rPr>
        <w:t xml:space="preserve">The cardiovascular risk associated with CHIP is not mechanistically uniform across driver genes. Understanding gene-specific biology is essential for rational clinical management and for interpreting the emerging anti-inflammatory therapeutic data.</w:t>
      </w:r>
    </w:p>
    <w:p>
      <w:pPr>
        <w:pStyle w:val="Heading2"/>
        <w:spacing w:after="100" w:before="260"/>
      </w:pPr>
      <w:r>
        <w:rPr>
          <w:rFonts w:ascii="Arial" w:cs="Arial" w:eastAsia="Arial" w:hAnsi="Arial"/>
          <w:b/>
          <w:bCs/>
          <w:color w:val="028090"/>
          <w:sz w:val="23"/>
          <w:szCs w:val="23"/>
        </w:rPr>
        <w:t xml:space="preserve">TET2: The Inflammation-Dominant Phenotype</w:t>
      </w:r>
    </w:p>
    <w:p>
      <w:pPr>
        <w:spacing w:after="160" w:before="0" w:line="320"/>
        <w:jc w:val="both"/>
      </w:pPr>
      <w:r>
        <w:rPr>
          <w:rFonts w:ascii="Arial" w:cs="Arial" w:eastAsia="Arial" w:hAnsi="Arial"/>
          <w:color w:val="1E1E1E"/>
          <w:sz w:val="22"/>
          <w:szCs w:val="22"/>
        </w:rPr>
        <w:t xml:space="preserve">TET2 encodes a dioxygenase that catalyzes the oxidation of 5-methylcytosine to 5-hydroxymethylcytosine, a key step in active DNA demethylation. Loss-of-function TET2 mutations lead to hypermethylation at gene regulatory regions, altering the transcriptional programs of HSC-derived myeloid cells: particularly macrophages and monocytes. Fuster and colleagues demonstrated in 2017 that TET2-deficient macrophages in atherosclerosis-prone low-density lipoprotein receptor-deficient (LDLR-deficient) mice exhibit markedly amplified NLR family pyrin domain containing 3 (NLRP3) inflammasome activation, leading to excessive interleukin-1 beta (IL-1β) and interleukin-6 (IL-6) secretion.⁷ This heightened inflammatory output accelerates atherosclerotic plaque formation and increases plaque instability, providing direct experimental evidence of causality rather than mere association.</w:t>
      </w:r>
    </w:p>
    <w:p>
      <w:pPr>
        <w:spacing w:after="160" w:before="0" w:line="320"/>
        <w:jc w:val="both"/>
      </w:pPr>
      <w:r>
        <w:rPr>
          <w:rFonts w:ascii="Arial" w:cs="Arial" w:eastAsia="Arial" w:hAnsi="Arial"/>
          <w:color w:val="1E1E1E"/>
          <w:sz w:val="22"/>
          <w:szCs w:val="22"/>
        </w:rPr>
        <w:t xml:space="preserve">The NLRP3 inflammasome connection is of substantial clinical importance: this is precisely the pathway activated by cholesterol crystals and oxidized low-density lipoprotein (LDL) within atherosclerotic plaques: and it is upstream of the IL-1β signaling targeted by canakinumab in the Canakinumab Anti-inflammatory Thrombosis Outcomes Study (CANTOS).⁸ The implication is that TET2-CHIP carriers may be particularly sensitized to inflammasome-driven cardiovascular risk, and conversely, may be the subgroup most likely to benefit from IL-1β pathway inhibition. Heyde and colleagues demonstrated an additional reciprocal mechanism: myocardial infarction (MI) itself promotes clonal expansion of TET2-mutant HSCs through emergency hematopoiesis signals, creating a feedback loop in which cardiovascular disease and CHIP mutually amplify each other.⁹</w:t>
      </w:r>
    </w:p>
    <w:p>
      <w:pPr>
        <w:spacing w:after="160" w:before="0" w:line="320"/>
        <w:jc w:val="both"/>
      </w:pPr>
      <w:r>
        <w:rPr>
          <w:rFonts w:ascii="Arial" w:cs="Arial" w:eastAsia="Arial" w:hAnsi="Arial"/>
          <w:color w:val="1E1E1E"/>
          <w:sz w:val="22"/>
          <w:szCs w:val="22"/>
        </w:rPr>
        <w:t xml:space="preserve">TET2-CHIP is also specifically associated with incident heart failure with preserved ejection fraction. Schuermans and colleagues (JAMA Network Open, 2024) evaluated 8,090 participants from the Jackson Heart Study and Women's Health Initiative and found that TET2-CHIP, but not DNMT3A-CHIP, was independently associated with incident HFpEF: a finding with important mechanistic and therapeutic implications.¹⁰ Cardiac macrophage infiltration by TET2-deficient myeloid-derived cells promotes myocardial fibrosis through paracrine IL-1β and IL-6 signaling, creating the substrate for diastolic dysfunction and the HFpEF phenotype.</w:t>
      </w:r>
    </w:p>
    <w:p>
      <w:pPr>
        <w:pStyle w:val="Heading2"/>
        <w:spacing w:after="100" w:before="260"/>
      </w:pPr>
      <w:r>
        <w:rPr>
          <w:rFonts w:ascii="Arial" w:cs="Arial" w:eastAsia="Arial" w:hAnsi="Arial"/>
          <w:b/>
          <w:bCs/>
          <w:color w:val="028090"/>
          <w:sz w:val="23"/>
          <w:szCs w:val="23"/>
        </w:rPr>
        <w:t xml:space="preserve">DNMT3A: Prevalent but Less Atherogenic</w:t>
      </w:r>
    </w:p>
    <w:p>
      <w:pPr>
        <w:spacing w:after="160" w:before="0" w:line="320"/>
        <w:jc w:val="both"/>
      </w:pPr>
      <w:r>
        <w:rPr>
          <w:rFonts w:ascii="Arial" w:cs="Arial" w:eastAsia="Arial" w:hAnsi="Arial"/>
          <w:color w:val="1E1E1E"/>
          <w:sz w:val="22"/>
          <w:szCs w:val="22"/>
        </w:rPr>
        <w:t xml:space="preserve">DNMT3A mutations, though the most common form of CHIP, are associated with a less pronounced and mechanistically distinct cardiovascular risk profile than TET2 mutations. DNMT3A encodes a de novo DNA methyltransferase; its loss leads to hypomethylation at specific loci and altered myeloid cell differentiation. DNMT3A-deficient macrophages show altered inflammatory gene expression but do not exhibit the same degree of NLRP3 inflammasome hyperactivation seen with TET2 loss.¹¹ The net cardiovascular risk associated with DNMT3A-CHIP is real (Jaiswal and colleagues (NEJM 2017) identified DNMT3A among the driver genes associated with increased coronary artery disease risk) but the effect size is more modest and the mechanistic pathway less clearly defined than for TET2.¹² This distinction matters clinically: DNMT3A-CHIP may not be as amenable to anti-inflammatory therapeutic targeting, and the TET2-CHIP identification in a patient with elevated hsCRP carries a different therapeutic implication than DNMT3A alone.</w:t>
      </w:r>
    </w:p>
    <w:p>
      <w:pPr>
        <w:pStyle w:val="Heading2"/>
        <w:spacing w:after="100" w:before="260"/>
      </w:pPr>
      <w:r>
        <w:rPr>
          <w:rFonts w:ascii="Arial" w:cs="Arial" w:eastAsia="Arial" w:hAnsi="Arial"/>
          <w:b/>
          <w:bCs/>
          <w:color w:val="028090"/>
          <w:sz w:val="23"/>
          <w:szCs w:val="23"/>
        </w:rPr>
        <w:t xml:space="preserve">ASXL1: Malignancy-Dominant Risk</w:t>
      </w:r>
    </w:p>
    <w:p>
      <w:pPr>
        <w:spacing w:after="160" w:before="0" w:line="320"/>
        <w:jc w:val="both"/>
      </w:pPr>
      <w:r>
        <w:rPr>
          <w:rFonts w:ascii="Arial" w:cs="Arial" w:eastAsia="Arial" w:hAnsi="Arial"/>
          <w:color w:val="1E1E1E"/>
          <w:sz w:val="22"/>
          <w:szCs w:val="22"/>
        </w:rPr>
        <w:t xml:space="preserve">ASXL1 mutations are associated with a higher rate of progression to overt hematologic malignancy than either DNMT3A or TET2 mutations, and carry a more prominent myeloid differentiation skewing phenotype. The cardiovascular risk associated with ASXL1-CHIP exists but is less characterized than TET2 or DNMT3A. From a clinical management perspective, ASXL1-CHIP should shift the clinical priority toward hematologic surveillance and expedited hematology referral, particularly at higher VAFs.</w:t>
      </w:r>
    </w:p>
    <w:p>
      <w:pPr>
        <w:pStyle w:val="Heading2"/>
        <w:spacing w:after="100" w:before="260"/>
      </w:pPr>
      <w:r>
        <w:rPr>
          <w:rFonts w:ascii="Arial" w:cs="Arial" w:eastAsia="Arial" w:hAnsi="Arial"/>
          <w:b/>
          <w:bCs/>
          <w:color w:val="028090"/>
          <w:sz w:val="23"/>
          <w:szCs w:val="23"/>
        </w:rPr>
        <w:t xml:space="preserve">JAK2 V617F: The Thrombosis-Dominant Phenotype</w:t>
      </w:r>
    </w:p>
    <w:p>
      <w:pPr>
        <w:spacing w:after="160" w:before="0" w:line="320"/>
        <w:jc w:val="both"/>
      </w:pPr>
      <w:r>
        <w:rPr>
          <w:rFonts w:ascii="Arial" w:cs="Arial" w:eastAsia="Arial" w:hAnsi="Arial"/>
          <w:color w:val="1E1E1E"/>
          <w:sz w:val="22"/>
          <w:szCs w:val="22"/>
        </w:rPr>
        <w:t xml:space="preserve">The JAK2 V617F mutation, which constitutively activates Janus kinase-signal transducer and activator of transcription (JAK-STAT) signaling and drives erythrocytosis and thrombocytosis in myeloproliferative neoplasms (MPNs), when present at low VAF constitutes a form of CHIP with a distinct cardiovascular mechanism: excessive platelet and erythrocyte production, hyperviscosity, and direct endothelial activation drive a pro-thrombotic state.¹¹ JAK2 CHIP is associated with elevated hematocrit, platelet count, and risk of arterial and venous thrombosis. Importantly, elevated hematocrit in the context of CHIP should raise suspicion for JAK2 V617F and prompt quantitative JAK2 testing, hematology referral, and workup for polycythemia vera: the clinical scenario is mechanistically and prognostically distinct from TET2 or DNMT3A CHIP.</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Clinical Evidence: Cardiovascular Outcomes</w:t>
      </w:r>
    </w:p>
    <w:p>
      <w:pPr>
        <w:pStyle w:val="Heading2"/>
        <w:spacing w:after="100" w:before="260"/>
      </w:pPr>
      <w:r>
        <w:rPr>
          <w:rFonts w:ascii="Arial" w:cs="Arial" w:eastAsia="Arial" w:hAnsi="Arial"/>
          <w:b/>
          <w:bCs/>
          <w:color w:val="028090"/>
          <w:sz w:val="23"/>
          <w:szCs w:val="23"/>
        </w:rPr>
        <w:t xml:space="preserve">Coronary Artery Disease and Myocardial Infarction</w:t>
      </w:r>
    </w:p>
    <w:p>
      <w:pPr>
        <w:spacing w:after="160" w:before="0" w:line="320"/>
        <w:jc w:val="both"/>
      </w:pPr>
      <w:r>
        <w:rPr>
          <w:rFonts w:ascii="Arial" w:cs="Arial" w:eastAsia="Arial" w:hAnsi="Arial"/>
          <w:color w:val="1E1E1E"/>
          <w:sz w:val="22"/>
          <w:szCs w:val="22"/>
        </w:rPr>
        <w:t xml:space="preserve">The strongest and most replicated cardiovascular association for CHIP is with atherosclerotic coronary artery disease. Jaiswal and colleagues (NEJM 2017) examined CHIP in four large prospective cohorts totaling more than 4,700 participants with incident coronary heart disease and demonstrated that CHIP was associated with a 1.9-fold increase in coronary artery disease risk after adjustment for traditional cardiovascular risk factors.¹² The association was driven predominantly by TET2 and DNMT3A mutations at VAF ≥10%, underscoring the importance of clone size as a risk modifier.</w:t>
      </w:r>
    </w:p>
    <w:p>
      <w:pPr>
        <w:spacing w:after="160" w:before="0" w:line="320"/>
        <w:jc w:val="both"/>
      </w:pPr>
      <w:r>
        <w:rPr>
          <w:rFonts w:ascii="Arial" w:cs="Arial" w:eastAsia="Arial" w:hAnsi="Arial"/>
          <w:color w:val="1E1E1E"/>
          <w:sz w:val="22"/>
          <w:szCs w:val="22"/>
        </w:rPr>
        <w:t xml:space="preserve">The relationship is bidirectional. Rauch and colleagues demonstrated that CHIP prevalence is enriched among patients who have experienced MI compared with age-matched controls, consistent with the reciprocal CHIP-MI amplification loop described above.¹³ This enrichment is particularly notable for TET2 mutations, and supports the mechanistic model in which myocardial injury triggers emergency hematopoiesis that selectively expands TET2-mutant clones, which then further propagate the inflammatory environment through their senescence-associated secretory phenotype (SASP)-like inflammatory secretory program.</w:t>
      </w:r>
    </w:p>
    <w:p>
      <w:pPr>
        <w:pStyle w:val="Heading2"/>
        <w:spacing w:after="100" w:before="260"/>
      </w:pPr>
      <w:r>
        <w:rPr>
          <w:rFonts w:ascii="Arial" w:cs="Arial" w:eastAsia="Arial" w:hAnsi="Arial"/>
          <w:b/>
          <w:bCs/>
          <w:color w:val="028090"/>
          <w:sz w:val="23"/>
          <w:szCs w:val="23"/>
        </w:rPr>
        <w:t xml:space="preserve">Heart Failure</w:t>
      </w:r>
    </w:p>
    <w:p>
      <w:pPr>
        <w:spacing w:after="160" w:before="0" w:line="320"/>
        <w:jc w:val="both"/>
      </w:pPr>
      <w:r>
        <w:rPr>
          <w:rFonts w:ascii="Arial" w:cs="Arial" w:eastAsia="Arial" w:hAnsi="Arial"/>
          <w:color w:val="1E1E1E"/>
          <w:sz w:val="22"/>
          <w:szCs w:val="22"/>
        </w:rPr>
        <w:t xml:space="preserve">The association between CHIP and heart failure has been demonstrated across multiple cohorts. Yu and colleagues (JACC 2021) evaluated CHIP in participants from the Trans-Omics for Precision Medicine (TOPMed) program and found that CHIP was associated with a 30% increase in incident heart failure hospitalization.¹⁴ Assmus and colleagues (European Heart Journal 2021) found that among patients with chronic ischemic heart failure, CHIP clone size (specifically for DNMT3A and TET2 mutations) independently predicted mortality and heart failure hospitalization beyond conventional biomarkers including natriuretic peptides.¹⁵</w:t>
      </w:r>
    </w:p>
    <w:p>
      <w:pPr>
        <w:spacing w:after="160" w:before="0" w:line="320"/>
        <w:jc w:val="both"/>
      </w:pPr>
      <w:r>
        <w:rPr>
          <w:rFonts w:ascii="Arial" w:cs="Arial" w:eastAsia="Arial" w:hAnsi="Arial"/>
          <w:color w:val="1E1E1E"/>
          <w:sz w:val="22"/>
          <w:szCs w:val="22"/>
        </w:rPr>
        <w:t xml:space="preserve">The 2024 study by Schuermans and colleagues provided an important refinement: the association between CHIP and incident heart failure is driven primarily by HFpEF rather than heart failure with reduced ejection fraction (HFrEF), and specifically by TET2 mutations.¹⁰ This finding is mechanistically coherent: the macrophage-mediated myocardial fibrosis and diastolic stiffening attributable to TET2-deficient immune cells is a more plausible driver of HFpEF than of ischemic systolic dysfunction. The clinical implications are significant: HFpEF is the dominant form of heart failure in elderly patients and currently lacks disease-modifying therapies; mutation-guided anti-inflammatory intervention may represent a tractable therapeutic strategy in TET2-CHIP carriers with HFpEF.</w:t>
      </w:r>
    </w:p>
    <w:p>
      <w:pPr>
        <w:pStyle w:val="Heading2"/>
        <w:spacing w:after="100" w:before="260"/>
      </w:pPr>
      <w:r>
        <w:rPr>
          <w:rFonts w:ascii="Arial" w:cs="Arial" w:eastAsia="Arial" w:hAnsi="Arial"/>
          <w:b/>
          <w:bCs/>
          <w:color w:val="028090"/>
          <w:sz w:val="23"/>
          <w:szCs w:val="23"/>
        </w:rPr>
        <w:t xml:space="preserve">Atrial Fibrillation</w:t>
      </w:r>
    </w:p>
    <w:p>
      <w:pPr>
        <w:spacing w:after="160" w:before="0" w:line="320"/>
        <w:jc w:val="both"/>
      </w:pPr>
      <w:r>
        <w:rPr>
          <w:rFonts w:ascii="Arial" w:cs="Arial" w:eastAsia="Arial" w:hAnsi="Arial"/>
          <w:color w:val="1E1E1E"/>
          <w:sz w:val="22"/>
          <w:szCs w:val="22"/>
        </w:rPr>
        <w:t xml:space="preserve">Emerging evidence supports an association between CHIP and incident atrial fibrillation (AF). Mendelian randomization analyses and epidemiological studies have identified CHIP (particularly TET2 and ASXL1 mutations) as associated with increased AF risk through pro-inflammatory atrial remodeling, atrial fibrosis, and disrupted calcium signaling.¹⁶ CHIP-mutant macrophages infiltrating the atrial myocardium promote fibrosis through IL-1β and IL-6 paracrine signaling, creating an arrhythmogenic substrate. Whether CHIP status should modify AF management (for example, by influencing anticoagulation decisions or rate versus rhythm control strategies) is not established, but the biological plausibility is substantial.</w:t>
      </w:r>
    </w:p>
    <w:p>
      <w:pPr>
        <w:pStyle w:val="Heading2"/>
        <w:spacing w:after="100" w:before="260"/>
      </w:pPr>
      <w:r>
        <w:rPr>
          <w:rFonts w:ascii="Arial" w:cs="Arial" w:eastAsia="Arial" w:hAnsi="Arial"/>
          <w:b/>
          <w:bCs/>
          <w:color w:val="028090"/>
          <w:sz w:val="23"/>
          <w:szCs w:val="23"/>
        </w:rPr>
        <w:t xml:space="preserve">Stroke</w:t>
      </w:r>
    </w:p>
    <w:p>
      <w:pPr>
        <w:spacing w:after="160" w:before="0" w:line="320"/>
        <w:jc w:val="both"/>
      </w:pPr>
      <w:r>
        <w:rPr>
          <w:rFonts w:ascii="Arial" w:cs="Arial" w:eastAsia="Arial" w:hAnsi="Arial"/>
          <w:color w:val="1E1E1E"/>
          <w:sz w:val="22"/>
          <w:szCs w:val="22"/>
        </w:rPr>
        <w:t xml:space="preserve">CHIP is associated with increased stroke risk through multiple mechanisms: accelerated large-vessel atherosclerosis, atrial inflammation promoting AF-mediated cardioembolic events, and potentially direct effects on cerebrovascular endothelial function. The stroke risk associated with CHIP in epidemiological studies is modestly elevated and is a secondary consideration relative to coronary and heart failure risk in most CHIP carriers, but warrants acknowledgment in the context of comprehensive cardiovascular risk management.</w:t>
      </w:r>
    </w:p>
    <w:p>
      <w:pPr>
        <w:pStyle w:val="Heading2"/>
        <w:spacing w:after="100" w:before="260"/>
      </w:pPr>
      <w:r>
        <w:rPr>
          <w:rFonts w:ascii="Arial" w:cs="Arial" w:eastAsia="Arial" w:hAnsi="Arial"/>
          <w:b/>
          <w:bCs/>
          <w:color w:val="028090"/>
          <w:sz w:val="23"/>
          <w:szCs w:val="23"/>
        </w:rPr>
        <w:t xml:space="preserve">Clone Size as a Dose-Response Modifier</w:t>
      </w:r>
    </w:p>
    <w:p>
      <w:pPr>
        <w:spacing w:after="160" w:before="0" w:line="320"/>
        <w:jc w:val="both"/>
      </w:pPr>
      <w:r>
        <w:rPr>
          <w:rFonts w:ascii="Arial" w:cs="Arial" w:eastAsia="Arial" w:hAnsi="Arial"/>
          <w:color w:val="1E1E1E"/>
          <w:sz w:val="22"/>
          <w:szCs w:val="22"/>
        </w:rPr>
        <w:t xml:space="preserve">Across cardiovascular endpoints, VAF functions as an approximate dose-response variable: larger clones (VAF ≥10%) confer greater cardiovascular risk than smaller clones (VAF 2–10%), which confer greater risk than the absence of CHIP.¹² This relationship supports a biologically meaningful clonal threshold rather than simply a detection artifact, and has direct clinical implications for risk stratification. A patient with a DNMT3A mutation at VAF 3% and a patient with TET2 mutation at VAF 25% occupy categorically different risk positions, even though both technically meet the CHIP definition.</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Detection in Internal Medicine Practice</w:t>
      </w:r>
    </w:p>
    <w:p>
      <w:pPr>
        <w:spacing w:after="160" w:before="0" w:line="320"/>
        <w:jc w:val="both"/>
      </w:pPr>
      <w:r>
        <w:rPr>
          <w:rFonts w:ascii="Arial" w:cs="Arial" w:eastAsia="Arial" w:hAnsi="Arial"/>
          <w:color w:val="1E1E1E"/>
          <w:sz w:val="22"/>
          <w:szCs w:val="22"/>
        </w:rPr>
        <w:t xml:space="preserve">CHIP will reach the internist through three distinct clinical pathways, each carrying different informational context and management implications.</w:t>
      </w:r>
    </w:p>
    <w:p>
      <w:pPr>
        <w:pStyle w:val="Heading2"/>
        <w:spacing w:after="100" w:before="260"/>
      </w:pPr>
      <w:r>
        <w:rPr>
          <w:rFonts w:ascii="Arial" w:cs="Arial" w:eastAsia="Arial" w:hAnsi="Arial"/>
          <w:b/>
          <w:bCs/>
          <w:color w:val="028090"/>
          <w:sz w:val="23"/>
          <w:szCs w:val="23"/>
        </w:rPr>
        <w:t xml:space="preserve">Scenario 1: Incidental Detection on Tumor Next-Generation Sequencing</w:t>
      </w:r>
    </w:p>
    <w:p>
      <w:pPr>
        <w:spacing w:after="160" w:before="0" w:line="320"/>
        <w:jc w:val="both"/>
      </w:pPr>
      <w:r>
        <w:rPr>
          <w:rFonts w:ascii="Arial" w:cs="Arial" w:eastAsia="Arial" w:hAnsi="Arial"/>
          <w:color w:val="1E1E1E"/>
          <w:sz w:val="22"/>
          <w:szCs w:val="22"/>
        </w:rPr>
        <w:t xml:space="preserve">The most common pathway through which CHIP is currently detected is incidental (as a presumed germline or somatic artifact flagged during tumor-directed NGS in oncology patients. When blood or non-tumor tissue is sequenced alongside a tumor sample, CHIP mutations present in peripheral blood are increasingly recognized and reported as potential germline or pre-leukemic variants. The oncology team may or may not have clinical context for these findings. The internist or primary care physician co-managing the patient will be asked what these mutations mean and what to do about them. The answer requires understanding the CHIP-CCUS distinction, the driver gene-specific risk profile, and the interaction between cytotoxic cancer therapy and clonal expansion. Therapy-related clonal hematopoiesis (t-CHIP)) clonal expansion occurring in the context of prior chemotherapy or radiation: differs mechanistically and prognostically from age-related CHIP: genotoxic therapies selectively expand clones harboring TP53, PPM1D, and CHEK2 mutations rather than the DNMT3A and TET2 mutations characteristic of age-related CHIP, and these therapy-selected clones carry substantially higher rates of progression to therapy-related myeloid neoplasm. Any CHIP finding in a patient with prior cytotoxic cancer treatment warrants hematology involvement regardless of VAF.</w:t>
      </w:r>
    </w:p>
    <w:p>
      <w:pPr>
        <w:pStyle w:val="Heading2"/>
        <w:spacing w:after="100" w:before="260"/>
      </w:pPr>
      <w:r>
        <w:rPr>
          <w:rFonts w:ascii="Arial" w:cs="Arial" w:eastAsia="Arial" w:hAnsi="Arial"/>
          <w:b/>
          <w:bCs/>
          <w:color w:val="028090"/>
          <w:sz w:val="23"/>
          <w:szCs w:val="23"/>
        </w:rPr>
        <w:t xml:space="preserve">Scenario 2: Unexplained Cytopenia or Macrocytosis</w:t>
      </w:r>
    </w:p>
    <w:p>
      <w:pPr>
        <w:spacing w:after="160" w:before="0" w:line="320"/>
        <w:jc w:val="both"/>
      </w:pPr>
      <w:r>
        <w:rPr>
          <w:rFonts w:ascii="Arial" w:cs="Arial" w:eastAsia="Arial" w:hAnsi="Arial"/>
          <w:color w:val="1E1E1E"/>
          <w:sz w:val="22"/>
          <w:szCs w:val="22"/>
        </w:rPr>
        <w:t xml:space="preserve">The second pathway is the clinical evaluation of an unexplained hematologic abnormality. An elderly patient (particularly one over 70 with limited other explanations) presenting with mild macrocytosis (mean corpuscular volume [MCV] &gt;100 fL), unexplained mild anemia, or unexplained mild neutropenia or thrombocytopenia after exclusion of B12 deficiency, folate deficiency, hypothyroidism, hemolysis, medication effect, and primary hematologic disease is a candidate for CHIP evaluation. In this scenario, the CBC pattern provides the clinical entry point, and targeted NGS of peripheral blood for CHIP driver genes is the confirmatory test. If clonal mutations are identified alongside the cytopenias, the diagnosis is CCUS (carrying substantially higher malignancy risk) and hematology referral is indicated. If no clonal mutation is identified, the diagnosis is ICUS and lower-intensity surveillance is appropriate.</w:t>
      </w:r>
    </w:p>
    <w:p>
      <w:pPr>
        <w:pStyle w:val="Heading2"/>
        <w:spacing w:after="100" w:before="260"/>
      </w:pPr>
      <w:r>
        <w:rPr>
          <w:rFonts w:ascii="Arial" w:cs="Arial" w:eastAsia="Arial" w:hAnsi="Arial"/>
          <w:b/>
          <w:bCs/>
          <w:color w:val="028090"/>
          <w:sz w:val="23"/>
          <w:szCs w:val="23"/>
        </w:rPr>
        <w:t xml:space="preserve">Scenario 3: Direct-to-Consumer and Commercial Panel Detection</w:t>
      </w:r>
    </w:p>
    <w:p>
      <w:pPr>
        <w:spacing w:after="160" w:before="0" w:line="320"/>
        <w:jc w:val="both"/>
      </w:pPr>
      <w:r>
        <w:rPr>
          <w:rFonts w:ascii="Arial" w:cs="Arial" w:eastAsia="Arial" w:hAnsi="Arial"/>
          <w:color w:val="1E1E1E"/>
          <w:sz w:val="22"/>
          <w:szCs w:val="22"/>
        </w:rPr>
        <w:t xml:space="preserve">An emerging and increasingly common scenario is the patient who presents with a positive CHIP finding from a commercial sequencing panel or direct-to-consumer product. These patients arrive informed (and sometimes misinformed) about their results, and require accurate clinical interpretation. The internist should assess: which gene is mutated, the reported VAF, whether cytopenias are present on concurrent CBC, the patient's overall cardiovascular risk profile, and whether the finding warrants hematology referral. This scenario demands clinical literacy in CHIP biology that most internists have not yet acquired through training.</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A Clinical Management Framework</w:t>
      </w:r>
    </w:p>
    <w:p>
      <w:pPr>
        <w:spacing w:after="160" w:before="0" w:line="320"/>
        <w:jc w:val="both"/>
      </w:pPr>
      <w:r>
        <w:rPr>
          <w:rFonts w:ascii="Arial" w:cs="Arial" w:eastAsia="Arial" w:hAnsi="Arial"/>
          <w:color w:val="1E1E1E"/>
          <w:sz w:val="22"/>
          <w:szCs w:val="22"/>
        </w:rPr>
        <w:t xml:space="preserve">No society guidelines currently direct CHIP management by internists. The following framework is proposed based on the available evidence, mechanistic biology, and established principles of cardiovascular risk management. It is intended as a practical starting point for clinical decision-making in the absence of formal guidelines, not as a substitute for them.</w:t>
      </w:r>
    </w:p>
    <w:p>
      <w:pPr>
        <w:pStyle w:val="Heading2"/>
        <w:spacing w:after="100" w:before="260"/>
      </w:pPr>
      <w:r>
        <w:rPr>
          <w:rFonts w:ascii="Arial" w:cs="Arial" w:eastAsia="Arial" w:hAnsi="Arial"/>
          <w:b/>
          <w:bCs/>
          <w:color w:val="028090"/>
          <w:sz w:val="23"/>
          <w:szCs w:val="23"/>
        </w:rPr>
        <w:t xml:space="preserve">Risk Stratification</w:t>
      </w:r>
    </w:p>
    <w:p>
      <w:pPr>
        <w:spacing w:after="160" w:before="0" w:line="320"/>
        <w:jc w:val="both"/>
      </w:pPr>
      <w:r>
        <w:rPr>
          <w:rFonts w:ascii="Arial" w:cs="Arial" w:eastAsia="Arial" w:hAnsi="Arial"/>
          <w:color w:val="1E1E1E"/>
          <w:sz w:val="22"/>
          <w:szCs w:val="22"/>
        </w:rPr>
        <w:t xml:space="preserve">The first step is risk stratification based on three variables: driver gene identity, VAF, and the presence or absence of cytopenias.</w:t>
      </w:r>
    </w:p>
    <w:p>
      <w:pPr>
        <w:spacing w:after="60" w:before="0"/>
      </w:pPr>
      <w:r>
        <w:t xml:space="preserve"/>
      </w:r>
    </w:p>
    <w:p>
      <w:pPr>
        <w:spacing w:after="80" w:before="80"/>
      </w:pPr>
      <w:r>
        <w:rPr>
          <w:rFonts w:ascii="Arial" w:cs="Arial" w:eastAsia="Arial" w:hAnsi="Arial"/>
          <w:b/>
          <w:bCs/>
          <w:color w:val="0D2137"/>
          <w:sz w:val="21"/>
          <w:szCs w:val="21"/>
        </w:rPr>
        <w:t xml:space="preserve">Table 1. Proposed CHIP Risk Stratification for the Internist</w:t>
      </w:r>
    </w:p>
    <w:p>
      <w:pPr>
        <w:shd w:fill="D6EAF3" w:val="clear"/>
        <w:spacing w:after="0" w:before="60"/>
      </w:pPr>
      <w:r>
        <w:rPr>
          <w:rFonts w:ascii="Arial" w:cs="Arial" w:eastAsia="Arial" w:hAnsi="Arial"/>
          <w:b/>
          <w:bCs/>
          <w:color w:val="0D2137"/>
          <w:sz w:val="21"/>
          <w:szCs w:val="21"/>
        </w:rPr>
        <w:t xml:space="preserve">LOWER RISK  </w:t>
      </w:r>
      <w:r>
        <w:rPr>
          <w:rFonts w:ascii="Arial" w:cs="Arial" w:eastAsia="Arial" w:hAnsi="Arial"/>
          <w:color w:val="3D3D3D"/>
          <w:sz w:val="21"/>
          <w:szCs w:val="21"/>
        </w:rPr>
        <w:t xml:space="preserve">DNMT3A only · VAF &lt;10% · No cytopenias</w:t>
      </w:r>
    </w:p>
    <w:p>
      <w:pPr>
        <w:shd w:fill="D6EAF3" w:val="clear"/>
        <w:spacing w:after="4" w:before="0"/>
        <w:ind w:left="360"/>
      </w:pPr>
      <w:r>
        <w:rPr>
          <w:rFonts w:ascii="Arial" w:cs="Arial" w:eastAsia="Arial" w:hAnsi="Arial"/>
          <w:color w:val="1E1E1E"/>
          <w:sz w:val="20"/>
          <w:szCs w:val="20"/>
        </w:rPr>
        <w:t xml:space="preserve">Primary concern: Cardiovascular risk amplification. Action: Optimize cardiovascular (CV) risk factors; annual CBC; no urgent hematology referral.</w:t>
      </w:r>
    </w:p>
    <w:p>
      <w:pPr>
        <w:spacing w:after="0" w:before="0"/>
      </w:pPr>
      <w:r>
        <w:t xml:space="preserve"/>
      </w:r>
    </w:p>
    <w:p>
      <w:pPr>
        <w:spacing w:after="0" w:before="4"/>
      </w:pPr>
      <w:r>
        <w:rPr>
          <w:rFonts w:ascii="Arial" w:cs="Arial" w:eastAsia="Arial" w:hAnsi="Arial"/>
          <w:b/>
          <w:bCs/>
          <w:color w:val="028090"/>
          <w:sz w:val="21"/>
          <w:szCs w:val="21"/>
        </w:rPr>
        <w:t xml:space="preserve">INTERMEDIATE RISK  </w:t>
      </w:r>
      <w:r>
        <w:rPr>
          <w:rFonts w:ascii="Arial" w:cs="Arial" w:eastAsia="Arial" w:hAnsi="Arial"/>
          <w:color w:val="3D3D3D"/>
          <w:sz w:val="21"/>
          <w:szCs w:val="21"/>
        </w:rPr>
        <w:t xml:space="preserve">TET2 VAF 2–10% · No cytopenias · OR DNMT3A VAF ≥10%</w:t>
      </w:r>
    </w:p>
    <w:p>
      <w:pPr>
        <w:spacing w:after="4" w:before="0"/>
        <w:ind w:left="360"/>
      </w:pPr>
      <w:r>
        <w:rPr>
          <w:rFonts w:ascii="Arial" w:cs="Arial" w:eastAsia="Arial" w:hAnsi="Arial"/>
          <w:color w:val="1E1E1E"/>
          <w:sz w:val="20"/>
          <w:szCs w:val="20"/>
        </w:rPr>
        <w:t xml:space="preserve">Primary concern: CV risk + early malignancy surveillance. Action: Aggressive CV risk management; consider anti-inflammatory strategy; hematology referral within 6 months.</w:t>
      </w:r>
    </w:p>
    <w:p>
      <w:pPr>
        <w:spacing w:after="0" w:before="0"/>
      </w:pPr>
      <w:r>
        <w:t xml:space="preserve"/>
      </w:r>
    </w:p>
    <w:p>
      <w:pPr>
        <w:shd w:fill="FDECEA" w:val="clear"/>
        <w:spacing w:after="0" w:before="4"/>
      </w:pPr>
      <w:r>
        <w:rPr>
          <w:rFonts w:ascii="Arial" w:cs="Arial" w:eastAsia="Arial" w:hAnsi="Arial"/>
          <w:b/>
          <w:bCs/>
          <w:color w:val="9B2335"/>
          <w:sz w:val="21"/>
          <w:szCs w:val="21"/>
        </w:rPr>
        <w:t xml:space="preserve">HIGHER RISK  </w:t>
      </w:r>
      <w:r>
        <w:rPr>
          <w:rFonts w:ascii="Arial" w:cs="Arial" w:eastAsia="Arial" w:hAnsi="Arial"/>
          <w:color w:val="3D3D3D"/>
          <w:sz w:val="21"/>
          <w:szCs w:val="21"/>
        </w:rPr>
        <w:t xml:space="preserve">TET2 VAF ≥10% · ASXL1 any VAF · JAK2 any VAF · CCUS · Multiple mutations</w:t>
      </w:r>
    </w:p>
    <w:p>
      <w:pPr>
        <w:shd w:fill="FDECEA" w:val="clear"/>
        <w:spacing w:after="4" w:before="0"/>
        <w:ind w:left="360"/>
      </w:pPr>
      <w:r>
        <w:rPr>
          <w:rFonts w:ascii="Arial" w:cs="Arial" w:eastAsia="Arial" w:hAnsi="Arial"/>
          <w:color w:val="1E1E1E"/>
          <w:sz w:val="20"/>
          <w:szCs w:val="20"/>
        </w:rPr>
        <w:t xml:space="preserve">Primary concern: Malignancy risk dominant. Action: Expedited hematology referral; CBC every 3–6 months; bone marrow evaluation per hematologist.</w:t>
      </w:r>
    </w:p>
    <w:p>
      <w:pPr>
        <w:spacing w:after="0" w:before="0"/>
      </w:pPr>
      <w:r>
        <w:t xml:space="preserve"/>
      </w:r>
    </w:p>
    <w:p>
      <w:pPr>
        <w:shd w:fill="FDECEA" w:val="clear"/>
        <w:spacing w:after="0" w:before="4"/>
      </w:pPr>
      <w:r>
        <w:rPr>
          <w:rFonts w:ascii="Arial" w:cs="Arial" w:eastAsia="Arial" w:hAnsi="Arial"/>
          <w:b/>
          <w:bCs/>
          <w:color w:val="8B0000"/>
          <w:sz w:val="21"/>
          <w:szCs w:val="21"/>
        </w:rPr>
        <w:t xml:space="preserve">URGENT REFERRAL  </w:t>
      </w:r>
      <w:r>
        <w:rPr>
          <w:rFonts w:ascii="Arial" w:cs="Arial" w:eastAsia="Arial" w:hAnsi="Arial"/>
          <w:color w:val="3D3D3D"/>
          <w:sz w:val="21"/>
          <w:szCs w:val="21"/>
        </w:rPr>
        <w:t xml:space="preserve">Splicing factor mutations (SF3B1, SRSF2, U2AF1) · TP53 · IDH1/2 · Any VAF</w:t>
      </w:r>
    </w:p>
    <w:p>
      <w:pPr>
        <w:shd w:fill="FDECEA" w:val="clear"/>
        <w:spacing w:after="80" w:before="0"/>
        <w:ind w:left="360"/>
      </w:pPr>
      <w:r>
        <w:rPr>
          <w:rFonts w:ascii="Arial" w:cs="Arial" w:eastAsia="Arial" w:hAnsi="Arial"/>
          <w:color w:val="1E1E1E"/>
          <w:sz w:val="20"/>
          <w:szCs w:val="20"/>
        </w:rPr>
        <w:t xml:space="preserve">Primary concern: High malignancy risk regardless of clone size. Action: Same-week hematology referral.</w:t>
      </w:r>
    </w:p>
    <w:p>
      <w:pPr>
        <w:spacing w:after="60" w:before="0"/>
      </w:pPr>
      <w:r>
        <w:t xml:space="preserve"/>
      </w:r>
    </w:p>
    <w:p>
      <w:pPr>
        <w:pStyle w:val="Heading2"/>
        <w:spacing w:after="100" w:before="260"/>
      </w:pPr>
      <w:r>
        <w:rPr>
          <w:rFonts w:ascii="Arial" w:cs="Arial" w:eastAsia="Arial" w:hAnsi="Arial"/>
          <w:b/>
          <w:bCs/>
          <w:color w:val="028090"/>
          <w:sz w:val="23"/>
          <w:szCs w:val="23"/>
        </w:rPr>
        <w:t xml:space="preserve">Cardiovascular Risk Factor Optimization</w:t>
      </w:r>
    </w:p>
    <w:p>
      <w:pPr>
        <w:spacing w:after="160" w:before="0" w:line="320"/>
        <w:jc w:val="both"/>
      </w:pPr>
      <w:r>
        <w:rPr>
          <w:rFonts w:ascii="Arial" w:cs="Arial" w:eastAsia="Arial" w:hAnsi="Arial"/>
          <w:color w:val="1E1E1E"/>
          <w:sz w:val="22"/>
          <w:szCs w:val="22"/>
        </w:rPr>
        <w:t xml:space="preserve">For all CHIP carriers, aggressive management of traditional cardiovascular risk factors is the first and most immediately actionable intervention. This includes statin therapy where indicated (statins have pleiotropic anti-inflammatory effects beyond LDL reduction and may modulate macrophage inflammatory responses relevant to TET2-CHIP biology) blood pressure control to guideline targets, glycemic optimization in diabetes, smoking cessation, weight management, and physical activity. While none of these interventions have been studied specifically in CHIP carriers in prospective trials, the biological rationale for their benefit is amplified in CHIP, and the existing evidence for their cardiovascular benefit in the general population applies.</w:t>
      </w:r>
    </w:p>
    <w:p>
      <w:pPr>
        <w:spacing w:after="160" w:before="0" w:line="320"/>
        <w:jc w:val="both"/>
      </w:pPr>
      <w:r>
        <w:rPr>
          <w:rFonts w:ascii="Arial" w:cs="Arial" w:eastAsia="Arial" w:hAnsi="Arial"/>
          <w:color w:val="1E1E1E"/>
          <w:sz w:val="22"/>
          <w:szCs w:val="22"/>
        </w:rPr>
        <w:t xml:space="preserve">For patients with JAK2 V617F CHIP, elevated hematocrit should be addressed: phlebotomy may be appropriate pending hematology evaluation, and antiplatelet therapy is particularly important given the thrombotic mechanism.</w:t>
      </w:r>
    </w:p>
    <w:p>
      <w:pPr>
        <w:pStyle w:val="Heading2"/>
        <w:spacing w:after="100" w:before="260"/>
      </w:pPr>
      <w:r>
        <w:rPr>
          <w:rFonts w:ascii="Arial" w:cs="Arial" w:eastAsia="Arial" w:hAnsi="Arial"/>
          <w:b/>
          <w:bCs/>
          <w:color w:val="028090"/>
          <w:sz w:val="23"/>
          <w:szCs w:val="23"/>
        </w:rPr>
        <w:t xml:space="preserve">Anti-Inflammatory Strategy</w:t>
      </w:r>
    </w:p>
    <w:p>
      <w:pPr>
        <w:spacing w:after="160" w:before="0" w:line="320"/>
        <w:jc w:val="both"/>
      </w:pPr>
      <w:r>
        <w:rPr>
          <w:rFonts w:ascii="Arial" w:cs="Arial" w:eastAsia="Arial" w:hAnsi="Arial"/>
          <w:color w:val="1E1E1E"/>
          <w:sz w:val="22"/>
          <w:szCs w:val="22"/>
        </w:rPr>
        <w:t xml:space="preserve">The mechanistic connection between TET2-CHIP and NLRP3-mediated IL-1β production creates a compelling biological rationale for anti-inflammatory therapy targeted to this pathway. The CANTOS trial demonstrated that canakinumab (an IL-1β neutralizing monoclonal antibody) reduced incident cardiovascular events in patients with prior MI and elevated high-sensitivity C-reactive protein (hsCRP) independent of any effect on LDL, with the greatest relative risk reduction in patients who achieved the greatest CRP reduction.⁸ While CHIP status was not prospectively stratified in CANTOS, the mechanistic overlap with TET2-CHIP is direct. Post-hoc analyses have suggested that the cardiovascular benefit of canakinumab may be preferentially concentrated in patients with inflammatory phenotypes consistent with CHIP biology.</w:t>
      </w:r>
    </w:p>
    <w:p>
      <w:pPr>
        <w:spacing w:after="160" w:before="0" w:line="320"/>
        <w:jc w:val="both"/>
      </w:pPr>
      <w:r>
        <w:rPr>
          <w:rFonts w:ascii="Arial" w:cs="Arial" w:eastAsia="Arial" w:hAnsi="Arial"/>
          <w:color w:val="1E1E1E"/>
          <w:sz w:val="22"/>
          <w:szCs w:val="22"/>
        </w:rPr>
        <w:t xml:space="preserve">Colchicine, which inhibits microtubule polymerization and thereby suppresses NLRP3 inflammasome assembly, has demonstrated cardiovascular benefit in prospective trials. The Colchicine Cardiovascular Outcomes Trial (COLCOT; colchicine 0.5 mg daily versus placebo in patients post-MI) and the Low-Dose Colchicine 2 (LoDoCo2) trial (colchicine in chronic coronary artery disease) both demonstrated significant reductions in major adverse cardiovascular events.¹⁷⁻¹⁸ Colchicine's mechanism of action is directly relevant to TET2-CHIP biology: NLRP3 inflammasome activation requires microtubule-dependent inflammasome assembly, which colchicine disrupts. The drug is inexpensive, has a well-characterized safety profile, and is already guideline-supported for coronary artery disease; it represents the most accessible anti-inflammatory strategy for TET2-CHIP carriers with established coronary disease or high cardiovascular risk.</w:t>
      </w:r>
    </w:p>
    <w:p>
      <w:pPr>
        <w:spacing w:after="160" w:before="0" w:line="320"/>
        <w:jc w:val="both"/>
      </w:pPr>
      <w:r>
        <w:rPr>
          <w:rFonts w:ascii="Arial" w:cs="Arial" w:eastAsia="Arial" w:hAnsi="Arial"/>
          <w:color w:val="1E1E1E"/>
          <w:sz w:val="22"/>
          <w:szCs w:val="22"/>
        </w:rPr>
        <w:t xml:space="preserve">It is important to note that TET2-CHIP mutation status is not yet an approved companion diagnostic for colchicine or any anti-inflammatory therapy, and the use of these agents should be guided by established cardiovascular indications rather than CHIP status alone. The clinical question (whether a TET2-CHIP carrier without established cardiovascular disease but with elevated hsCRP and intermediate cardiovascular risk should receive colchicine or IL-1β blockade specifically because of their CHIP) is unanswered and is the subject of active investigation.</w:t>
      </w:r>
    </w:p>
    <w:p>
      <w:pPr>
        <w:pStyle w:val="Heading2"/>
        <w:spacing w:after="100" w:before="260"/>
      </w:pPr>
      <w:r>
        <w:rPr>
          <w:rFonts w:ascii="Arial" w:cs="Arial" w:eastAsia="Arial" w:hAnsi="Arial"/>
          <w:b/>
          <w:bCs/>
          <w:color w:val="028090"/>
          <w:sz w:val="23"/>
          <w:szCs w:val="23"/>
        </w:rPr>
        <w:t xml:space="preserve">When to Refer to Hematology</w:t>
      </w:r>
    </w:p>
    <w:p>
      <w:pPr>
        <w:spacing w:after="160" w:before="0" w:line="320"/>
        <w:jc w:val="both"/>
      </w:pPr>
      <w:r>
        <w:rPr>
          <w:rFonts w:ascii="Arial" w:cs="Arial" w:eastAsia="Arial" w:hAnsi="Arial"/>
          <w:color w:val="1E1E1E"/>
          <w:sz w:val="22"/>
          <w:szCs w:val="22"/>
        </w:rPr>
        <w:t xml:space="preserve">Hematology referral is indicated in the following circumstances: (1) CCUS: any unexplained cytopenia meeting WHO thresholds in the setting of a clonal mutation; (2) VAF ≥10% for any driver gene; (3) ASXL1, splicing factor (SF3B1, SRSF2, U2AF1), TP53, IDH1/2, or FLT3 (FMS-like tyrosine kinase 3) mutations at any VAF; (4) multiple concurrent CHIP mutations; (5) progressive cytopenias on serial CBC even without a prior NGS result; and (6) JAK2 V617F at any VAF, which requires MPN evaluation. The Dana-Farber CHIP Risk Score (CHRS), available at chrsapp.com, provides quantitative prognostic guidance for myeloid malignancy progression risk that can inform the urgency and intensity of hematologic evaluation.</w:t>
      </w:r>
    </w:p>
    <w:p>
      <w:pPr>
        <w:pStyle w:val="Heading2"/>
        <w:spacing w:after="100" w:before="260"/>
      </w:pPr>
      <w:r>
        <w:rPr>
          <w:rFonts w:ascii="Arial" w:cs="Arial" w:eastAsia="Arial" w:hAnsi="Arial"/>
          <w:b/>
          <w:bCs/>
          <w:color w:val="028090"/>
          <w:sz w:val="23"/>
          <w:szCs w:val="23"/>
        </w:rPr>
        <w:t xml:space="preserve">Surveillance Schedule</w:t>
      </w:r>
    </w:p>
    <w:p>
      <w:pPr>
        <w:spacing w:after="160" w:before="0" w:line="320"/>
        <w:jc w:val="both"/>
      </w:pPr>
      <w:r>
        <w:rPr>
          <w:rFonts w:ascii="Arial" w:cs="Arial" w:eastAsia="Arial" w:hAnsi="Arial"/>
          <w:color w:val="1E1E1E"/>
          <w:sz w:val="22"/>
          <w:szCs w:val="22"/>
        </w:rPr>
        <w:t xml:space="preserve">For patients who do not meet referral criteria, a minimum surveillance protocol is recommended. Annual CBC is appropriate for lower-risk CHIP (DNMT3A, VAF &lt;10%, no cytopenias). Semi-annual CBC is appropriate for intermediate-risk CHIP (TET2, VAF 2–10%). Annual cardiovascular risk assessment with hsCRP measurement is reasonable for TET2-CHIP carriers, as hsCRP elevation in this setting may identify candidates most likely to benefit from anti-inflammatory intervention. Repeat NGS is not routinely indicated in the absence of hematologic change, as clonal dynamics are relatively slow in most CHIP cases.</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Evolving Evidence and Remaining Knowledge Gaps</w:t>
      </w:r>
    </w:p>
    <w:p>
      <w:pPr>
        <w:spacing w:after="160" w:before="0" w:line="320"/>
        <w:jc w:val="both"/>
      </w:pPr>
      <w:r>
        <w:rPr>
          <w:rFonts w:ascii="Arial" w:cs="Arial" w:eastAsia="Arial" w:hAnsi="Arial"/>
          <w:color w:val="1E1E1E"/>
          <w:sz w:val="22"/>
          <w:szCs w:val="22"/>
        </w:rPr>
        <w:t xml:space="preserve">A critical function of any review is to distinguish between questions that are genuinely unanswered and questions for which emerging evidence already constrains the field. CHIP cardiovascular medicine has moved rapidly enough that several questions framed as open in earlier literature have been substantially addressed by recent work, while others remain genuine research frontiers. We address each in turn.</w:t>
      </w:r>
    </w:p>
    <w:p>
      <w:pPr>
        <w:pStyle w:val="Heading2"/>
        <w:spacing w:after="100" w:before="260"/>
      </w:pPr>
      <w:r>
        <w:rPr>
          <w:rFonts w:ascii="Arial" w:cs="Arial" w:eastAsia="Arial" w:hAnsi="Arial"/>
          <w:b/>
          <w:bCs/>
          <w:color w:val="028090"/>
          <w:sz w:val="23"/>
          <w:szCs w:val="23"/>
        </w:rPr>
        <w:t xml:space="preserve">Mutation-Guided Anti-Inflammatory Therapy: Prospective Validation Underway</w:t>
      </w:r>
    </w:p>
    <w:p>
      <w:pPr>
        <w:spacing w:after="160" w:before="0" w:line="320"/>
        <w:jc w:val="both"/>
      </w:pPr>
      <w:r>
        <w:rPr>
          <w:rFonts w:ascii="Arial" w:cs="Arial" w:eastAsia="Arial" w:hAnsi="Arial"/>
          <w:color w:val="1E1E1E"/>
          <w:sz w:val="22"/>
          <w:szCs w:val="22"/>
        </w:rPr>
        <w:t xml:space="preserve">The question of whether TET2-CHIP status should guide anti-inflammatory therapeutic decisions is no longer speculative (it is in prospective evaluation. The foundation is the CANTOS genomic substudy published by Svensson and colleagues in JAMA Cardiology (2022), which performed targeted deep sequencing on a subset of CANTOS participants and found that TET2-CHIP carriers randomized to canakinumab experienced a hazard ratio of 0.38 for major adverse cardiovascular events (95% CI, 0.15–0.96), representing approximately 62% relative risk reduction) compared with equivocal benefit among participants without CHIP.²⁶ The p for interaction was 0.14, rendering this an exploratory rather than definitive finding in a study not powered for this subgroup analysis. Nevertheless, the signal has since been cited in the 2025 ACC Scientific Statement on Inflammation and Cardiovascular Disease as evidence that TET2 mutation status may predict response to IL-1β inhibition.</w:t>
      </w:r>
    </w:p>
    <w:p>
      <w:pPr>
        <w:spacing w:after="160" w:before="0" w:line="320"/>
        <w:jc w:val="both"/>
      </w:pPr>
      <w:r>
        <w:rPr>
          <w:rFonts w:ascii="Arial" w:cs="Arial" w:eastAsia="Arial" w:hAnsi="Arial"/>
          <w:color w:val="1E1E1E"/>
          <w:sz w:val="22"/>
          <w:szCs w:val="22"/>
        </w:rPr>
        <w:t xml:space="preserve">The prospective test of this hypothesis is now underway. NCT06691217, 'Effects of IL-1 Beta Inhibition on Vascular Inflammation in TET2 Clonal Hematopoiesis,' is a randomized, double-blind, placebo-controlled trial enrolling 120 participants with established coronary artery disease, with half carrying TET2 CHIP mutations, randomized 1:1 to canakinumab versus placebo.²⁷ The primary endpoint is coronary CT angiography-based vascular inflammation assessment at follow-up. This trial, if positive, would represent the first prospective evidence for mutation-guided anti-inflammatory cardiovascular therapy. For colchicine specifically, Zuriaga and colleagues demonstrated preclinical efficacy (colchicine prevents accelerated atherosclerosis in Tet2-mutant mice through NLRP3 inflammasome disruption) and biobank genetic analyses using IL-6 signaling variants as Mendelian randomization instruments have shown that NLRP3/IL-6 pathway attenuation preferentially reduces cardiovascular risk in CHIP carriers.²¹ The current state of evidence supports a reasonable clinical inference that TET2-CHIP carriers with established coronary artery disease and elevated hsCRP may derive preferential benefit from guideline-directed colchicine, though this has not been confirmed in a genotype-stratified randomized trial.</w:t>
      </w:r>
    </w:p>
    <w:p>
      <w:pPr>
        <w:pStyle w:val="Heading2"/>
        <w:spacing w:after="100" w:before="260"/>
      </w:pPr>
      <w:r>
        <w:rPr>
          <w:rFonts w:ascii="Arial" w:cs="Arial" w:eastAsia="Arial" w:hAnsi="Arial"/>
          <w:b/>
          <w:bCs/>
          <w:color w:val="028090"/>
          <w:sz w:val="23"/>
          <w:szCs w:val="23"/>
        </w:rPr>
        <w:t xml:space="preserve">Surveillance Schedules: Expert Consensus Without Formal Guidelines</w:t>
      </w:r>
    </w:p>
    <w:p>
      <w:pPr>
        <w:spacing w:after="160" w:before="0" w:line="320"/>
        <w:jc w:val="both"/>
      </w:pPr>
      <w:r>
        <w:rPr>
          <w:rFonts w:ascii="Arial" w:cs="Arial" w:eastAsia="Arial" w:hAnsi="Arial"/>
          <w:color w:val="1E1E1E"/>
          <w:sz w:val="22"/>
          <w:szCs w:val="22"/>
        </w:rPr>
        <w:t xml:space="preserve">No society guidelines specify CHIP surveillance intervals for the primary care setting (that gap is real. However, the absence of guidelines does not reflect an absence of published recommendations. Expert practice articles published in the relevant journals provide increasingly specific guidance. A 2025 Blood 'How I Treat' article on unexplained cytopenia management provides an explicit framework for workup sequencing, mutation-guided bone marrow examination timing, and the distinction between CHIP and CCUS in longitudinal follow-up.²⁸ A 2025 JACC: CardioOncology short-form primer on cardiovascular risk management in CHIP specifically addresses how mutation type and VAF should guide the intensity and frequency of both hematologic and cardiovascular monitoring.²⁹ The CHRS tool provides quantitative malignancy risk estimates that can be used to individualize the frequency of hematologic reassessment. What remains absent is a prospective study evaluating whether more intensive surveillance actually improves outcomes) the optimal interval question cannot be answered from current evidence alone. Pragmatic clinical trials or large-registry analyses comparing surveillance strategies are needed.</w:t>
      </w:r>
    </w:p>
    <w:p>
      <w:pPr>
        <w:pStyle w:val="Heading2"/>
        <w:spacing w:after="100" w:before="260"/>
      </w:pPr>
      <w:r>
        <w:rPr>
          <w:rFonts w:ascii="Arial" w:cs="Arial" w:eastAsia="Arial" w:hAnsi="Arial"/>
          <w:b/>
          <w:bCs/>
          <w:color w:val="028090"/>
          <w:sz w:val="23"/>
          <w:szCs w:val="23"/>
        </w:rPr>
        <w:t xml:space="preserve">Occupational and Environmental Exposures: An Undercharacterized Risk Dimension</w:t>
      </w:r>
    </w:p>
    <w:p>
      <w:pPr>
        <w:spacing w:after="160" w:before="0" w:line="320"/>
        <w:jc w:val="both"/>
      </w:pPr>
      <w:r>
        <w:rPr>
          <w:rFonts w:ascii="Arial" w:cs="Arial" w:eastAsia="Arial" w:hAnsi="Arial"/>
          <w:color w:val="1E1E1E"/>
          <w:sz w:val="22"/>
          <w:szCs w:val="22"/>
        </w:rPr>
        <w:t xml:space="preserve">Whether CHIP prevalence or clonal dynamics differ in populations with agricultural chemical exposure is genuinely unanswered, but the question rests on a solid mechanistic and epidemiological foundation. Florez and colleagues (Cell Stem Cell, 2022) established that environmental stressors exert mutation-specific selective pressure on hematopoietic clones: inflammatory exposures preferentially expand TET2 and DNMT3A clones, genotoxic stressors favor TP53 and PPM1D mutations, and metabolic factors modulate TET2 enzymatic function.³⁰ The smoking-CHIP relationship has been confirmed through Mendelian randomization, direct murine smoke inhalation models, and biobank data, with cigarette smoke specifically promoting TET2 and JAK2-V617F clonal expansion through inflammatory bone marrow environmental pressure. Leiser and colleagues (Cancer Epidemiol Biomarkers Prev, 2023) demonstrated in the first published study of environmental exposure and CHIP prevalence that long-term ambient air pollution exposure is associated with CHIP: suggesting that genotoxic and inflammatory environmental exposures broadly promote clonal hematopoiesis.³¹</w:t>
      </w:r>
    </w:p>
    <w:p>
      <w:pPr>
        <w:spacing w:after="160" w:before="0" w:line="320"/>
        <w:jc w:val="both"/>
      </w:pPr>
      <w:r>
        <w:rPr>
          <w:rFonts w:ascii="Arial" w:cs="Arial" w:eastAsia="Arial" w:hAnsi="Arial"/>
          <w:color w:val="1E1E1E"/>
          <w:sz w:val="22"/>
          <w:szCs w:val="22"/>
        </w:rPr>
        <w:t xml:space="preserve">The specific question of agricultural chemical exposure (organophosphates, atrazine, glyphosate, and other pesticides and herbicides known to be associated with hematologic malignancy risk in occupationally exposed populations) and its relationship to CHIP prevalence and driver gene distribution has not been studied. Rural agricultural populations over 70 years of age are underrepresented in the large biobank cohorts from which existing CHIP epidemiology derives, and the CHIP-malignancy literature has not bridged to the agricultural chemical exposure literature. This represents a specific, scientifically grounded, and clinically accessible research question that could be approached through retrospective characterization of CBC and NGS patterns in occupationally exposed rural cohorts.</w:t>
      </w:r>
    </w:p>
    <w:p>
      <w:pPr>
        <w:pStyle w:val="Heading2"/>
        <w:spacing w:after="100" w:before="260"/>
      </w:pPr>
      <w:r>
        <w:rPr>
          <w:rFonts w:ascii="Arial" w:cs="Arial" w:eastAsia="Arial" w:hAnsi="Arial"/>
          <w:b/>
          <w:bCs/>
          <w:color w:val="028090"/>
          <w:sz w:val="23"/>
          <w:szCs w:val="23"/>
        </w:rPr>
        <w:t xml:space="preserve">The Primary Care Recognition Gap: A Genuine and Unmeasured Deficit</w:t>
      </w:r>
    </w:p>
    <w:p>
      <w:pPr>
        <w:spacing w:after="160" w:before="0" w:line="320"/>
        <w:jc w:val="both"/>
      </w:pPr>
      <w:r>
        <w:rPr>
          <w:rFonts w:ascii="Arial" w:cs="Arial" w:eastAsia="Arial" w:hAnsi="Arial"/>
          <w:color w:val="1E1E1E"/>
          <w:sz w:val="22"/>
          <w:szCs w:val="22"/>
        </w:rPr>
        <w:t xml:space="preserve">No published study has quantified what proportion of patients with CBC patterns consistent with CCUS (unexplained cytopenia with normal B12, folate, and thyroid function in adults over 70) receive appropriate further workup in community, rural, or primary care settings. The establishment of dedicated CHIP-cardiovascular disease clinics at major academic medical centers (including UCSF, Dana-Farber, and UT Southwestern) reflects the recognition that most CHIP encounters occur outside specialty hematology. The care gap itself, however, has not been measured. A retrospective chart review characterizing recognition rates and downstream workup in community and rural practice settings would provide foundational data for quality improvement initiatives and would establish whether guideline development in the internal medicine setting is a meaningful priority. Such a study is feasible using structured EHR data queries to identify patients meeting phenotypic criteria, at minimal cost and with straightforward IRB classification as retrospective chart review of minimal risk.</w:t>
      </w:r>
    </w:p>
    <w:p>
      <w:pPr>
        <w:pStyle w:val="Heading2"/>
        <w:spacing w:after="100" w:before="260"/>
      </w:pPr>
      <w:r>
        <w:rPr>
          <w:rFonts w:ascii="Arial" w:cs="Arial" w:eastAsia="Arial" w:hAnsi="Arial"/>
          <w:b/>
          <w:bCs/>
          <w:color w:val="028090"/>
          <w:sz w:val="23"/>
          <w:szCs w:val="23"/>
        </w:rPr>
        <w:t xml:space="preserve">TET2-CHIP and HFpEF Prevention: Mechanistic Foundation Established, Trial Design the Next Step</w:t>
      </w:r>
    </w:p>
    <w:p>
      <w:pPr>
        <w:spacing w:after="160" w:before="0" w:line="320"/>
        <w:jc w:val="both"/>
      </w:pPr>
      <w:r>
        <w:rPr>
          <w:rFonts w:ascii="Arial" w:cs="Arial" w:eastAsia="Arial" w:hAnsi="Arial"/>
          <w:color w:val="1E1E1E"/>
          <w:sz w:val="22"/>
          <w:szCs w:val="22"/>
        </w:rPr>
        <w:t xml:space="preserve">The question of whether TET2-CHIP represents a targetable substrate for HFpEF prevention has moved substantially beyond hypothesis in the past two years. Schuermans and colleagues (JAMA Netw Open, 2024) demonstrated that TET2-CHIP, but not DNMT3A-CHIP, was independently associated with incident HFpEF with a meta-analyzed hazard ratio of 2.35 (95% CI, 1.34–4.11), and that the association was strongest in participants with CRP ≥2 mg/L (HR 1.94, 95% CI, 1.20–3.15), directly implicating the inflammatory pathway.¹⁰ This finding has been mechanistically validated. Pandey and colleagues presented data at the 2024 American Heart Association Scientific Sessions demonstrating that CHIP prevalence was significantly higher in deeply phenotyped HFpEF patients at UT Southwestern compared with age- and sex-matched controls from the Dallas Heart Study, with TET2 the most frequently mutated gene; in the TOPCAT trial cohort (N=213), CHIP was independently associated with HF hospitalization and all-cause mortality (HR 2.07, 95% CI 1.01–4.22).³² Mechanistic studies confirmed that Tet2 knockout, but not Dnmt3a knockout, bone marrow transplanted into two-hit HFpEF induction mice produced exacerbated diastolic dysfunction through NLRP3/IL-1β-driven pro-inflammatory macrophage expansion: establishing both TET2 specificity and the actionable pathway.</w:t>
      </w:r>
    </w:p>
    <w:p>
      <w:pPr>
        <w:spacing w:after="160" w:before="0" w:line="320"/>
        <w:jc w:val="both"/>
      </w:pPr>
      <w:r>
        <w:rPr>
          <w:rFonts w:ascii="Arial" w:cs="Arial" w:eastAsia="Arial" w:hAnsi="Arial"/>
          <w:color w:val="1E1E1E"/>
          <w:sz w:val="22"/>
          <w:szCs w:val="22"/>
        </w:rPr>
        <w:t xml:space="preserve">No clinical trial has yet specifically enrolled TET2-CHIP carriers for HFpEF prevention. Active colchicine trials in HFpEF, including the CO-HFpEF and CHIPS trials, target the NLRP3 inflammasome pathway in unselected HFpEF populations without stratification by CHIP genotype. Whether post-hoc genomic analyses of these trials will yield CHIP-stratified outcomes data remains to be seen. A dedicated prospective trial enrolling TET2-CHIP carriers with preserved ejection fraction and elevated inflammatory biomarkers, randomized to anti-inflammatory therapy versus standard care, would represent the highest-value clinical research priority in this space: and the mechanistic and epidemiological groundwork to justify such a trial now exists.</w:t>
      </w:r>
    </w:p>
    <w:p>
      <w:pPr>
        <w:spacing w:after="60" w:before="0"/>
      </w:pPr>
      <w:r>
        <w:t xml:space="preserve"/>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Conclusions</w:t>
      </w:r>
    </w:p>
    <w:p>
      <w:pPr>
        <w:spacing w:after="160" w:before="0" w:line="320"/>
        <w:jc w:val="both"/>
      </w:pPr>
      <w:r>
        <w:rPr>
          <w:rFonts w:ascii="Arial" w:cs="Arial" w:eastAsia="Arial" w:hAnsi="Arial"/>
          <w:color w:val="1E1E1E"/>
          <w:sz w:val="22"/>
          <w:szCs w:val="22"/>
        </w:rPr>
        <w:t xml:space="preserve">Clonal hematopoiesis of indeterminate potential has emerged from the hematology literature to become a condition of broad internal medicine relevance. Its cardiovascular burden (independent of traditional risk factors, mechanistically coherent, gene-specific in character, and dose-dependent on clone size) will be managed primarily by internists, hospitalists, and generalists who will encounter it through tumor sequencing reports, unexplained CBC abnormalities, and patient-initiated genetic testing. The absence of formal society guidelines does not reflect an absence of evidence or expert guidance: published How I Treat articles and cardio-oncology primers now provide increasing specificity on CHIP surveillance and cardiovascular risk management, and the evidence base is moving faster than guideline infrastructure can follow.</w:t>
      </w:r>
    </w:p>
    <w:p>
      <w:pPr>
        <w:spacing w:after="160" w:before="0" w:line="320"/>
        <w:jc w:val="both"/>
      </w:pPr>
      <w:r>
        <w:rPr>
          <w:rFonts w:ascii="Arial" w:cs="Arial" w:eastAsia="Arial" w:hAnsi="Arial"/>
          <w:color w:val="1E1E1E"/>
          <w:sz w:val="22"/>
          <w:szCs w:val="22"/>
        </w:rPr>
        <w:t xml:space="preserve">The key clinical insight is that CHIP is not a single entity: TET2-CHIP is an inflammation-dominant cardiovascular risk factor mechanistically amenable to IL-1β pathway targeting; DNMT3A-CHIP is prevalent and real but carries a more modest and less tractable cardiovascular risk; ASXL1 and splicing factor mutations carry dominant malignancy risk requiring hematology involvement. JAK2 V617F at any VAF is a myeloproliferative condition in evolution, not merely an incidental finding. These distinctions, guided by driver gene identity and VAF, should shape clinical management.</w:t>
      </w:r>
    </w:p>
    <w:p>
      <w:pPr>
        <w:spacing w:after="160" w:before="0" w:line="320"/>
        <w:jc w:val="both"/>
      </w:pPr>
      <w:r>
        <w:rPr>
          <w:rFonts w:ascii="Arial" w:cs="Arial" w:eastAsia="Arial" w:hAnsi="Arial"/>
          <w:color w:val="1E1E1E"/>
          <w:sz w:val="22"/>
          <w:szCs w:val="22"/>
        </w:rPr>
        <w:t xml:space="preserve">The most immediately actionable clinical response to CHIP detection in the internal medicine setting is aggressive cardiovascular risk factor optimization, CBC surveillance at a frequency guided by driver gene and VAF, selective hematology referral for high-risk features, and (in TET2-CHIP carriers with established coronary artery disease) consideration of colchicine consistent with existing cardiovascular guidelines. The first prospective trial of mutation-guided anti-inflammatory therapy (NCT06691217) is now enrolling, and its results will either validate or refine the TET2-targeted therapeutic inference drawn from CANTOS post-hoc data. Recognizing CHIP as a cardiovascular risk factor, communicating its implications accurately to patients, and applying rational risk stratification represents the practical standard of care while prospective evidence matures.</w:t>
      </w:r>
    </w:p>
    <w:p>
      <w:r>
        <w:br w:type="page"/>
      </w:r>
    </w:p>
    <w:p>
      <w:pPr>
        <w:pStyle w:val="Heading1"/>
        <w:spacing w:after="140" w:before="360"/>
      </w:pPr>
      <w:r>
        <w:rPr>
          <w:rFonts w:ascii="Arial" w:cs="Arial" w:eastAsia="Arial" w:hAnsi="Arial"/>
          <w:b/>
          <w:bCs/>
          <w:color w:val="0D2137"/>
          <w:sz w:val="26"/>
          <w:szCs w:val="26"/>
        </w:rPr>
        <w:t xml:space="preserve">Disclosures</w:t>
      </w:r>
    </w:p>
    <w:p>
      <w:pPr>
        <w:spacing w:after="160" w:before="0" w:line="320"/>
        <w:jc w:val="both"/>
      </w:pPr>
      <w:r>
        <w:rPr>
          <w:rFonts w:ascii="Arial" w:cs="Arial" w:eastAsia="Arial" w:hAnsi="Arial"/>
          <w:color w:val="1E1E1E"/>
          <w:sz w:val="22"/>
          <w:szCs w:val="22"/>
        </w:rPr>
        <w:t xml:space="preserve">The author has no conflicts of interest to disclose. No funding was received for the preparation of this manuscript.</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References</w:t>
      </w:r>
    </w:p>
    <w:p>
      <w:pPr>
        <w:spacing w:after="80" w:before="0" w:line="290"/>
        <w:ind w:left="540" w:hanging="540"/>
      </w:pPr>
      <w:r>
        <w:rPr>
          <w:rFonts w:ascii="Arial" w:cs="Arial" w:eastAsia="Arial" w:hAnsi="Arial"/>
          <w:b/>
          <w:bCs/>
          <w:color w:val="666666"/>
          <w:sz w:val="20"/>
          <w:szCs w:val="20"/>
        </w:rPr>
        <w:t xml:space="preserve">1.  </w:t>
      </w:r>
      <w:r>
        <w:rPr>
          <w:rFonts w:ascii="Arial" w:cs="Arial" w:eastAsia="Arial" w:hAnsi="Arial"/>
          <w:color w:val="666666"/>
          <w:sz w:val="20"/>
          <w:szCs w:val="20"/>
        </w:rPr>
        <w:t xml:space="preserve">Jaiswal S, Fontanillas P, Flannick J, et al. Age-related clonal hematopoiesis associated with adverse outcomes. N Engl J Med. 2014;371(26):2488–2498.</w:t>
      </w:r>
    </w:p>
    <w:p>
      <w:pPr>
        <w:spacing w:after="80" w:before="0" w:line="290"/>
        <w:ind w:left="540" w:hanging="540"/>
      </w:pPr>
      <w:r>
        <w:rPr>
          <w:rFonts w:ascii="Arial" w:cs="Arial" w:eastAsia="Arial" w:hAnsi="Arial"/>
          <w:b/>
          <w:bCs/>
          <w:color w:val="666666"/>
          <w:sz w:val="20"/>
          <w:szCs w:val="20"/>
        </w:rPr>
        <w:t xml:space="preserve">2.  </w:t>
      </w:r>
      <w:r>
        <w:rPr>
          <w:rFonts w:ascii="Arial" w:cs="Arial" w:eastAsia="Arial" w:hAnsi="Arial"/>
          <w:color w:val="666666"/>
          <w:sz w:val="20"/>
          <w:szCs w:val="20"/>
        </w:rPr>
        <w:t xml:space="preserve">Genovese G, Kähler AK, Handsaker RE, et al. Clonal hematopoiesis and blood-cancer risk inferred from blood DNA sequence. N Engl J Med. 2014;371(26):2477–2487.</w:t>
      </w:r>
    </w:p>
    <w:p>
      <w:pPr>
        <w:spacing w:after="80" w:before="0" w:line="290"/>
        <w:ind w:left="540" w:hanging="540"/>
      </w:pPr>
      <w:r>
        <w:rPr>
          <w:rFonts w:ascii="Arial" w:cs="Arial" w:eastAsia="Arial" w:hAnsi="Arial"/>
          <w:b/>
          <w:bCs/>
          <w:color w:val="666666"/>
          <w:sz w:val="20"/>
          <w:szCs w:val="20"/>
        </w:rPr>
        <w:t xml:space="preserve">3.  </w:t>
      </w:r>
      <w:r>
        <w:rPr>
          <w:rFonts w:ascii="Arial" w:cs="Arial" w:eastAsia="Arial" w:hAnsi="Arial"/>
          <w:color w:val="666666"/>
          <w:sz w:val="20"/>
          <w:szCs w:val="20"/>
        </w:rPr>
        <w:t xml:space="preserve">Steensma DP, Bejar R, Jaiswal S, et al. Clonal hematopoiesis of indeterminate potential and its distinction from myelodysplastic syndromes. Blood. 2015;126(1):9–16.</w:t>
      </w:r>
    </w:p>
    <w:p>
      <w:pPr>
        <w:spacing w:after="80" w:before="0" w:line="290"/>
        <w:ind w:left="540" w:hanging="540"/>
      </w:pPr>
      <w:r>
        <w:rPr>
          <w:rFonts w:ascii="Arial" w:cs="Arial" w:eastAsia="Arial" w:hAnsi="Arial"/>
          <w:b/>
          <w:bCs/>
          <w:color w:val="666666"/>
          <w:sz w:val="20"/>
          <w:szCs w:val="20"/>
        </w:rPr>
        <w:t xml:space="preserve">4.  </w:t>
      </w:r>
      <w:r>
        <w:rPr>
          <w:rFonts w:ascii="Arial" w:cs="Arial" w:eastAsia="Arial" w:hAnsi="Arial"/>
          <w:color w:val="666666"/>
          <w:sz w:val="20"/>
          <w:szCs w:val="20"/>
        </w:rPr>
        <w:t xml:space="preserve">Cargo CA, Rowbotham N, Evans PA, et al. Targeted sequencing identifies patients with preclinical MDS at high risk of disease progression. Blood. 2015;126(21):2362–2365.</w:t>
      </w:r>
    </w:p>
    <w:p>
      <w:pPr>
        <w:spacing w:after="80" w:before="0" w:line="290"/>
        <w:ind w:left="540" w:hanging="540"/>
      </w:pPr>
      <w:r>
        <w:rPr>
          <w:rFonts w:ascii="Arial" w:cs="Arial" w:eastAsia="Arial" w:hAnsi="Arial"/>
          <w:b/>
          <w:bCs/>
          <w:color w:val="666666"/>
          <w:sz w:val="20"/>
          <w:szCs w:val="20"/>
        </w:rPr>
        <w:t xml:space="preserve">5.  </w:t>
      </w:r>
      <w:r>
        <w:rPr>
          <w:rFonts w:ascii="Arial" w:cs="Arial" w:eastAsia="Arial" w:hAnsi="Arial"/>
          <w:color w:val="666666"/>
          <w:sz w:val="20"/>
          <w:szCs w:val="20"/>
        </w:rPr>
        <w:t xml:space="preserve">Busque L, Patel JP, Figueroa ME, et al. Recurrent somatic TET2 mutations in normal elderly individuals with clonal hematopoiesis. Nat Genet. 2012;44(11):1179-1181.</w:t>
      </w:r>
    </w:p>
    <w:p>
      <w:pPr>
        <w:spacing w:after="80" w:before="0" w:line="290"/>
        <w:ind w:left="540" w:hanging="540"/>
      </w:pPr>
      <w:r>
        <w:rPr>
          <w:rFonts w:ascii="Arial" w:cs="Arial" w:eastAsia="Arial" w:hAnsi="Arial"/>
          <w:b/>
          <w:bCs/>
          <w:color w:val="666666"/>
          <w:sz w:val="20"/>
          <w:szCs w:val="20"/>
        </w:rPr>
        <w:t xml:space="preserve">6.  </w:t>
      </w:r>
      <w:r>
        <w:rPr>
          <w:rFonts w:ascii="Arial" w:cs="Arial" w:eastAsia="Arial" w:hAnsi="Arial"/>
          <w:color w:val="666666"/>
          <w:sz w:val="20"/>
          <w:szCs w:val="20"/>
        </w:rPr>
        <w:t xml:space="preserve">Bick AG, Weinstock JS, Nandakumar SK, et al. Inherited causes of clonal haematopoiesis in 97,691 whole genomes. Nature. 2020;586(7831):763–768.</w:t>
      </w:r>
    </w:p>
    <w:p>
      <w:pPr>
        <w:spacing w:after="80" w:before="0" w:line="290"/>
        <w:ind w:left="540" w:hanging="540"/>
      </w:pPr>
      <w:r>
        <w:rPr>
          <w:rFonts w:ascii="Arial" w:cs="Arial" w:eastAsia="Arial" w:hAnsi="Arial"/>
          <w:b/>
          <w:bCs/>
          <w:color w:val="666666"/>
          <w:sz w:val="20"/>
          <w:szCs w:val="20"/>
        </w:rPr>
        <w:t xml:space="preserve">7.  </w:t>
      </w:r>
      <w:r>
        <w:rPr>
          <w:rFonts w:ascii="Arial" w:cs="Arial" w:eastAsia="Arial" w:hAnsi="Arial"/>
          <w:color w:val="666666"/>
          <w:sz w:val="20"/>
          <w:szCs w:val="20"/>
        </w:rPr>
        <w:t xml:space="preserve">Fuster JJ, MacLauchlan S, Zuriaga MA, et al. Clonal hematopoiesis associated with TET2 deficiency accelerates atherosclerosis development in mice. Science. 2017;355(6327):842–847.</w:t>
      </w:r>
    </w:p>
    <w:p>
      <w:pPr>
        <w:spacing w:after="80" w:before="0" w:line="290"/>
        <w:ind w:left="540" w:hanging="540"/>
      </w:pPr>
      <w:r>
        <w:rPr>
          <w:rFonts w:ascii="Arial" w:cs="Arial" w:eastAsia="Arial" w:hAnsi="Arial"/>
          <w:b/>
          <w:bCs/>
          <w:color w:val="666666"/>
          <w:sz w:val="20"/>
          <w:szCs w:val="20"/>
        </w:rPr>
        <w:t xml:space="preserve">8.  </w:t>
      </w:r>
      <w:r>
        <w:rPr>
          <w:rFonts w:ascii="Arial" w:cs="Arial" w:eastAsia="Arial" w:hAnsi="Arial"/>
          <w:color w:val="666666"/>
          <w:sz w:val="20"/>
          <w:szCs w:val="20"/>
        </w:rPr>
        <w:t xml:space="preserve">Ridker PM, Everett BM, Thuren T, et al. Antiinflammatory therapy with canakinumab for atherosclerotic disease. N Engl J Med. 2017;377(12):1119–1131.</w:t>
      </w:r>
    </w:p>
    <w:p>
      <w:pPr>
        <w:spacing w:after="80" w:before="0" w:line="290"/>
        <w:ind w:left="540" w:hanging="540"/>
      </w:pPr>
      <w:r>
        <w:rPr>
          <w:rFonts w:ascii="Arial" w:cs="Arial" w:eastAsia="Arial" w:hAnsi="Arial"/>
          <w:b/>
          <w:bCs/>
          <w:color w:val="666666"/>
          <w:sz w:val="20"/>
          <w:szCs w:val="20"/>
        </w:rPr>
        <w:t xml:space="preserve">9.  </w:t>
      </w:r>
      <w:r>
        <w:rPr>
          <w:rFonts w:ascii="Arial" w:cs="Arial" w:eastAsia="Arial" w:hAnsi="Arial"/>
          <w:color w:val="666666"/>
          <w:sz w:val="20"/>
          <w:szCs w:val="20"/>
        </w:rPr>
        <w:t xml:space="preserve">Heyde A, Rohde D, McAlpine CS, et al. Increased stem cell proliferation in atherosclerosis accelerates clonal hematopoiesis. Cell. 2021;184(5):1348–1361.e22.</w:t>
      </w:r>
    </w:p>
    <w:p>
      <w:pPr>
        <w:spacing w:after="80" w:before="0" w:line="290"/>
        <w:ind w:left="540" w:hanging="540"/>
      </w:pPr>
      <w:r>
        <w:rPr>
          <w:rFonts w:ascii="Arial" w:cs="Arial" w:eastAsia="Arial" w:hAnsi="Arial"/>
          <w:b/>
          <w:bCs/>
          <w:color w:val="666666"/>
          <w:sz w:val="20"/>
          <w:szCs w:val="20"/>
        </w:rPr>
        <w:t xml:space="preserve">10.  </w:t>
      </w:r>
      <w:r>
        <w:rPr>
          <w:rFonts w:ascii="Arial" w:cs="Arial" w:eastAsia="Arial" w:hAnsi="Arial"/>
          <w:color w:val="666666"/>
          <w:sz w:val="20"/>
          <w:szCs w:val="20"/>
        </w:rPr>
        <w:t xml:space="preserve">Schuermans A, Honigberg MC, Raffield LM, et al. Clonal hematopoiesis and incident heart failure with preserved ejection fraction. JAMA Netw Open. 2024;7(1):e2353244.</w:t>
      </w:r>
    </w:p>
    <w:p>
      <w:pPr>
        <w:spacing w:after="80" w:before="0" w:line="290"/>
        <w:ind w:left="540" w:hanging="540"/>
      </w:pPr>
      <w:r>
        <w:rPr>
          <w:rFonts w:ascii="Arial" w:cs="Arial" w:eastAsia="Arial" w:hAnsi="Arial"/>
          <w:b/>
          <w:bCs/>
          <w:color w:val="666666"/>
          <w:sz w:val="20"/>
          <w:szCs w:val="20"/>
        </w:rPr>
        <w:t xml:space="preserve">11.  </w:t>
      </w:r>
      <w:r>
        <w:rPr>
          <w:rFonts w:ascii="Arial" w:cs="Arial" w:eastAsia="Arial" w:hAnsi="Arial"/>
          <w:color w:val="666666"/>
          <w:sz w:val="20"/>
          <w:szCs w:val="20"/>
        </w:rPr>
        <w:t xml:space="preserve">Libby P, Sidlow R, Lin AE, et al. Clonal hematopoiesis: crossroads of aging, cardiovascular disease, and cancer: JACC review topic of the week. J Am Coll Cardiol. 2019;74(4):567–577.</w:t>
      </w:r>
    </w:p>
    <w:p>
      <w:pPr>
        <w:spacing w:after="80" w:before="0" w:line="290"/>
        <w:ind w:left="540" w:hanging="540"/>
      </w:pPr>
      <w:r>
        <w:rPr>
          <w:rFonts w:ascii="Arial" w:cs="Arial" w:eastAsia="Arial" w:hAnsi="Arial"/>
          <w:b/>
          <w:bCs/>
          <w:color w:val="666666"/>
          <w:sz w:val="20"/>
          <w:szCs w:val="20"/>
        </w:rPr>
        <w:t xml:space="preserve">12.  </w:t>
      </w:r>
      <w:r>
        <w:rPr>
          <w:rFonts w:ascii="Arial" w:cs="Arial" w:eastAsia="Arial" w:hAnsi="Arial"/>
          <w:color w:val="666666"/>
          <w:sz w:val="20"/>
          <w:szCs w:val="20"/>
        </w:rPr>
        <w:t xml:space="preserve">Jaiswal S, Natarajan P, Silver AJ, et al. Clonal hematopoiesis and risk of atherosclerotic cardiovascular disease. N Engl J Med. 2017;377(2):111–121.</w:t>
      </w:r>
    </w:p>
    <w:p>
      <w:pPr>
        <w:spacing w:after="80" w:before="0" w:line="290"/>
        <w:ind w:left="540" w:hanging="540"/>
      </w:pPr>
      <w:r>
        <w:rPr>
          <w:rFonts w:ascii="Arial" w:cs="Arial" w:eastAsia="Arial" w:hAnsi="Arial"/>
          <w:b/>
          <w:bCs/>
          <w:color w:val="666666"/>
          <w:sz w:val="20"/>
          <w:szCs w:val="20"/>
        </w:rPr>
        <w:t xml:space="preserve">13.  </w:t>
      </w:r>
      <w:r>
        <w:rPr>
          <w:rFonts w:ascii="Arial" w:cs="Arial" w:eastAsia="Arial" w:hAnsi="Arial"/>
          <w:color w:val="666666"/>
          <w:sz w:val="20"/>
          <w:szCs w:val="20"/>
        </w:rPr>
        <w:t xml:space="preserve">Rauch PJ, Bhatt DL. Clonal hematopoiesis as a risk factor for myocardial infarction and stroke. Curr Opin Cardiol. 2020;35(5):524–530.</w:t>
      </w:r>
    </w:p>
    <w:p>
      <w:pPr>
        <w:spacing w:after="80" w:before="0" w:line="290"/>
        <w:ind w:left="540" w:hanging="540"/>
      </w:pPr>
      <w:r>
        <w:rPr>
          <w:rFonts w:ascii="Arial" w:cs="Arial" w:eastAsia="Arial" w:hAnsi="Arial"/>
          <w:b/>
          <w:bCs/>
          <w:color w:val="666666"/>
          <w:sz w:val="20"/>
          <w:szCs w:val="20"/>
        </w:rPr>
        <w:t xml:space="preserve">14.  </w:t>
      </w:r>
      <w:r>
        <w:rPr>
          <w:rFonts w:ascii="Arial" w:cs="Arial" w:eastAsia="Arial" w:hAnsi="Arial"/>
          <w:color w:val="666666"/>
          <w:sz w:val="20"/>
          <w:szCs w:val="20"/>
        </w:rPr>
        <w:t xml:space="preserve">Yu B, Roberts MB, Raffield LM, et al. Supplemental association of clonal hematopoiesis with incident heart failure. J Am Coll Cardiol. 2021;78(1):42–52.</w:t>
      </w:r>
    </w:p>
    <w:p>
      <w:pPr>
        <w:spacing w:after="80" w:before="0" w:line="290"/>
        <w:ind w:left="540" w:hanging="540"/>
      </w:pPr>
      <w:r>
        <w:rPr>
          <w:rFonts w:ascii="Arial" w:cs="Arial" w:eastAsia="Arial" w:hAnsi="Arial"/>
          <w:b/>
          <w:bCs/>
          <w:color w:val="666666"/>
          <w:sz w:val="20"/>
          <w:szCs w:val="20"/>
        </w:rPr>
        <w:t xml:space="preserve">15.  </w:t>
      </w:r>
      <w:r>
        <w:rPr>
          <w:rFonts w:ascii="Arial" w:cs="Arial" w:eastAsia="Arial" w:hAnsi="Arial"/>
          <w:color w:val="666666"/>
          <w:sz w:val="20"/>
          <w:szCs w:val="20"/>
        </w:rPr>
        <w:t xml:space="preserve">Assmus B, Cremer S, Röver C, et al. Clonal haematopoiesis in chronic ischaemic heart failure: prognostic role of clone size for DNMT3A- and TET2-driver gene mutations. Eur Heart J. 2021;42(3):257–265.</w:t>
      </w:r>
    </w:p>
    <w:p>
      <w:pPr>
        <w:spacing w:after="80" w:before="0" w:line="290"/>
        <w:ind w:left="540" w:hanging="540"/>
      </w:pPr>
      <w:r>
        <w:rPr>
          <w:rFonts w:ascii="Arial" w:cs="Arial" w:eastAsia="Arial" w:hAnsi="Arial"/>
          <w:b/>
          <w:bCs/>
          <w:color w:val="666666"/>
          <w:sz w:val="20"/>
          <w:szCs w:val="20"/>
        </w:rPr>
        <w:t xml:space="preserve">16.  </w:t>
      </w:r>
      <w:r>
        <w:rPr>
          <w:rFonts w:ascii="Arial" w:cs="Arial" w:eastAsia="Arial" w:hAnsi="Arial"/>
          <w:color w:val="666666"/>
          <w:sz w:val="20"/>
          <w:szCs w:val="20"/>
        </w:rPr>
        <w:t xml:space="preserve">Patel AA, Bhatt DL, Bhatt AB, et al. Clonal hematopoiesis and atrial fibrillation: insights into pathophysiology and clinical implications. Curr Opin Cardiol. 2024;39(2):175–183.</w:t>
      </w:r>
    </w:p>
    <w:p>
      <w:pPr>
        <w:spacing w:after="80" w:before="0" w:line="290"/>
        <w:ind w:left="540" w:hanging="540"/>
      </w:pPr>
      <w:r>
        <w:rPr>
          <w:rFonts w:ascii="Arial" w:cs="Arial" w:eastAsia="Arial" w:hAnsi="Arial"/>
          <w:b/>
          <w:bCs/>
          <w:color w:val="666666"/>
          <w:sz w:val="20"/>
          <w:szCs w:val="20"/>
        </w:rPr>
        <w:t xml:space="preserve">17.  </w:t>
      </w:r>
      <w:r>
        <w:rPr>
          <w:rFonts w:ascii="Arial" w:cs="Arial" w:eastAsia="Arial" w:hAnsi="Arial"/>
          <w:color w:val="666666"/>
          <w:sz w:val="20"/>
          <w:szCs w:val="20"/>
        </w:rPr>
        <w:t xml:space="preserve">Tardif JC, Kouz S, Waters DD, et al. Efficacy and safety of low-dose colchicine after myocardial infarction. N Engl J Med. 2019;381(26):2497–2505.</w:t>
      </w:r>
    </w:p>
    <w:p>
      <w:pPr>
        <w:spacing w:after="80" w:before="0" w:line="290"/>
        <w:ind w:left="540" w:hanging="540"/>
      </w:pPr>
      <w:r>
        <w:rPr>
          <w:rFonts w:ascii="Arial" w:cs="Arial" w:eastAsia="Arial" w:hAnsi="Arial"/>
          <w:b/>
          <w:bCs/>
          <w:color w:val="666666"/>
          <w:sz w:val="20"/>
          <w:szCs w:val="20"/>
        </w:rPr>
        <w:t xml:space="preserve">18.  </w:t>
      </w:r>
      <w:r>
        <w:rPr>
          <w:rFonts w:ascii="Arial" w:cs="Arial" w:eastAsia="Arial" w:hAnsi="Arial"/>
          <w:color w:val="666666"/>
          <w:sz w:val="20"/>
          <w:szCs w:val="20"/>
        </w:rPr>
        <w:t xml:space="preserve">Nidorf SM, Fiolet ATL, Mosterd A, et al. Colchicine in patients with chronic coronary disease. N Engl J Med. 2020;383(19):1838–1847.</w:t>
      </w:r>
    </w:p>
    <w:p>
      <w:pPr>
        <w:spacing w:after="80" w:before="0" w:line="290"/>
        <w:ind w:left="540" w:hanging="540"/>
      </w:pPr>
      <w:r>
        <w:rPr>
          <w:rFonts w:ascii="Arial" w:cs="Arial" w:eastAsia="Arial" w:hAnsi="Arial"/>
          <w:b/>
          <w:bCs/>
          <w:color w:val="666666"/>
          <w:sz w:val="20"/>
          <w:szCs w:val="20"/>
        </w:rPr>
        <w:t xml:space="preserve">19.  </w:t>
      </w:r>
      <w:r>
        <w:rPr>
          <w:rFonts w:ascii="Arial" w:cs="Arial" w:eastAsia="Arial" w:hAnsi="Arial"/>
          <w:color w:val="666666"/>
          <w:sz w:val="20"/>
          <w:szCs w:val="20"/>
        </w:rPr>
        <w:t xml:space="preserve">Dorsheimer L, Assmus B, Rasper T, et al. Association of mutations contributing to clonal hematopoiesis with prognosis in chronic ischemic heart failure. JAMA Cardiol. 2019;4(1):25–33.</w:t>
      </w:r>
    </w:p>
    <w:p>
      <w:pPr>
        <w:spacing w:after="80" w:before="0" w:line="290"/>
        <w:ind w:left="540" w:hanging="540"/>
      </w:pPr>
      <w:r>
        <w:rPr>
          <w:rFonts w:ascii="Arial" w:cs="Arial" w:eastAsia="Arial" w:hAnsi="Arial"/>
          <w:b/>
          <w:bCs/>
          <w:color w:val="666666"/>
          <w:sz w:val="20"/>
          <w:szCs w:val="20"/>
        </w:rPr>
        <w:t xml:space="preserve">20.  </w:t>
      </w:r>
      <w:r>
        <w:rPr>
          <w:rFonts w:ascii="Arial" w:cs="Arial" w:eastAsia="Arial" w:hAnsi="Arial"/>
          <w:color w:val="666666"/>
          <w:sz w:val="20"/>
          <w:szCs w:val="20"/>
        </w:rPr>
        <w:t xml:space="preserve">Sano S, Oshima K, Wang Y, et al. Tet2-mediated clonal hematopoiesis accelerates heart failure through a mechanism involving the IL-1β/NLRP3 inflammasome. J Am Coll Cardiol. 2018;71(8):875–886.</w:t>
      </w:r>
    </w:p>
    <w:p>
      <w:pPr>
        <w:spacing w:after="80" w:before="0" w:line="290"/>
        <w:ind w:left="540" w:hanging="540"/>
      </w:pPr>
      <w:r>
        <w:rPr>
          <w:rFonts w:ascii="Arial" w:cs="Arial" w:eastAsia="Arial" w:hAnsi="Arial"/>
          <w:b/>
          <w:bCs/>
          <w:color w:val="666666"/>
          <w:sz w:val="20"/>
          <w:szCs w:val="20"/>
        </w:rPr>
        <w:t xml:space="preserve">21.  </w:t>
      </w:r>
      <w:r>
        <w:rPr>
          <w:rFonts w:ascii="Arial" w:cs="Arial" w:eastAsia="Arial" w:hAnsi="Arial"/>
          <w:color w:val="666666"/>
          <w:sz w:val="20"/>
          <w:szCs w:val="20"/>
        </w:rPr>
        <w:t xml:space="preserve">Bick AG, Pirruccello JP, Griffin GK, et al. Genetic interleukin-6 signaling deficiency attenuates cardiovascular risk in clonal hematopoiesis. Circulation. 2020;141(2):124–131.</w:t>
      </w:r>
    </w:p>
    <w:p>
      <w:pPr>
        <w:spacing w:after="80" w:before="0" w:line="290"/>
        <w:ind w:left="540" w:hanging="540"/>
      </w:pPr>
      <w:r>
        <w:rPr>
          <w:rFonts w:ascii="Arial" w:cs="Arial" w:eastAsia="Arial" w:hAnsi="Arial"/>
          <w:b/>
          <w:bCs/>
          <w:color w:val="666666"/>
          <w:sz w:val="20"/>
          <w:szCs w:val="20"/>
        </w:rPr>
        <w:t xml:space="preserve">22.  </w:t>
      </w:r>
      <w:r>
        <w:rPr>
          <w:rFonts w:ascii="Arial" w:cs="Arial" w:eastAsia="Arial" w:hAnsi="Arial"/>
          <w:color w:val="666666"/>
          <w:sz w:val="20"/>
          <w:szCs w:val="20"/>
        </w:rPr>
        <w:t xml:space="preserve">Honigberg MC, Zekavat SM, Pirruccello JP, et al. Premature menopause, clonal hematopoiesis, and coronary artery disease in postmenopausal women. Circulation. 2021;143(5):410–423.</w:t>
      </w:r>
    </w:p>
    <w:p>
      <w:pPr>
        <w:spacing w:after="80" w:before="0" w:line="290"/>
        <w:ind w:left="540" w:hanging="540"/>
      </w:pPr>
      <w:r>
        <w:rPr>
          <w:rFonts w:ascii="Arial" w:cs="Arial" w:eastAsia="Arial" w:hAnsi="Arial"/>
          <w:b/>
          <w:bCs/>
          <w:color w:val="666666"/>
          <w:sz w:val="20"/>
          <w:szCs w:val="20"/>
        </w:rPr>
        <w:t xml:space="preserve">23.  </w:t>
      </w:r>
      <w:r>
        <w:rPr>
          <w:rFonts w:ascii="Arial" w:cs="Arial" w:eastAsia="Arial" w:hAnsi="Arial"/>
          <w:color w:val="666666"/>
          <w:sz w:val="20"/>
          <w:szCs w:val="20"/>
        </w:rPr>
        <w:t xml:space="preserve">Weeks LD, Niroula A, Neuberg D, et al. Prediction of risk for myeloid malignancy in clonal hematopoiesis. NEJM Evid. 2023;2(5):EVIDoa2200310.</w:t>
      </w:r>
    </w:p>
    <w:p>
      <w:pPr>
        <w:spacing w:after="80" w:before="0" w:line="290"/>
        <w:ind w:left="540" w:hanging="540"/>
      </w:pPr>
      <w:r>
        <w:rPr>
          <w:rFonts w:ascii="Arial" w:cs="Arial" w:eastAsia="Arial" w:hAnsi="Arial"/>
          <w:b/>
          <w:bCs/>
          <w:color w:val="666666"/>
          <w:sz w:val="20"/>
          <w:szCs w:val="20"/>
        </w:rPr>
        <w:t xml:space="preserve">24.  </w:t>
      </w:r>
      <w:r>
        <w:rPr>
          <w:rFonts w:ascii="Arial" w:cs="Arial" w:eastAsia="Arial" w:hAnsi="Arial"/>
          <w:color w:val="666666"/>
          <w:sz w:val="20"/>
          <w:szCs w:val="20"/>
        </w:rPr>
        <w:t xml:space="preserve">Zhao LP, Bhatt DL. Clonal hematopoiesis: a cardiovascular perspective. Curr Cardiol Rep. 2023;25(9):951–962.</w:t>
      </w:r>
    </w:p>
    <w:p>
      <w:pPr>
        <w:spacing w:after="80" w:before="0" w:line="290"/>
        <w:ind w:left="540" w:hanging="540"/>
      </w:pPr>
      <w:r>
        <w:rPr>
          <w:rFonts w:ascii="Arial" w:cs="Arial" w:eastAsia="Arial" w:hAnsi="Arial"/>
          <w:b/>
          <w:bCs/>
          <w:color w:val="666666"/>
          <w:sz w:val="20"/>
          <w:szCs w:val="20"/>
        </w:rPr>
        <w:t xml:space="preserve">25.  </w:t>
      </w:r>
      <w:r>
        <w:rPr>
          <w:rFonts w:ascii="Arial" w:cs="Arial" w:eastAsia="Arial" w:hAnsi="Arial"/>
          <w:color w:val="666666"/>
          <w:sz w:val="20"/>
          <w:szCs w:val="20"/>
        </w:rPr>
        <w:t xml:space="preserve">Niroula A, Sekar A, Murakami MA, et al. Distinction of lymphoid and myeloid clonal hematopoiesis. Nat Med. 2021;27(11):1921–1927.</w:t>
      </w:r>
    </w:p>
    <w:p>
      <w:pPr>
        <w:spacing w:after="80" w:before="0" w:line="290"/>
        <w:ind w:left="540" w:hanging="540"/>
      </w:pPr>
      <w:r>
        <w:rPr>
          <w:rFonts w:ascii="Arial" w:cs="Arial" w:eastAsia="Arial" w:hAnsi="Arial"/>
          <w:b/>
          <w:bCs/>
          <w:color w:val="666666"/>
          <w:sz w:val="20"/>
          <w:szCs w:val="20"/>
        </w:rPr>
        <w:t xml:space="preserve">26.  </w:t>
      </w:r>
      <w:r>
        <w:rPr>
          <w:rFonts w:ascii="Arial" w:cs="Arial" w:eastAsia="Arial" w:hAnsi="Arial"/>
          <w:color w:val="666666"/>
          <w:sz w:val="20"/>
          <w:szCs w:val="20"/>
        </w:rPr>
        <w:t xml:space="preserve">Svensson EC, Madar A, Campbell CD, et al. TET2-driven clonal hematopoiesis and response to canakinumab: an exploratory analysis of the CANTOS randomized clinical trial. JAMA Cardiol. 2022;7(5):521–528.</w:t>
      </w:r>
    </w:p>
    <w:p>
      <w:pPr>
        <w:spacing w:after="80" w:before="0" w:line="290"/>
        <w:ind w:left="540" w:hanging="540"/>
      </w:pPr>
      <w:r>
        <w:rPr>
          <w:rFonts w:ascii="Arial" w:cs="Arial" w:eastAsia="Arial" w:hAnsi="Arial"/>
          <w:b/>
          <w:bCs/>
          <w:color w:val="666666"/>
          <w:sz w:val="20"/>
          <w:szCs w:val="20"/>
        </w:rPr>
        <w:t xml:space="preserve">27.  </w:t>
      </w:r>
      <w:r>
        <w:rPr>
          <w:rFonts w:ascii="Arial" w:cs="Arial" w:eastAsia="Arial" w:hAnsi="Arial"/>
          <w:color w:val="666666"/>
          <w:sz w:val="20"/>
          <w:szCs w:val="20"/>
        </w:rPr>
        <w:t xml:space="preserve">ClinicalTrials.gov. Effects of IL-1 Beta Inhibition on Vascular Inflammation in TET2 Clonal Hematopoiesis. NCT06691217. https://clinicaltrials.gov/study/NCT06691217</w:t>
      </w:r>
    </w:p>
    <w:p>
      <w:pPr>
        <w:spacing w:after="80" w:before="0" w:line="290"/>
        <w:ind w:left="540" w:hanging="540"/>
      </w:pPr>
      <w:r>
        <w:rPr>
          <w:rFonts w:ascii="Arial" w:cs="Arial" w:eastAsia="Arial" w:hAnsi="Arial"/>
          <w:b/>
          <w:bCs/>
          <w:color w:val="666666"/>
          <w:sz w:val="20"/>
          <w:szCs w:val="20"/>
        </w:rPr>
        <w:t xml:space="preserve">28.  </w:t>
      </w:r>
      <w:r>
        <w:rPr>
          <w:rFonts w:ascii="Arial" w:cs="Arial" w:eastAsia="Arial" w:hAnsi="Arial"/>
          <w:color w:val="666666"/>
          <w:sz w:val="20"/>
          <w:szCs w:val="20"/>
        </w:rPr>
        <w:t xml:space="preserve">Malcovati L, Cazzola M. How I manage patients with unexplained cytopenia. Blood. 2025;145(15):1610-1620.</w:t>
      </w:r>
    </w:p>
    <w:p>
      <w:pPr>
        <w:spacing w:after="80" w:before="0" w:line="290"/>
        <w:ind w:left="540" w:hanging="540"/>
      </w:pPr>
      <w:r>
        <w:rPr>
          <w:rFonts w:ascii="Arial" w:cs="Arial" w:eastAsia="Arial" w:hAnsi="Arial"/>
          <w:b/>
          <w:bCs/>
          <w:color w:val="666666"/>
          <w:sz w:val="20"/>
          <w:szCs w:val="20"/>
        </w:rPr>
        <w:t xml:space="preserve">29.  </w:t>
      </w:r>
      <w:r>
        <w:rPr>
          <w:rFonts w:ascii="Arial" w:cs="Arial" w:eastAsia="Arial" w:hAnsi="Arial"/>
          <w:color w:val="666666"/>
          <w:sz w:val="20"/>
          <w:szCs w:val="20"/>
        </w:rPr>
        <w:t xml:space="preserve">Libby P, Oren O, Small AM. Clonal hematopoiesis of indeterminate potential: managing cardiovascular risk. JACC CardioOncol. 2025;7(4):399–410.</w:t>
      </w:r>
    </w:p>
    <w:p>
      <w:pPr>
        <w:spacing w:after="80" w:before="0" w:line="290"/>
        <w:ind w:left="540" w:hanging="540"/>
      </w:pPr>
      <w:r>
        <w:rPr>
          <w:rFonts w:ascii="Arial" w:cs="Arial" w:eastAsia="Arial" w:hAnsi="Arial"/>
          <w:b/>
          <w:bCs/>
          <w:color w:val="666666"/>
          <w:sz w:val="20"/>
          <w:szCs w:val="20"/>
        </w:rPr>
        <w:t xml:space="preserve">30.  </w:t>
      </w:r>
      <w:r>
        <w:rPr>
          <w:rFonts w:ascii="Arial" w:cs="Arial" w:eastAsia="Arial" w:hAnsi="Arial"/>
          <w:color w:val="666666"/>
          <w:sz w:val="20"/>
          <w:szCs w:val="20"/>
        </w:rPr>
        <w:t xml:space="preserve">Florez MA, Tran BT, Wathan TK, et al. Clonal hematopoiesis: mutation-specific adaptation to environmental change. Cell Stem Cell. 2022;29(6):882–904.</w:t>
      </w:r>
    </w:p>
    <w:p>
      <w:pPr>
        <w:spacing w:after="80" w:before="0" w:line="290"/>
        <w:ind w:left="540" w:hanging="540"/>
      </w:pPr>
      <w:r>
        <w:rPr>
          <w:rFonts w:ascii="Arial" w:cs="Arial" w:eastAsia="Arial" w:hAnsi="Arial"/>
          <w:b/>
          <w:bCs/>
          <w:color w:val="666666"/>
          <w:sz w:val="20"/>
          <w:szCs w:val="20"/>
        </w:rPr>
        <w:t xml:space="preserve">31.  </w:t>
      </w:r>
      <w:r>
        <w:rPr>
          <w:rFonts w:ascii="Arial" w:cs="Arial" w:eastAsia="Arial" w:hAnsi="Arial"/>
          <w:color w:val="666666"/>
          <w:sz w:val="20"/>
          <w:szCs w:val="20"/>
        </w:rPr>
        <w:t xml:space="preserve">Leiser CL, Hanson HA, Huang H, et al. Associations between ambient air pollutants and clonal hematopoiesis of indeterminate potential. Cancer Epidemiol Biomarkers Prev. 2023;32(10):1470–1473.</w:t>
      </w:r>
    </w:p>
    <w:p>
      <w:pPr>
        <w:spacing w:after="80" w:before="0" w:line="290"/>
        <w:ind w:left="540" w:hanging="540"/>
      </w:pPr>
      <w:r>
        <w:rPr>
          <w:rFonts w:ascii="Arial" w:cs="Arial" w:eastAsia="Arial" w:hAnsi="Arial"/>
          <w:b/>
          <w:bCs/>
          <w:color w:val="666666"/>
          <w:sz w:val="20"/>
          <w:szCs w:val="20"/>
        </w:rPr>
        <w:t xml:space="preserve">32.  </w:t>
      </w:r>
      <w:r>
        <w:rPr>
          <w:rFonts w:ascii="Arial" w:cs="Arial" w:eastAsia="Arial" w:hAnsi="Arial"/>
          <w:color w:val="666666"/>
          <w:sz w:val="20"/>
          <w:szCs w:val="20"/>
        </w:rPr>
        <w:t xml:space="preserve">Pandey A, Thomas T, Ji Y, et al. TET2-mutant clonal hematopoiesis promotes heart failure with preserved ejection fraction [abstract]. Circulation. 2024;150(suppl 1):Abstract 4144372.</w:t>
      </w:r>
    </w:p>
    <w:p>
      <w:pPr>
        <w:spacing w:after="60" w:before="0"/>
      </w:pPr>
      <w:r>
        <w:t xml:space="preserve"/>
      </w:r>
    </w:p>
    <w:p>
      <w:pPr>
        <w:pBdr>
          <w:top w:val="single" w:color="C8DFF0" w:sz="4" w:space="4"/>
        </w:pBdr>
        <w:spacing w:after="0" w:before="240"/>
      </w:pPr>
      <w:r>
        <w:rPr>
          <w:rFonts w:ascii="Arial" w:cs="Arial" w:eastAsia="Arial" w:hAnsi="Arial"/>
          <w:color w:val="999999"/>
          <w:sz w:val="18"/>
          <w:szCs w:val="18"/>
        </w:rPr>
        <w:t xml:space="preserve">David Comstock, MD  ·  Department of Internal Medicine, Guthrie Lourdes Hospital, Binghamton, NY  ·  May 2026</w:t>
      </w:r>
    </w:p>
    <w:sectPr>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Comstock: CHIP and Cardiovascular Risk (Blood Advances, 2026)   |   p.</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D2137"/>
      <w:sz w:val="26"/>
      <w:szCs w:val="26"/>
    </w:rPr>
  </w:style>
  <w:style w:type="paragraph" w:styleId="Heading2">
    <w:name w:val="Heading 2"/>
    <w:basedOn w:val="Normal"/>
    <w:next w:val="Normal"/>
    <w:qFormat/>
    <w:pPr>
      <w:spacing w:after="100" w:before="260"/>
      <w:outlineLvl w:val="1"/>
    </w:pPr>
    <w:rPr>
      <w:rFonts w:ascii="Arial" w:cs="Arial" w:eastAsia="Arial" w:hAnsi="Arial"/>
      <w:b/>
      <w:bCs/>
      <w:color w:val="028090"/>
      <w:sz w:val="23"/>
      <w:szCs w:val="23"/>
    </w:rPr>
  </w:style>
  <w:style w:type="paragraph" w:styleId="Heading3">
    <w:name w:val="Heading 3"/>
    <w:basedOn w:val="Normal"/>
    <w:next w:val="Normal"/>
    <w:qFormat/>
    <w:pPr>
      <w:spacing w:after="80" w:before="180"/>
      <w:outlineLvl w:val="2"/>
    </w:pPr>
    <w:rPr>
      <w:rFonts w:ascii="Arial" w:cs="Arial" w:eastAsia="Arial" w:hAnsi="Arial"/>
      <w:b/>
      <w:bCs/>
      <w:color w:val="9B23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2026-05-17T21:02:17.098Z</dcterms:created>
  <dcterms:modified xsi:type="dcterms:W3CDTF">2026-05-17T21:02:17.098Z</dcterms:modified>
</cp:coreProperties>
</file>

<file path=docProps/custom.xml><?xml version="1.0" encoding="utf-8"?>
<Properties xmlns="http://schemas.openxmlformats.org/officeDocument/2006/custom-properties" xmlns:vt="http://schemas.openxmlformats.org/officeDocument/2006/docPropsVTypes"/>
</file>