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66666"/>
          <w:sz w:val="20"/>
          <w:szCs w:val="20"/>
        </w:rPr>
        <w:t xml:space="preserve">ANNOTATED READING LIST</w:t>
      </w:r>
    </w:p>
    <w:p>
      <w:pPr>
        <w:pBdr>
          <w:bottom w:val="thick" w:color="028090" w:sz="12" w:space="6"/>
        </w:pBdr>
        <w:spacing w:after="320" w:before="0"/>
      </w:pPr>
      <w:r>
        <w:rPr>
          <w:rFonts w:ascii="Georgia" w:cs="Georgia" w:eastAsia="Georgia" w:hAnsi="Georgia"/>
          <w:b/>
          <w:bCs/>
          <w:color w:val="0D2137"/>
          <w:sz w:val="34"/>
          <w:szCs w:val="34"/>
        </w:rPr>
        <w:t xml:space="preserve">Clonal Hematopoiesis of Indeterminate Potential and Cardiovascular Risk</w:t>
      </w:r>
    </w:p>
    <w:p>
      <w:pPr>
        <w:spacing w:after="80" w:before="160"/>
      </w:pPr>
      <w:r>
        <w:rPr>
          <w:rFonts w:ascii="Arial" w:cs="Arial" w:eastAsia="Arial" w:hAnsi="Arial"/>
          <w:color w:val="666666"/>
          <w:sz w:val="21"/>
          <w:szCs w:val="21"/>
        </w:rPr>
        <w:t xml:space="preserve">Companion reading list for: Comstock DA. Clonal Hematopoiesis of Indeterminate Potential and Cardiovascular Risk: Clinical Implications for the Practicing Internist. Blood Advances. 2026.</w:t>
      </w:r>
    </w:p>
    <w:p>
      <w:pPr>
        <w:spacing w:after="320" w:before="0"/>
      </w:pPr>
      <w:r>
        <w:rPr>
          <w:rFonts w:ascii="Arial" w:cs="Arial" w:eastAsia="Arial" w:hAnsi="Arial"/>
          <w:color w:val="666666"/>
          <w:sz w:val="21"/>
          <w:szCs w:val="21"/>
        </w:rPr>
        <w:t xml:space="preserve">Organized thematically. Each entry includes full citation and a one-line annotation explaining the paper's specific contribution to CHIP cardiovascular medicine.</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  Landmark Epidemiological Studies</w:t>
      </w:r>
    </w:p>
    <w:p>
      <w:pPr>
        <w:spacing w:after="120" w:before="0"/>
      </w:pPr>
      <w:r>
        <w:rPr>
          <w:rFonts w:ascii="Arial" w:cs="Arial" w:eastAsia="Arial" w:hAnsi="Arial"/>
          <w:color w:val="3D3D3D"/>
          <w:sz w:val="21"/>
          <w:szCs w:val="21"/>
        </w:rPr>
        <w:t xml:space="preserve">The papers that established CHIP as a clinical entity and first characterized its disease associations.</w:t>
      </w:r>
    </w:p>
    <w:p>
      <w:pPr>
        <w:spacing w:after="0" w:before="160"/>
        <w:ind w:left="540" w:hanging="540"/>
      </w:pPr>
      <w:r>
        <w:rPr>
          <w:rFonts w:ascii="Arial" w:cs="Arial" w:eastAsia="Arial" w:hAnsi="Arial"/>
          <w:b/>
          <w:bCs/>
          <w:color w:val="0D2137"/>
          <w:sz w:val="21"/>
          <w:szCs w:val="21"/>
        </w:rPr>
        <w:t xml:space="preserve">1.  </w:t>
      </w:r>
      <w:r>
        <w:rPr>
          <w:rFonts w:ascii="Arial" w:cs="Arial" w:eastAsia="Arial" w:hAnsi="Arial"/>
          <w:b w:val="false"/>
          <w:bCs w:val="false"/>
          <w:color w:val="1E1E1E"/>
          <w:sz w:val="21"/>
          <w:szCs w:val="21"/>
        </w:rPr>
        <w:t xml:space="preserve">Jaiswal S, Fontanillas P, Flannick J, et al. Age-related clonal hematopoiesis associated with adverse outcomes. N Engl J Med. 2014;371(26):2488–2498. https://www.nejm.org/doi/full/10.1056/NEJMoa1408617</w:t>
      </w:r>
    </w:p>
    <w:p>
      <w:pPr>
        <w:pBdr>
          <w:left w:val="thick" w:color="C8DFF0" w:sz="12" w:space="6"/>
        </w:pBdr>
        <w:spacing w:after="120" w:before="40"/>
        <w:ind w:left="540"/>
      </w:pPr>
      <w:r>
        <w:rPr>
          <w:rFonts w:ascii="Arial" w:cs="Arial" w:eastAsia="Arial" w:hAnsi="Arial"/>
          <w:color w:val="666666"/>
          <w:sz w:val="20"/>
          <w:szCs w:val="20"/>
        </w:rPr>
        <w:t xml:space="preserve">The founding CHIP paper. Established that somatic driver mutations are common in aging blood (10–20% over age 70), associated with ~10-fold increased hematologic malignancy risk and doubled all-cause mortality: with excess mortality attributable to cardiovascular events, not leukemia.</w:t>
      </w:r>
    </w:p>
    <w:p>
      <w:pPr>
        <w:spacing w:after="0" w:before="160"/>
        <w:ind w:left="540" w:hanging="540"/>
      </w:pPr>
      <w:r>
        <w:rPr>
          <w:rFonts w:ascii="Arial" w:cs="Arial" w:eastAsia="Arial" w:hAnsi="Arial"/>
          <w:b/>
          <w:bCs/>
          <w:color w:val="0D2137"/>
          <w:sz w:val="21"/>
          <w:szCs w:val="21"/>
        </w:rPr>
        <w:t xml:space="preserve">2.  </w:t>
      </w:r>
      <w:r>
        <w:rPr>
          <w:rFonts w:ascii="Arial" w:cs="Arial" w:eastAsia="Arial" w:hAnsi="Arial"/>
          <w:b w:val="false"/>
          <w:bCs w:val="false"/>
          <w:color w:val="1E1E1E"/>
          <w:sz w:val="21"/>
          <w:szCs w:val="21"/>
        </w:rPr>
        <w:t xml:space="preserve">Genovese G, Kähler AK, Handsaker RE, et al. Clonal hematopoiesis and blood-cancer risk inferred from blood DNA sequence. N Engl J Med. 2014;371(26):2477–2487. https://www.nejm.org/doi/full/10.1056/NEJMoa1409405</w:t>
      </w:r>
    </w:p>
    <w:p>
      <w:pPr>
        <w:pBdr>
          <w:left w:val="thick" w:color="C8DFF0" w:sz="12" w:space="6"/>
        </w:pBdr>
        <w:spacing w:after="120" w:before="40"/>
        <w:ind w:left="540"/>
      </w:pPr>
      <w:r>
        <w:rPr>
          <w:rFonts w:ascii="Arial" w:cs="Arial" w:eastAsia="Arial" w:hAnsi="Arial"/>
          <w:color w:val="666666"/>
          <w:sz w:val="20"/>
          <w:szCs w:val="20"/>
        </w:rPr>
        <w:t xml:space="preserve">Published simultaneously with Jaiswal 2014 in the same NEJM issue; independent replication across Swedish cohorts establishing blood-cancer risk, clonal evolution dynamics, and the reproducibility of the CHIP finding.</w:t>
      </w:r>
    </w:p>
    <w:p>
      <w:pPr>
        <w:spacing w:after="0" w:before="160"/>
        <w:ind w:left="540" w:hanging="540"/>
      </w:pPr>
      <w:r>
        <w:rPr>
          <w:rFonts w:ascii="Arial" w:cs="Arial" w:eastAsia="Arial" w:hAnsi="Arial"/>
          <w:b/>
          <w:bCs/>
          <w:color w:val="0D2137"/>
          <w:sz w:val="21"/>
          <w:szCs w:val="21"/>
        </w:rPr>
        <w:t xml:space="preserve">3.  </w:t>
      </w:r>
      <w:r>
        <w:rPr>
          <w:rFonts w:ascii="Arial" w:cs="Arial" w:eastAsia="Arial" w:hAnsi="Arial"/>
          <w:b w:val="false"/>
          <w:bCs w:val="false"/>
          <w:color w:val="1E1E1E"/>
          <w:sz w:val="21"/>
          <w:szCs w:val="21"/>
        </w:rPr>
        <w:t xml:space="preserve">Steensma DP, Bejar R, Jaiswal S, et al. Clonal hematopoiesis of indeterminate potential and its distinction from myelodysplastic syndromes. Blood. 2015;126(1):9–16.</w:t>
      </w:r>
    </w:p>
    <w:p>
      <w:pPr>
        <w:pBdr>
          <w:left w:val="thick" w:color="C8DFF0" w:sz="12" w:space="6"/>
        </w:pBdr>
        <w:spacing w:after="120" w:before="40"/>
        <w:ind w:left="540"/>
      </w:pPr>
      <w:r>
        <w:rPr>
          <w:rFonts w:ascii="Arial" w:cs="Arial" w:eastAsia="Arial" w:hAnsi="Arial"/>
          <w:color w:val="666666"/>
          <w:sz w:val="20"/>
          <w:szCs w:val="20"/>
        </w:rPr>
        <w:t xml:space="preserve">The paper that coined the term CHIP and established the formal diagnostic criteria: VAF ≥2%, no cytopenias, no dysplasia: providing the clinical vocabulary the field now uses.</w:t>
      </w:r>
    </w:p>
    <w:p>
      <w:pPr>
        <w:spacing w:after="0" w:before="160"/>
        <w:ind w:left="540" w:hanging="540"/>
      </w:pPr>
      <w:r>
        <w:rPr>
          <w:rFonts w:ascii="Arial" w:cs="Arial" w:eastAsia="Arial" w:hAnsi="Arial"/>
          <w:b/>
          <w:bCs/>
          <w:color w:val="0D2137"/>
          <w:sz w:val="21"/>
          <w:szCs w:val="21"/>
        </w:rPr>
        <w:t xml:space="preserve">4.  </w:t>
      </w:r>
      <w:r>
        <w:rPr>
          <w:rFonts w:ascii="Arial" w:cs="Arial" w:eastAsia="Arial" w:hAnsi="Arial"/>
          <w:b w:val="false"/>
          <w:bCs w:val="false"/>
          <w:color w:val="1E1E1E"/>
          <w:sz w:val="21"/>
          <w:szCs w:val="21"/>
        </w:rPr>
        <w:t xml:space="preserve">Jaiswal S, Natarajan P, Silver AJ, et al. Clonal hematopoiesis and risk of atherosclerotic cardiovascular disease. N Engl J Med. 2017;377(2):111–121.</w:t>
      </w:r>
    </w:p>
    <w:p>
      <w:pPr>
        <w:pBdr>
          <w:left w:val="thick" w:color="C8DFF0" w:sz="12" w:space="6"/>
        </w:pBdr>
        <w:spacing w:after="120" w:before="40"/>
        <w:ind w:left="540"/>
      </w:pPr>
      <w:r>
        <w:rPr>
          <w:rFonts w:ascii="Arial" w:cs="Arial" w:eastAsia="Arial" w:hAnsi="Arial"/>
          <w:color w:val="666666"/>
          <w:sz w:val="20"/>
          <w:szCs w:val="20"/>
        </w:rPr>
        <w:t xml:space="preserve">Established CHIP as an independent cardiovascular risk factor: 1.9-fold increased coronary artery disease risk across four prospective cohorts, independent of traditional risk factors, with the association driven by TET2 and DNMT3A at VAF ≥10%.</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II.  Molecular Mechanisms of Cardiovascular Risk</w:t>
      </w:r>
    </w:p>
    <w:p>
      <w:pPr>
        <w:spacing w:after="120" w:before="0"/>
      </w:pPr>
      <w:r>
        <w:rPr>
          <w:rFonts w:ascii="Arial" w:cs="Arial" w:eastAsia="Arial" w:hAnsi="Arial"/>
          <w:color w:val="3D3D3D"/>
          <w:sz w:val="21"/>
          <w:szCs w:val="21"/>
        </w:rPr>
        <w:t xml:space="preserve">Key mechanistic papers establishing causality and gene-specific pathways.</w:t>
      </w:r>
    </w:p>
    <w:p>
      <w:pPr>
        <w:spacing w:after="0" w:before="160"/>
        <w:ind w:left="540" w:hanging="540"/>
      </w:pPr>
      <w:r>
        <w:rPr>
          <w:rFonts w:ascii="Arial" w:cs="Arial" w:eastAsia="Arial" w:hAnsi="Arial"/>
          <w:b/>
          <w:bCs/>
          <w:color w:val="0D2137"/>
          <w:sz w:val="21"/>
          <w:szCs w:val="21"/>
        </w:rPr>
        <w:t xml:space="preserve">5.  </w:t>
      </w:r>
      <w:r>
        <w:rPr>
          <w:rFonts w:ascii="Arial" w:cs="Arial" w:eastAsia="Arial" w:hAnsi="Arial"/>
          <w:b w:val="false"/>
          <w:bCs w:val="false"/>
          <w:color w:val="1E1E1E"/>
          <w:sz w:val="21"/>
          <w:szCs w:val="21"/>
        </w:rPr>
        <w:t xml:space="preserve">Fuster JJ, MacLauchlan S, Zuriaga MA, et al. Clonal hematopoiesis associated with TET2 deficiency accelerates atherosclerosis development in mice. Science. 2017;355(6327):842–847.</w:t>
      </w:r>
    </w:p>
    <w:p>
      <w:pPr>
        <w:pBdr>
          <w:left w:val="thick" w:color="C8DFF0" w:sz="12" w:space="6"/>
        </w:pBdr>
        <w:spacing w:after="120" w:before="40"/>
        <w:ind w:left="540"/>
      </w:pPr>
      <w:r>
        <w:rPr>
          <w:rFonts w:ascii="Arial" w:cs="Arial" w:eastAsia="Arial" w:hAnsi="Arial"/>
          <w:color w:val="666666"/>
          <w:sz w:val="20"/>
          <w:szCs w:val="20"/>
        </w:rPr>
        <w:t xml:space="preserve">Landmark causal study: TET2-deficient HSCs transplanted into LDLR-null mice accelerate atherosclerosis through NLRP3 inflammasome hyperactivation and IL-1β hypersecretion: directly establishing the mechanism linking TET2-CHIP to atherosclerotic CVD.</w:t>
      </w:r>
    </w:p>
    <w:p>
      <w:pPr>
        <w:spacing w:after="0" w:before="160"/>
        <w:ind w:left="540" w:hanging="540"/>
      </w:pPr>
      <w:r>
        <w:rPr>
          <w:rFonts w:ascii="Arial" w:cs="Arial" w:eastAsia="Arial" w:hAnsi="Arial"/>
          <w:b/>
          <w:bCs/>
          <w:color w:val="0D2137"/>
          <w:sz w:val="21"/>
          <w:szCs w:val="21"/>
        </w:rPr>
        <w:t xml:space="preserve">6.  </w:t>
      </w:r>
      <w:r>
        <w:rPr>
          <w:rFonts w:ascii="Arial" w:cs="Arial" w:eastAsia="Arial" w:hAnsi="Arial"/>
          <w:b w:val="false"/>
          <w:bCs w:val="false"/>
          <w:color w:val="1E1E1E"/>
          <w:sz w:val="21"/>
          <w:szCs w:val="21"/>
        </w:rPr>
        <w:t xml:space="preserve">Heyde A, Rohde D, McAlpine CS, et al. Increased stem cell proliferation in atherosclerosis accelerates clonal hematopoiesis. Cell. 2021;184(5):1348–1361.e22.</w:t>
      </w:r>
    </w:p>
    <w:p>
      <w:pPr>
        <w:pBdr>
          <w:left w:val="thick" w:color="C8DFF0" w:sz="12" w:space="6"/>
        </w:pBdr>
        <w:spacing w:after="120" w:before="40"/>
        <w:ind w:left="540"/>
      </w:pPr>
      <w:r>
        <w:rPr>
          <w:rFonts w:ascii="Arial" w:cs="Arial" w:eastAsia="Arial" w:hAnsi="Arial"/>
          <w:color w:val="666666"/>
          <w:sz w:val="20"/>
          <w:szCs w:val="20"/>
        </w:rPr>
        <w:t xml:space="preserve">Demonstrated the reciprocal relationship: myocardial infarction drives emergency hematopoiesis that selectively expands TET2-mutant HSC clones, creating a feedback loop in which cardiovascular disease and CHIP mutually amplify each other.</w:t>
      </w:r>
    </w:p>
    <w:p>
      <w:pPr>
        <w:spacing w:after="0" w:before="160"/>
        <w:ind w:left="540" w:hanging="540"/>
      </w:pPr>
      <w:r>
        <w:rPr>
          <w:rFonts w:ascii="Arial" w:cs="Arial" w:eastAsia="Arial" w:hAnsi="Arial"/>
          <w:b/>
          <w:bCs/>
          <w:color w:val="0D2137"/>
          <w:sz w:val="21"/>
          <w:szCs w:val="21"/>
        </w:rPr>
        <w:t xml:space="preserve">7.  </w:t>
      </w:r>
      <w:r>
        <w:rPr>
          <w:rFonts w:ascii="Arial" w:cs="Arial" w:eastAsia="Arial" w:hAnsi="Arial"/>
          <w:b w:val="false"/>
          <w:bCs w:val="false"/>
          <w:color w:val="1E1E1E"/>
          <w:sz w:val="21"/>
          <w:szCs w:val="21"/>
        </w:rPr>
        <w:t xml:space="preserve">Sano S, Oshima K, Wang Y, et al. Tet2-mediated clonal hematopoiesis accelerates heart failure through a mechanism involving the IL-1β/NLRP3 inflammasome. J Am Coll Cardiol. 2018;71(8):875–886.</w:t>
      </w:r>
    </w:p>
    <w:p>
      <w:pPr>
        <w:pBdr>
          <w:left w:val="thick" w:color="C8DFF0" w:sz="12" w:space="6"/>
        </w:pBdr>
        <w:spacing w:after="120" w:before="40"/>
        <w:ind w:left="540"/>
      </w:pPr>
      <w:r>
        <w:rPr>
          <w:rFonts w:ascii="Arial" w:cs="Arial" w:eastAsia="Arial" w:hAnsi="Arial"/>
          <w:color w:val="666666"/>
          <w:sz w:val="20"/>
          <w:szCs w:val="20"/>
        </w:rPr>
        <w:t xml:space="preserve">First mechanistic paper linking TET2-CHIP to heart failure; demonstrated that TET2-deficient bone marrow transplants accelerate cardiac dysfunction and hypertrophy through IL-1β/NLRP3 signaling in cardiac macrophages.</w:t>
      </w:r>
    </w:p>
    <w:p>
      <w:pPr>
        <w:spacing w:after="0" w:before="160"/>
        <w:ind w:left="540" w:hanging="540"/>
      </w:pPr>
      <w:r>
        <w:rPr>
          <w:rFonts w:ascii="Arial" w:cs="Arial" w:eastAsia="Arial" w:hAnsi="Arial"/>
          <w:b/>
          <w:bCs/>
          <w:color w:val="0D2137"/>
          <w:sz w:val="21"/>
          <w:szCs w:val="21"/>
        </w:rPr>
        <w:t xml:space="preserve">8.  </w:t>
      </w:r>
      <w:r>
        <w:rPr>
          <w:rFonts w:ascii="Arial" w:cs="Arial" w:eastAsia="Arial" w:hAnsi="Arial"/>
          <w:b w:val="false"/>
          <w:bCs w:val="false"/>
          <w:color w:val="1E1E1E"/>
          <w:sz w:val="21"/>
          <w:szCs w:val="21"/>
        </w:rPr>
        <w:t xml:space="preserve">Bick AG, Pirruccello JP, Griffin GK, et al. Genetic interleukin-6 signaling deficiency attenuates cardiovascular risk in clonal hematopoiesis. Circulation. 2020;141(2):124–131.</w:t>
      </w:r>
    </w:p>
    <w:p>
      <w:pPr>
        <w:pBdr>
          <w:left w:val="thick" w:color="C8DFF0" w:sz="12" w:space="6"/>
        </w:pBdr>
        <w:spacing w:after="120" w:before="40"/>
        <w:ind w:left="540"/>
      </w:pPr>
      <w:r>
        <w:rPr>
          <w:rFonts w:ascii="Arial" w:cs="Arial" w:eastAsia="Arial" w:hAnsi="Arial"/>
          <w:color w:val="666666"/>
          <w:sz w:val="20"/>
          <w:szCs w:val="20"/>
        </w:rPr>
        <w:t xml:space="preserve">Mendelian randomization study showing that genetic attenuation of IL-6 signaling preferentially reduces cardiovascular risk in CHIP carriers: supporting the mechanistic centrality of the IL-6/NLRP3 inflammatory axis and the rationale for anti-inflammatory therapy.</w:t>
      </w:r>
    </w:p>
    <w:p>
      <w:pPr>
        <w:spacing w:after="0" w:before="160"/>
        <w:ind w:left="540" w:hanging="540"/>
      </w:pPr>
      <w:r>
        <w:rPr>
          <w:rFonts w:ascii="Arial" w:cs="Arial" w:eastAsia="Arial" w:hAnsi="Arial"/>
          <w:b/>
          <w:bCs/>
          <w:color w:val="0D2137"/>
          <w:sz w:val="21"/>
          <w:szCs w:val="21"/>
        </w:rPr>
        <w:t xml:space="preserve">9.  </w:t>
      </w:r>
      <w:r>
        <w:rPr>
          <w:rFonts w:ascii="Arial" w:cs="Arial" w:eastAsia="Arial" w:hAnsi="Arial"/>
          <w:b w:val="false"/>
          <w:bCs w:val="false"/>
          <w:color w:val="1E1E1E"/>
          <w:sz w:val="21"/>
          <w:szCs w:val="21"/>
        </w:rPr>
        <w:t xml:space="preserve">Florez MA, Tran BT, Wathan TK, et al. Clonal hematopoiesis: mutation-specific adaptation to environmental change. Cell Stem Cell. 2022;29(6):882–904.</w:t>
      </w:r>
    </w:p>
    <w:p>
      <w:pPr>
        <w:pBdr>
          <w:left w:val="thick" w:color="C8DFF0" w:sz="12" w:space="6"/>
        </w:pBdr>
        <w:spacing w:after="120" w:before="40"/>
        <w:ind w:left="540"/>
      </w:pPr>
      <w:r>
        <w:rPr>
          <w:rFonts w:ascii="Arial" w:cs="Arial" w:eastAsia="Arial" w:hAnsi="Arial"/>
          <w:color w:val="666666"/>
          <w:sz w:val="20"/>
          <w:szCs w:val="20"/>
        </w:rPr>
        <w:t xml:space="preserve">Established that environmental stressors exert mutation-specific selective pressure: inflammation preferentially expands TET2 and DNMT3A clones; genotoxic stress (chemotherapy, radiation) favors TP53/PPM1D. Essential for understanding occupational and environmental CHIP risk.</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III.  Clinical Cardiovascular Outcomes</w:t>
      </w:r>
    </w:p>
    <w:p>
      <w:pPr>
        <w:spacing w:after="120" w:before="0"/>
      </w:pPr>
      <w:r>
        <w:rPr>
          <w:rFonts w:ascii="Arial" w:cs="Arial" w:eastAsia="Arial" w:hAnsi="Arial"/>
          <w:color w:val="3D3D3D"/>
          <w:sz w:val="21"/>
          <w:szCs w:val="21"/>
        </w:rPr>
        <w:t xml:space="preserve">Outcome data across cardiovascular phenotypes: coronary artery disease, heart failure, atrial fibrillation.</w:t>
      </w:r>
    </w:p>
    <w:p>
      <w:pPr>
        <w:pStyle w:val="Heading2"/>
        <w:spacing w:after="80" w:before="260"/>
      </w:pPr>
      <w:r>
        <w:rPr>
          <w:rFonts w:ascii="Arial" w:cs="Arial" w:eastAsia="Arial" w:hAnsi="Arial"/>
          <w:b/>
          <w:bCs/>
          <w:color w:val="028090"/>
          <w:sz w:val="23"/>
          <w:szCs w:val="23"/>
        </w:rPr>
        <w:t xml:space="preserve">Coronary Artery Disease and Myocardial Infarction</w:t>
      </w:r>
    </w:p>
    <w:p>
      <w:pPr>
        <w:spacing w:after="0" w:before="160"/>
        <w:ind w:left="540" w:hanging="540"/>
      </w:pPr>
      <w:r>
        <w:rPr>
          <w:rFonts w:ascii="Arial" w:cs="Arial" w:eastAsia="Arial" w:hAnsi="Arial"/>
          <w:b/>
          <w:bCs/>
          <w:color w:val="0D2137"/>
          <w:sz w:val="21"/>
          <w:szCs w:val="21"/>
        </w:rPr>
        <w:t xml:space="preserve">10.  </w:t>
      </w:r>
      <w:r>
        <w:rPr>
          <w:rFonts w:ascii="Arial" w:cs="Arial" w:eastAsia="Arial" w:hAnsi="Arial"/>
          <w:b w:val="false"/>
          <w:bCs w:val="false"/>
          <w:color w:val="1E1E1E"/>
          <w:sz w:val="21"/>
          <w:szCs w:val="21"/>
        </w:rPr>
        <w:t xml:space="preserve">Rauch PJ, Bhatt DL. Clonal hematopoiesis as a risk factor for myocardial infarction and stroke. Curr Opin Cardiol. 2020;35(5):524–530.</w:t>
      </w:r>
    </w:p>
    <w:p>
      <w:pPr>
        <w:pBdr>
          <w:left w:val="thick" w:color="C8DFF0" w:sz="12" w:space="6"/>
        </w:pBdr>
        <w:spacing w:after="120" w:before="40"/>
        <w:ind w:left="540"/>
      </w:pPr>
      <w:r>
        <w:rPr>
          <w:rFonts w:ascii="Arial" w:cs="Arial" w:eastAsia="Arial" w:hAnsi="Arial"/>
          <w:color w:val="666666"/>
          <w:sz w:val="20"/>
          <w:szCs w:val="20"/>
        </w:rPr>
        <w:t xml:space="preserve">Review establishing that CHIP is enriched in patients who have experienced MI versus age-matched controls, consistent with the bidirectional CHIP-MI amplification loop; summarizes the observational cardiovascular outcome data in clinical context.</w:t>
      </w:r>
    </w:p>
    <w:p>
      <w:pPr>
        <w:spacing w:after="0" w:before="160"/>
        <w:ind w:left="540" w:hanging="540"/>
      </w:pPr>
      <w:r>
        <w:rPr>
          <w:rFonts w:ascii="Arial" w:cs="Arial" w:eastAsia="Arial" w:hAnsi="Arial"/>
          <w:b/>
          <w:bCs/>
          <w:color w:val="0D2137"/>
          <w:sz w:val="21"/>
          <w:szCs w:val="21"/>
        </w:rPr>
        <w:t xml:space="preserve">11.  </w:t>
      </w:r>
      <w:r>
        <w:rPr>
          <w:rFonts w:ascii="Arial" w:cs="Arial" w:eastAsia="Arial" w:hAnsi="Arial"/>
          <w:b w:val="false"/>
          <w:bCs w:val="false"/>
          <w:color w:val="1E1E1E"/>
          <w:sz w:val="21"/>
          <w:szCs w:val="21"/>
        </w:rPr>
        <w:t xml:space="preserve">Honigberg MC, Zekavat SM, Pirruccello JP, et al. Premature menopause, clonal hematopoiesis, and coronary artery disease in postmenopausal women. Circulation. 2021;143(5):410–423.</w:t>
      </w:r>
    </w:p>
    <w:p>
      <w:pPr>
        <w:pBdr>
          <w:left w:val="thick" w:color="C8DFF0" w:sz="12" w:space="6"/>
        </w:pBdr>
        <w:spacing w:after="120" w:before="40"/>
        <w:ind w:left="540"/>
      </w:pPr>
      <w:r>
        <w:rPr>
          <w:rFonts w:ascii="Arial" w:cs="Arial" w:eastAsia="Arial" w:hAnsi="Arial"/>
          <w:color w:val="666666"/>
          <w:sz w:val="20"/>
          <w:szCs w:val="20"/>
        </w:rPr>
        <w:t xml:space="preserve">Demonstrated that premature menopause accelerates CHIP clonal expansion and that CHIP mediates a portion of the excess coronary artery disease risk in this population: establishing CHIP as a mechanistic link between inflammation and premature cardiovascular aging.</w:t>
      </w:r>
    </w:p>
    <w:p>
      <w:pPr>
        <w:pStyle w:val="Heading2"/>
        <w:spacing w:after="80" w:before="260"/>
      </w:pPr>
      <w:r>
        <w:rPr>
          <w:rFonts w:ascii="Arial" w:cs="Arial" w:eastAsia="Arial" w:hAnsi="Arial"/>
          <w:b/>
          <w:bCs/>
          <w:color w:val="028090"/>
          <w:sz w:val="23"/>
          <w:szCs w:val="23"/>
        </w:rPr>
        <w:t xml:space="preserve">Heart Failure</w:t>
      </w:r>
    </w:p>
    <w:p>
      <w:pPr>
        <w:spacing w:after="0" w:before="160"/>
        <w:ind w:left="540" w:hanging="540"/>
      </w:pPr>
      <w:r>
        <w:rPr>
          <w:rFonts w:ascii="Arial" w:cs="Arial" w:eastAsia="Arial" w:hAnsi="Arial"/>
          <w:b/>
          <w:bCs/>
          <w:color w:val="0D2137"/>
          <w:sz w:val="21"/>
          <w:szCs w:val="21"/>
        </w:rPr>
        <w:t xml:space="preserve">12.  </w:t>
      </w:r>
      <w:r>
        <w:rPr>
          <w:rFonts w:ascii="Arial" w:cs="Arial" w:eastAsia="Arial" w:hAnsi="Arial"/>
          <w:b w:val="false"/>
          <w:bCs w:val="false"/>
          <w:color w:val="1E1E1E"/>
          <w:sz w:val="21"/>
          <w:szCs w:val="21"/>
        </w:rPr>
        <w:t xml:space="preserve">Yu B, Roberts MB, Raffield LM, et al. Supplemental association of clonal hematopoiesis with incident heart failure. J Am Coll Cardiol. 2021;78(1):42–52.</w:t>
      </w:r>
    </w:p>
    <w:p>
      <w:pPr>
        <w:pBdr>
          <w:left w:val="thick" w:color="C8DFF0" w:sz="12" w:space="6"/>
        </w:pBdr>
        <w:spacing w:after="120" w:before="40"/>
        <w:ind w:left="540"/>
      </w:pPr>
      <w:r>
        <w:rPr>
          <w:rFonts w:ascii="Arial" w:cs="Arial" w:eastAsia="Arial" w:hAnsi="Arial"/>
          <w:color w:val="666666"/>
          <w:sz w:val="20"/>
          <w:szCs w:val="20"/>
        </w:rPr>
        <w:t xml:space="preserve">TOPMed cohort study establishing a 30% increase in incident heart failure hospitalization associated with CHIP across a large, racially diverse sample: the foundational epidemiological study linking CHIP to heart failure as a clinical outcome.</w:t>
      </w:r>
    </w:p>
    <w:p>
      <w:pPr>
        <w:spacing w:after="0" w:before="160"/>
        <w:ind w:left="540" w:hanging="540"/>
      </w:pPr>
      <w:r>
        <w:rPr>
          <w:rFonts w:ascii="Arial" w:cs="Arial" w:eastAsia="Arial" w:hAnsi="Arial"/>
          <w:b/>
          <w:bCs/>
          <w:color w:val="0D2137"/>
          <w:sz w:val="21"/>
          <w:szCs w:val="21"/>
        </w:rPr>
        <w:t xml:space="preserve">13.  </w:t>
      </w:r>
      <w:r>
        <w:rPr>
          <w:rFonts w:ascii="Arial" w:cs="Arial" w:eastAsia="Arial" w:hAnsi="Arial"/>
          <w:b w:val="false"/>
          <w:bCs w:val="false"/>
          <w:color w:val="1E1E1E"/>
          <w:sz w:val="21"/>
          <w:szCs w:val="21"/>
        </w:rPr>
        <w:t xml:space="preserve">Assmus B, Cremer S, Röver C, et al. Clonal haematopoiesis in chronic ischaemic heart failure: prognostic role of clone size for DNMT3A- and TET2-driver gene mutations. Eur Heart J. 2021;42(3):257–265.</w:t>
      </w:r>
    </w:p>
    <w:p>
      <w:pPr>
        <w:pBdr>
          <w:left w:val="thick" w:color="C8DFF0" w:sz="12" w:space="6"/>
        </w:pBdr>
        <w:spacing w:after="120" w:before="40"/>
        <w:ind w:left="540"/>
      </w:pPr>
      <w:r>
        <w:rPr>
          <w:rFonts w:ascii="Arial" w:cs="Arial" w:eastAsia="Arial" w:hAnsi="Arial"/>
          <w:color w:val="666666"/>
          <w:sz w:val="20"/>
          <w:szCs w:val="20"/>
        </w:rPr>
        <w:t xml:space="preserve">In chronic ischemic heart failure patients, larger DNMT3A and TET2 clone size (VAF) independently predicted mortality and heart failure hospitalization beyond natriuretic peptides: demonstrating VAF as a clinically meaningful prognostic modifier in established disease.</w:t>
      </w:r>
    </w:p>
    <w:p>
      <w:pPr>
        <w:spacing w:after="0" w:before="160"/>
        <w:ind w:left="540" w:hanging="540"/>
      </w:pPr>
      <w:r>
        <w:rPr>
          <w:rFonts w:ascii="Arial" w:cs="Arial" w:eastAsia="Arial" w:hAnsi="Arial"/>
          <w:b/>
          <w:bCs/>
          <w:color w:val="0D2137"/>
          <w:sz w:val="21"/>
          <w:szCs w:val="21"/>
        </w:rPr>
        <w:t xml:space="preserve">14.  </w:t>
      </w:r>
      <w:r>
        <w:rPr>
          <w:rFonts w:ascii="Arial" w:cs="Arial" w:eastAsia="Arial" w:hAnsi="Arial"/>
          <w:b w:val="false"/>
          <w:bCs w:val="false"/>
          <w:color w:val="1E1E1E"/>
          <w:sz w:val="21"/>
          <w:szCs w:val="21"/>
        </w:rPr>
        <w:t xml:space="preserve">Dorsheimer L, Assmus B, Rasper T, et al. Association of mutations contributing to clonal hematopoiesis with prognosis in chronic ischemic heart failure. JAMA Cardiol. 2019;4(1):25–33.</w:t>
      </w:r>
    </w:p>
    <w:p>
      <w:pPr>
        <w:pBdr>
          <w:left w:val="thick" w:color="C8DFF0" w:sz="12" w:space="6"/>
        </w:pBdr>
        <w:spacing w:after="120" w:before="40"/>
        <w:ind w:left="540"/>
      </w:pPr>
      <w:r>
        <w:rPr>
          <w:rFonts w:ascii="Arial" w:cs="Arial" w:eastAsia="Arial" w:hAnsi="Arial"/>
          <w:color w:val="666666"/>
          <w:sz w:val="20"/>
          <w:szCs w:val="20"/>
        </w:rPr>
        <w:t xml:space="preserve">Earlier JAMA Cardiology paper from the Assmus group establishing the CHIP-heart failure prognosis signal in a German chronic heart failure cohort; laid the groundwork for the 2021 Eur Heart J paper.</w:t>
      </w:r>
    </w:p>
    <w:p>
      <w:pPr>
        <w:spacing w:after="0" w:before="160"/>
        <w:ind w:left="540" w:hanging="540"/>
      </w:pPr>
      <w:r>
        <w:rPr>
          <w:rFonts w:ascii="Arial" w:cs="Arial" w:eastAsia="Arial" w:hAnsi="Arial"/>
          <w:b/>
          <w:bCs/>
          <w:color w:val="0D2137"/>
          <w:sz w:val="21"/>
          <w:szCs w:val="21"/>
        </w:rPr>
        <w:t xml:space="preserve">15.  </w:t>
      </w:r>
      <w:r>
        <w:rPr>
          <w:rFonts w:ascii="Arial" w:cs="Arial" w:eastAsia="Arial" w:hAnsi="Arial"/>
          <w:b w:val="false"/>
          <w:bCs w:val="false"/>
          <w:color w:val="1E1E1E"/>
          <w:sz w:val="21"/>
          <w:szCs w:val="21"/>
        </w:rPr>
        <w:t xml:space="preserve">Schuermans A, Honigberg MC, Raffield LM, et al. Clonal hematopoiesis and incident heart failure with preserved ejection fraction. JAMA Netw Open. 2024;7(1):e2353244.</w:t>
      </w:r>
    </w:p>
    <w:p>
      <w:pPr>
        <w:pBdr>
          <w:left w:val="thick" w:color="C8DFF0" w:sz="12" w:space="6"/>
        </w:pBdr>
        <w:spacing w:after="120" w:before="40"/>
        <w:ind w:left="540"/>
      </w:pPr>
      <w:r>
        <w:rPr>
          <w:rFonts w:ascii="Arial" w:cs="Arial" w:eastAsia="Arial" w:hAnsi="Arial"/>
          <w:color w:val="666666"/>
          <w:sz w:val="20"/>
          <w:szCs w:val="20"/>
        </w:rPr>
        <w:t xml:space="preserve">Gene-specific finding: TET2-CHIP (not DNMT3A-CHIP) was independently associated with incident HFpEF with meta-analyzed HR 2.35 (95% CI, 1.34–4.11) across JHS and WHI cohorts; the association was strongest in patients with CRP ≥2 mg/L: implicating the inflammatory pathway.</w:t>
      </w:r>
    </w:p>
    <w:p>
      <w:pPr>
        <w:spacing w:after="0" w:before="160"/>
        <w:ind w:left="540" w:hanging="540"/>
      </w:pPr>
      <w:r>
        <w:rPr>
          <w:rFonts w:ascii="Arial" w:cs="Arial" w:eastAsia="Arial" w:hAnsi="Arial"/>
          <w:b/>
          <w:bCs/>
          <w:color w:val="0D2137"/>
          <w:sz w:val="21"/>
          <w:szCs w:val="21"/>
        </w:rPr>
        <w:t xml:space="preserve">16.  </w:t>
      </w:r>
      <w:r>
        <w:rPr>
          <w:rFonts w:ascii="Arial" w:cs="Arial" w:eastAsia="Arial" w:hAnsi="Arial"/>
          <w:b w:val="false"/>
          <w:bCs w:val="false"/>
          <w:color w:val="1E1E1E"/>
          <w:sz w:val="21"/>
          <w:szCs w:val="21"/>
        </w:rPr>
        <w:t xml:space="preserve">Pandey A, Thomas T, Ji Y, et al. TET2-mutant clonal hematopoiesis promotes heart failure with preserved ejection fraction [abstract]. Circulation. 2024;150(suppl 1):Abstract 4144372.</w:t>
      </w:r>
    </w:p>
    <w:p>
      <w:pPr>
        <w:pBdr>
          <w:left w:val="thick" w:color="C8DFF0" w:sz="12" w:space="6"/>
        </w:pBdr>
        <w:spacing w:after="120" w:before="40"/>
        <w:ind w:left="540"/>
      </w:pPr>
      <w:r>
        <w:rPr>
          <w:rFonts w:ascii="Arial" w:cs="Arial" w:eastAsia="Arial" w:hAnsi="Arial"/>
          <w:color w:val="666666"/>
          <w:sz w:val="20"/>
          <w:szCs w:val="20"/>
        </w:rPr>
        <w:t xml:space="preserve">AHA 2024 abstract: CHIP prevalence 25% in HFpEF patients versus lower in matched controls; TET2 the most frequently mutated gene; CHIP associated with HF hospitalization and mortality in TOPCAT cohort (HR 2.07); mechanistic validation in Tet2 knockout mouse HFpEF model showing NLRP3/IL-1β specificity.</w:t>
      </w:r>
    </w:p>
    <w:p>
      <w:pPr>
        <w:pStyle w:val="Heading2"/>
        <w:spacing w:after="80" w:before="260"/>
      </w:pPr>
      <w:r>
        <w:rPr>
          <w:rFonts w:ascii="Arial" w:cs="Arial" w:eastAsia="Arial" w:hAnsi="Arial"/>
          <w:b/>
          <w:bCs/>
          <w:color w:val="028090"/>
          <w:sz w:val="23"/>
          <w:szCs w:val="23"/>
        </w:rPr>
        <w:t xml:space="preserve">Atrial Fibrillation</w:t>
      </w:r>
    </w:p>
    <w:p>
      <w:pPr>
        <w:spacing w:after="0" w:before="160"/>
        <w:ind w:left="540" w:hanging="540"/>
      </w:pPr>
      <w:r>
        <w:rPr>
          <w:rFonts w:ascii="Arial" w:cs="Arial" w:eastAsia="Arial" w:hAnsi="Arial"/>
          <w:b/>
          <w:bCs/>
          <w:color w:val="0D2137"/>
          <w:sz w:val="21"/>
          <w:szCs w:val="21"/>
        </w:rPr>
        <w:t xml:space="preserve">17.  </w:t>
      </w:r>
      <w:r>
        <w:rPr>
          <w:rFonts w:ascii="Arial" w:cs="Arial" w:eastAsia="Arial" w:hAnsi="Arial"/>
          <w:b w:val="false"/>
          <w:bCs w:val="false"/>
          <w:color w:val="1E1E1E"/>
          <w:sz w:val="21"/>
          <w:szCs w:val="21"/>
        </w:rPr>
        <w:t xml:space="preserve">Patel AA, Bhatt DL, Bhatt AB, et al. Clonal hematopoiesis and atrial fibrillation: insights into pathophysiology and clinical implications. Curr Opin Cardiol. 2024;39(2):175–183.</w:t>
      </w:r>
    </w:p>
    <w:p>
      <w:pPr>
        <w:pBdr>
          <w:left w:val="thick" w:color="C8DFF0" w:sz="12" w:space="6"/>
        </w:pBdr>
        <w:spacing w:after="120" w:before="40"/>
        <w:ind w:left="540"/>
      </w:pPr>
      <w:r>
        <w:rPr>
          <w:rFonts w:ascii="Arial" w:cs="Arial" w:eastAsia="Arial" w:hAnsi="Arial"/>
          <w:color w:val="666666"/>
          <w:sz w:val="20"/>
          <w:szCs w:val="20"/>
        </w:rPr>
        <w:t xml:space="preserve">Reviews the emerging evidence linking CHIP (particularly TET2 and ASXL1 mutations) to incident atrial fibrillation through pro-inflammatory atrial remodeling, fibrosis, and disrupted calcium signaling.</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IV.  Anti-Inflammatory Therapy: Trials and Evidence</w:t>
      </w:r>
    </w:p>
    <w:p>
      <w:pPr>
        <w:spacing w:after="120" w:before="0"/>
      </w:pPr>
      <w:r>
        <w:rPr>
          <w:rFonts w:ascii="Arial" w:cs="Arial" w:eastAsia="Arial" w:hAnsi="Arial"/>
          <w:color w:val="3D3D3D"/>
          <w:sz w:val="21"/>
          <w:szCs w:val="21"/>
        </w:rPr>
        <w:t xml:space="preserve">The principal trial evidence for targeting the NLRP3/IL-1β pathway in cardiovascular disease, with CHIP-specific analyses.</w:t>
      </w:r>
    </w:p>
    <w:p>
      <w:pPr>
        <w:spacing w:after="0" w:before="160"/>
        <w:ind w:left="540" w:hanging="540"/>
      </w:pPr>
      <w:r>
        <w:rPr>
          <w:rFonts w:ascii="Arial" w:cs="Arial" w:eastAsia="Arial" w:hAnsi="Arial"/>
          <w:b/>
          <w:bCs/>
          <w:color w:val="0D2137"/>
          <w:sz w:val="21"/>
          <w:szCs w:val="21"/>
        </w:rPr>
        <w:t xml:space="preserve">18.  </w:t>
      </w:r>
      <w:r>
        <w:rPr>
          <w:rFonts w:ascii="Arial" w:cs="Arial" w:eastAsia="Arial" w:hAnsi="Arial"/>
          <w:b w:val="false"/>
          <w:bCs w:val="false"/>
          <w:color w:val="1E1E1E"/>
          <w:sz w:val="21"/>
          <w:szCs w:val="21"/>
        </w:rPr>
        <w:t xml:space="preserve">Ridker PM, Everett BM, Thuren T, et al. Antiinflammatory therapy with canakinumab for atherosclerotic disease. N Engl J Med. 2017;377(12):1119–1131. https://www.nejm.org/doi/full/10.1056/NEJMoa1707914</w:t>
      </w:r>
    </w:p>
    <w:p>
      <w:pPr>
        <w:pBdr>
          <w:left w:val="thick" w:color="C8DFF0" w:sz="12" w:space="6"/>
        </w:pBdr>
        <w:spacing w:after="120" w:before="40"/>
        <w:ind w:left="540"/>
      </w:pPr>
      <w:r>
        <w:rPr>
          <w:rFonts w:ascii="Arial" w:cs="Arial" w:eastAsia="Arial" w:hAnsi="Arial"/>
          <w:color w:val="666666"/>
          <w:sz w:val="20"/>
          <w:szCs w:val="20"/>
        </w:rPr>
        <w:t xml:space="preserve">CANTOS: the foundational proof-of-concept that targeting IL-1β reduces cardiovascular events independent of LDL lowering in post-MI patients with elevated hsCRP: directly relevant to TET2-CHIP through shared NLRP3/IL-1β mechanism.</w:t>
      </w:r>
    </w:p>
    <w:p>
      <w:pPr>
        <w:spacing w:after="0" w:before="160"/>
        <w:ind w:left="540" w:hanging="540"/>
      </w:pPr>
      <w:r>
        <w:rPr>
          <w:rFonts w:ascii="Arial" w:cs="Arial" w:eastAsia="Arial" w:hAnsi="Arial"/>
          <w:b/>
          <w:bCs/>
          <w:color w:val="0D2137"/>
          <w:sz w:val="21"/>
          <w:szCs w:val="21"/>
        </w:rPr>
        <w:t xml:space="preserve">19.  </w:t>
      </w:r>
      <w:r>
        <w:rPr>
          <w:rFonts w:ascii="Arial" w:cs="Arial" w:eastAsia="Arial" w:hAnsi="Arial"/>
          <w:b w:val="false"/>
          <w:bCs w:val="false"/>
          <w:color w:val="1E1E1E"/>
          <w:sz w:val="21"/>
          <w:szCs w:val="21"/>
        </w:rPr>
        <w:t xml:space="preserve">Svensson EC, Madar A, Campbell CD, et al. TET2-driven clonal hematopoiesis and response to canakinumab: an exploratory analysis of the CANTOS randomized clinical trial. JAMA Cardiol. 2022;7(5):521–528.</w:t>
      </w:r>
    </w:p>
    <w:p>
      <w:pPr>
        <w:pBdr>
          <w:left w:val="thick" w:color="C8DFF0" w:sz="12" w:space="6"/>
        </w:pBdr>
        <w:spacing w:after="120" w:before="40"/>
        <w:ind w:left="540"/>
      </w:pPr>
      <w:r>
        <w:rPr>
          <w:rFonts w:ascii="Arial" w:cs="Arial" w:eastAsia="Arial" w:hAnsi="Arial"/>
          <w:color w:val="666666"/>
          <w:sz w:val="20"/>
          <w:szCs w:val="20"/>
        </w:rPr>
        <w:t xml:space="preserve">CANTOS genomic substudy: TET2-CHIP carriers randomized to canakinumab had HR 0.38 for MACE (approximately 62% relative risk reduction) versus equivocal benefit in non-CHIP patients. p for interaction 0.14: exploratory but cited in the 2025 ACC Scientific Statement on Inflammation and CVD.</w:t>
      </w:r>
    </w:p>
    <w:p>
      <w:pPr>
        <w:spacing w:after="0" w:before="160"/>
        <w:ind w:left="540" w:hanging="540"/>
      </w:pPr>
      <w:r>
        <w:rPr>
          <w:rFonts w:ascii="Arial" w:cs="Arial" w:eastAsia="Arial" w:hAnsi="Arial"/>
          <w:b/>
          <w:bCs/>
          <w:color w:val="0D2137"/>
          <w:sz w:val="21"/>
          <w:szCs w:val="21"/>
        </w:rPr>
        <w:t xml:space="preserve">20.  </w:t>
      </w:r>
      <w:r>
        <w:rPr>
          <w:rFonts w:ascii="Arial" w:cs="Arial" w:eastAsia="Arial" w:hAnsi="Arial"/>
          <w:b w:val="false"/>
          <w:bCs w:val="false"/>
          <w:color w:val="1E1E1E"/>
          <w:sz w:val="21"/>
          <w:szCs w:val="21"/>
        </w:rPr>
        <w:t xml:space="preserve">Tardif JC, Kouz S, Waters DD, et al. Efficacy and safety of low-dose colchicine after myocardial infarction. N Engl J Med. 2019;381(26):2497–2505.</w:t>
      </w:r>
    </w:p>
    <w:p>
      <w:pPr>
        <w:pBdr>
          <w:left w:val="thick" w:color="C8DFF0" w:sz="12" w:space="6"/>
        </w:pBdr>
        <w:spacing w:after="120" w:before="40"/>
        <w:ind w:left="540"/>
      </w:pPr>
      <w:r>
        <w:rPr>
          <w:rFonts w:ascii="Arial" w:cs="Arial" w:eastAsia="Arial" w:hAnsi="Arial"/>
          <w:color w:val="666666"/>
          <w:sz w:val="20"/>
          <w:szCs w:val="20"/>
        </w:rPr>
        <w:t xml:space="preserve">COLCOT: colchicine 0.5 mg daily reduced MACE by 23% versus placebo in post-MI patients: relevant to TET2-CHIP because colchicine disrupts NLRP3 inflammasome assembly through microtubule inhibition, the same pathway hyperactivated in TET2-deficient macrophages.</w:t>
      </w:r>
    </w:p>
    <w:p>
      <w:pPr>
        <w:spacing w:after="0" w:before="160"/>
        <w:ind w:left="540" w:hanging="540"/>
      </w:pPr>
      <w:r>
        <w:rPr>
          <w:rFonts w:ascii="Arial" w:cs="Arial" w:eastAsia="Arial" w:hAnsi="Arial"/>
          <w:b/>
          <w:bCs/>
          <w:color w:val="0D2137"/>
          <w:sz w:val="21"/>
          <w:szCs w:val="21"/>
        </w:rPr>
        <w:t xml:space="preserve">21.  </w:t>
      </w:r>
      <w:r>
        <w:rPr>
          <w:rFonts w:ascii="Arial" w:cs="Arial" w:eastAsia="Arial" w:hAnsi="Arial"/>
          <w:b w:val="false"/>
          <w:bCs w:val="false"/>
          <w:color w:val="1E1E1E"/>
          <w:sz w:val="21"/>
          <w:szCs w:val="21"/>
        </w:rPr>
        <w:t xml:space="preserve">Nidorf SM, Fiolet ATL, Mosterd A, et al. Colchicine in patients with chronic coronary disease. N Engl J Med. 2020;383(19):1838–1847.</w:t>
      </w:r>
    </w:p>
    <w:p>
      <w:pPr>
        <w:pBdr>
          <w:left w:val="thick" w:color="C8DFF0" w:sz="12" w:space="6"/>
        </w:pBdr>
        <w:spacing w:after="120" w:before="40"/>
        <w:ind w:left="540"/>
      </w:pPr>
      <w:r>
        <w:rPr>
          <w:rFonts w:ascii="Arial" w:cs="Arial" w:eastAsia="Arial" w:hAnsi="Arial"/>
          <w:color w:val="666666"/>
          <w:sz w:val="20"/>
          <w:szCs w:val="20"/>
        </w:rPr>
        <w:t xml:space="preserve">LoDoCo2: colchicine 0.5 mg daily reduced cardiovascular events by 31% versus placebo in patients with chronic stable coronary artery disease: extended COLCOT findings to the secondary prevention population most likely to harbor CHIP.</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  Risk Stratification Tools</w:t>
      </w:r>
    </w:p>
    <w:p>
      <w:pPr>
        <w:spacing w:after="120" w:before="0"/>
      </w:pPr>
      <w:r>
        <w:rPr>
          <w:rFonts w:ascii="Arial" w:cs="Arial" w:eastAsia="Arial" w:hAnsi="Arial"/>
          <w:color w:val="3D3D3D"/>
          <w:sz w:val="21"/>
          <w:szCs w:val="21"/>
        </w:rPr>
        <w:t xml:space="preserve">Papers underlying the quantitative risk prediction tools used in clinical CHIP management.</w:t>
      </w:r>
    </w:p>
    <w:p>
      <w:pPr>
        <w:spacing w:after="0" w:before="160"/>
        <w:ind w:left="540" w:hanging="540"/>
      </w:pPr>
      <w:r>
        <w:rPr>
          <w:rFonts w:ascii="Arial" w:cs="Arial" w:eastAsia="Arial" w:hAnsi="Arial"/>
          <w:b/>
          <w:bCs/>
          <w:color w:val="0D2137"/>
          <w:sz w:val="21"/>
          <w:szCs w:val="21"/>
        </w:rPr>
        <w:t xml:space="preserve">22.  </w:t>
      </w:r>
      <w:r>
        <w:rPr>
          <w:rFonts w:ascii="Arial" w:cs="Arial" w:eastAsia="Arial" w:hAnsi="Arial"/>
          <w:b w:val="false"/>
          <w:bCs w:val="false"/>
          <w:color w:val="1E1E1E"/>
          <w:sz w:val="21"/>
          <w:szCs w:val="21"/>
        </w:rPr>
        <w:t xml:space="preserve">Weeks LD, Niroula A, Neuberg D, et al. Prediction of risk for myeloid malignancy in clonal hematopoiesis. NEJM Evid. 2023;2(5):EVIDoa2200310.</w:t>
      </w:r>
    </w:p>
    <w:p>
      <w:pPr>
        <w:pBdr>
          <w:left w:val="thick" w:color="C8DFF0" w:sz="12" w:space="6"/>
        </w:pBdr>
        <w:spacing w:after="120" w:before="40"/>
        <w:ind w:left="540"/>
      </w:pPr>
      <w:r>
        <w:rPr>
          <w:rFonts w:ascii="Arial" w:cs="Arial" w:eastAsia="Arial" w:hAnsi="Arial"/>
          <w:color w:val="666666"/>
          <w:sz w:val="20"/>
          <w:szCs w:val="20"/>
        </w:rPr>
        <w:t xml:space="preserve">The derivation paper for the CHIP Risk Score (CHRS), available at chrsapp.com. Leverages UK Biobank genomic data to quantify malignancy progression risk using mutation profile, VAF, cytopenia, age, and CBC indices. The primary tool for hematology referral triage in CHIP.</w:t>
      </w:r>
    </w:p>
    <w:p>
      <w:pPr>
        <w:spacing w:after="0" w:before="160"/>
        <w:ind w:left="540" w:hanging="540"/>
      </w:pPr>
      <w:r>
        <w:rPr>
          <w:rFonts w:ascii="Arial" w:cs="Arial" w:eastAsia="Arial" w:hAnsi="Arial"/>
          <w:b/>
          <w:bCs/>
          <w:color w:val="0D2137"/>
          <w:sz w:val="21"/>
          <w:szCs w:val="21"/>
        </w:rPr>
        <w:t xml:space="preserve">23.  </w:t>
      </w:r>
      <w:r>
        <w:rPr>
          <w:rFonts w:ascii="Arial" w:cs="Arial" w:eastAsia="Arial" w:hAnsi="Arial"/>
          <w:b w:val="false"/>
          <w:bCs w:val="false"/>
          <w:color w:val="1E1E1E"/>
          <w:sz w:val="21"/>
          <w:szCs w:val="21"/>
        </w:rPr>
        <w:t xml:space="preserve">Cargo CA, Rowbotham N, Evans PA, et al. Targeted sequencing identifies patients with preclinical MDS at high risk of disease progression. Blood. 2015;126(21):2362–2365.</w:t>
      </w:r>
    </w:p>
    <w:p>
      <w:pPr>
        <w:pBdr>
          <w:left w:val="thick" w:color="C8DFF0" w:sz="12" w:space="6"/>
        </w:pBdr>
        <w:spacing w:after="120" w:before="40"/>
        <w:ind w:left="540"/>
      </w:pPr>
      <w:r>
        <w:rPr>
          <w:rFonts w:ascii="Arial" w:cs="Arial" w:eastAsia="Arial" w:hAnsi="Arial"/>
          <w:color w:val="666666"/>
          <w:sz w:val="20"/>
          <w:szCs w:val="20"/>
        </w:rPr>
        <w:t xml:space="preserve">Early evidence that specific mutation types (splicing factor genes, IDH1/2, TP53) identify CHIP/CCUS patients at highest malignancy risk: underpinning the elevated-risk mutation categories used in current risk stratification frameworks.</w:t>
      </w:r>
    </w:p>
    <w:p>
      <w:pPr>
        <w:spacing w:after="0" w:before="160"/>
        <w:ind w:left="540" w:hanging="540"/>
      </w:pPr>
      <w:r>
        <w:rPr>
          <w:rFonts w:ascii="Arial" w:cs="Arial" w:eastAsia="Arial" w:hAnsi="Arial"/>
          <w:b/>
          <w:bCs/>
          <w:color w:val="0D2137"/>
          <w:sz w:val="21"/>
          <w:szCs w:val="21"/>
        </w:rPr>
        <w:t xml:space="preserve">24.  </w:t>
      </w:r>
      <w:r>
        <w:rPr>
          <w:rFonts w:ascii="Arial" w:cs="Arial" w:eastAsia="Arial" w:hAnsi="Arial"/>
          <w:b w:val="false"/>
          <w:bCs w:val="false"/>
          <w:color w:val="1E1E1E"/>
          <w:sz w:val="21"/>
          <w:szCs w:val="21"/>
        </w:rPr>
        <w:t xml:space="preserve">Niroula A, Sekar A, Murakami MA, et al. Distinction of lymphoid and myeloid clonal hematopoiesis. Nat Med. 2021;27(11):1921–1927.</w:t>
      </w:r>
    </w:p>
    <w:p>
      <w:pPr>
        <w:pBdr>
          <w:left w:val="thick" w:color="C8DFF0" w:sz="12" w:space="6"/>
        </w:pBdr>
        <w:spacing w:after="120" w:before="40"/>
        <w:ind w:left="540"/>
      </w:pPr>
      <w:r>
        <w:rPr>
          <w:rFonts w:ascii="Arial" w:cs="Arial" w:eastAsia="Arial" w:hAnsi="Arial"/>
          <w:color w:val="666666"/>
          <w:sz w:val="20"/>
          <w:szCs w:val="20"/>
        </w:rPr>
        <w:t xml:space="preserve">Established that clonal hematopoiesis is not a monolithic entity (myeloid and lymphoid CH have distinct genetic, clinical, and prognostic profiles) informing the gene-specific risk stratification approach used in this review.</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  Clinical Management and Expert Practice</w:t>
      </w:r>
    </w:p>
    <w:p>
      <w:pPr>
        <w:spacing w:after="120" w:before="0"/>
      </w:pPr>
      <w:r>
        <w:rPr>
          <w:rFonts w:ascii="Arial" w:cs="Arial" w:eastAsia="Arial" w:hAnsi="Arial"/>
          <w:color w:val="3D3D3D"/>
          <w:sz w:val="21"/>
          <w:szCs w:val="21"/>
        </w:rPr>
        <w:t xml:space="preserve">Published expert guidance on CHIP clinical management in the absence of formal societal guidelines.</w:t>
      </w:r>
    </w:p>
    <w:p>
      <w:pPr>
        <w:spacing w:after="0" w:before="160"/>
        <w:ind w:left="540" w:hanging="540"/>
      </w:pPr>
      <w:r>
        <w:rPr>
          <w:rFonts w:ascii="Arial" w:cs="Arial" w:eastAsia="Arial" w:hAnsi="Arial"/>
          <w:b/>
          <w:bCs/>
          <w:color w:val="0D2137"/>
          <w:sz w:val="21"/>
          <w:szCs w:val="21"/>
        </w:rPr>
        <w:t xml:space="preserve">25.  </w:t>
      </w:r>
      <w:r>
        <w:rPr>
          <w:rFonts w:ascii="Arial" w:cs="Arial" w:eastAsia="Arial" w:hAnsi="Arial"/>
          <w:b w:val="false"/>
          <w:bCs w:val="false"/>
          <w:color w:val="1E1E1E"/>
          <w:sz w:val="21"/>
          <w:szCs w:val="21"/>
        </w:rPr>
        <w:t xml:space="preserve">Libby P, Sidlow R, Lin AE, et al. Clonal hematopoiesis: crossroads of aging, cardiovascular disease, and cancer: JACC review topic of the week. J Am Coll Cardiol. 2019;74(4):567–577.</w:t>
      </w:r>
    </w:p>
    <w:p>
      <w:pPr>
        <w:pBdr>
          <w:left w:val="thick" w:color="C8DFF0" w:sz="12" w:space="6"/>
        </w:pBdr>
        <w:spacing w:after="120" w:before="40"/>
        <w:ind w:left="540"/>
      </w:pPr>
      <w:r>
        <w:rPr>
          <w:rFonts w:ascii="Arial" w:cs="Arial" w:eastAsia="Arial" w:hAnsi="Arial"/>
          <w:color w:val="666666"/>
          <w:sz w:val="20"/>
          <w:szCs w:val="20"/>
        </w:rPr>
        <w:t xml:space="preserve">Comprehensive early review from the Libby group synthesizing CHIP cardiovascular biology; one of the first articles to explicitly frame CHIP as a cardiovascular condition for a cardiology audience.</w:t>
      </w:r>
    </w:p>
    <w:p>
      <w:pPr>
        <w:spacing w:after="0" w:before="160"/>
        <w:ind w:left="540" w:hanging="540"/>
      </w:pPr>
      <w:r>
        <w:rPr>
          <w:rFonts w:ascii="Arial" w:cs="Arial" w:eastAsia="Arial" w:hAnsi="Arial"/>
          <w:b/>
          <w:bCs/>
          <w:color w:val="0D2137"/>
          <w:sz w:val="21"/>
          <w:szCs w:val="21"/>
        </w:rPr>
        <w:t xml:space="preserve">26.  </w:t>
      </w:r>
      <w:r>
        <w:rPr>
          <w:rFonts w:ascii="Arial" w:cs="Arial" w:eastAsia="Arial" w:hAnsi="Arial"/>
          <w:b w:val="false"/>
          <w:bCs w:val="false"/>
          <w:color w:val="1E1E1E"/>
          <w:sz w:val="21"/>
          <w:szCs w:val="21"/>
        </w:rPr>
        <w:t xml:space="preserve">Malcovati L, Cazzola M. How I manage patients with unexplained cytopenia. Blood. 2025;145(15):1610-1620.</w:t>
      </w:r>
    </w:p>
    <w:p>
      <w:pPr>
        <w:pBdr>
          <w:left w:val="thick" w:color="C8DFF0" w:sz="12" w:space="6"/>
        </w:pBdr>
        <w:spacing w:after="120" w:before="40"/>
        <w:ind w:left="540"/>
      </w:pPr>
      <w:r>
        <w:rPr>
          <w:rFonts w:ascii="Arial" w:cs="Arial" w:eastAsia="Arial" w:hAnsi="Arial"/>
          <w:color w:val="666666"/>
          <w:sz w:val="20"/>
          <w:szCs w:val="20"/>
        </w:rPr>
        <w:t xml:space="preserve">Published Blood 'How I Treat' article providing specific expert guidance on workup sequencing for unexplained cytopenia, CHIP/CCUS distinction, mutation-guided bone marrow examination timing, and surveillance intervals: the closest approximation to clinical guidelines currently available.</w:t>
      </w:r>
    </w:p>
    <w:p>
      <w:pPr>
        <w:spacing w:after="0" w:before="160"/>
        <w:ind w:left="540" w:hanging="540"/>
      </w:pPr>
      <w:r>
        <w:rPr>
          <w:rFonts w:ascii="Arial" w:cs="Arial" w:eastAsia="Arial" w:hAnsi="Arial"/>
          <w:b/>
          <w:bCs/>
          <w:color w:val="0D2137"/>
          <w:sz w:val="21"/>
          <w:szCs w:val="21"/>
        </w:rPr>
        <w:t xml:space="preserve">27.  </w:t>
      </w:r>
      <w:r>
        <w:rPr>
          <w:rFonts w:ascii="Arial" w:cs="Arial" w:eastAsia="Arial" w:hAnsi="Arial"/>
          <w:b w:val="false"/>
          <w:bCs w:val="false"/>
          <w:color w:val="1E1E1E"/>
          <w:sz w:val="21"/>
          <w:szCs w:val="21"/>
        </w:rPr>
        <w:t xml:space="preserve">Libby P, Oren O, Small AM. Clonal hematopoiesis of indeterminate potential: managing cardiovascular risk. JACC CardioOncol. 2025;7(4):399–410.</w:t>
      </w:r>
    </w:p>
    <w:p>
      <w:pPr>
        <w:pBdr>
          <w:left w:val="thick" w:color="C8DFF0" w:sz="12" w:space="6"/>
        </w:pBdr>
        <w:spacing w:after="120" w:before="40"/>
        <w:ind w:left="540"/>
      </w:pPr>
      <w:r>
        <w:rPr>
          <w:rFonts w:ascii="Arial" w:cs="Arial" w:eastAsia="Arial" w:hAnsi="Arial"/>
          <w:color w:val="666666"/>
          <w:sz w:val="20"/>
          <w:szCs w:val="20"/>
        </w:rPr>
        <w:t xml:space="preserve">JACC: CardioOncology short-form primer explicitly addressing how mutation type and VAF should guide cardiovascular monitoring intensity and risk management: essential reading for the internist encountering CHIP in cardiology co-management.</w:t>
      </w:r>
    </w:p>
    <w:p>
      <w:pPr>
        <w:spacing w:after="0" w:before="160"/>
        <w:ind w:left="540" w:hanging="540"/>
      </w:pPr>
      <w:r>
        <w:rPr>
          <w:rFonts w:ascii="Arial" w:cs="Arial" w:eastAsia="Arial" w:hAnsi="Arial"/>
          <w:b/>
          <w:bCs/>
          <w:color w:val="0D2137"/>
          <w:sz w:val="21"/>
          <w:szCs w:val="21"/>
        </w:rPr>
        <w:t xml:space="preserve">28.  </w:t>
      </w:r>
      <w:r>
        <w:rPr>
          <w:rFonts w:ascii="Arial" w:cs="Arial" w:eastAsia="Arial" w:hAnsi="Arial"/>
          <w:b w:val="false"/>
          <w:bCs w:val="false"/>
          <w:color w:val="1E1E1E"/>
          <w:sz w:val="21"/>
          <w:szCs w:val="21"/>
        </w:rPr>
        <w:t xml:space="preserve">Zhao LP, Bhatt DL. Clonal hematopoiesis: a cardiovascular perspective. Curr Cardiol Rep. 2023;25(9):951–962.</w:t>
      </w:r>
    </w:p>
    <w:p>
      <w:pPr>
        <w:pBdr>
          <w:left w:val="thick" w:color="C8DFF0" w:sz="12" w:space="6"/>
        </w:pBdr>
        <w:spacing w:after="120" w:before="40"/>
        <w:ind w:left="540"/>
      </w:pPr>
      <w:r>
        <w:rPr>
          <w:rFonts w:ascii="Arial" w:cs="Arial" w:eastAsia="Arial" w:hAnsi="Arial"/>
          <w:color w:val="666666"/>
          <w:sz w:val="20"/>
          <w:szCs w:val="20"/>
        </w:rPr>
        <w:t xml:space="preserve">Practical cardiovascular-oriented CHIP review; addresses detection scenarios, risk stratification, and management from the cardiologist's perspective, complementary to the internist framing of the primary article.</w:t>
      </w:r>
    </w:p>
    <w:p>
      <w:pPr>
        <w:spacing w:after="0" w:before="160"/>
        <w:ind w:left="540" w:hanging="540"/>
      </w:pPr>
      <w:r>
        <w:rPr>
          <w:rFonts w:ascii="Arial" w:cs="Arial" w:eastAsia="Arial" w:hAnsi="Arial"/>
          <w:b/>
          <w:bCs/>
          <w:color w:val="0D2137"/>
          <w:sz w:val="21"/>
          <w:szCs w:val="21"/>
        </w:rPr>
        <w:t xml:space="preserve">29.  </w:t>
      </w:r>
      <w:r>
        <w:rPr>
          <w:rFonts w:ascii="Arial" w:cs="Arial" w:eastAsia="Arial" w:hAnsi="Arial"/>
          <w:b w:val="false"/>
          <w:bCs w:val="false"/>
          <w:color w:val="1E1E1E"/>
          <w:sz w:val="21"/>
          <w:szCs w:val="21"/>
        </w:rPr>
        <w:t xml:space="preserve">Bick AG, Weinstock JS, Nandakumar SK, et al. Inherited causes of clonal haematopoiesis in 97,691 whole genomes. Nature. 2020;586(7831):763–768.</w:t>
      </w:r>
    </w:p>
    <w:p>
      <w:pPr>
        <w:pBdr>
          <w:left w:val="thick" w:color="C8DFF0" w:sz="12" w:space="6"/>
        </w:pBdr>
        <w:spacing w:after="120" w:before="40"/>
        <w:ind w:left="540"/>
      </w:pPr>
      <w:r>
        <w:rPr>
          <w:rFonts w:ascii="Arial" w:cs="Arial" w:eastAsia="Arial" w:hAnsi="Arial"/>
          <w:color w:val="666666"/>
          <w:sz w:val="20"/>
          <w:szCs w:val="20"/>
        </w:rPr>
        <w:t xml:space="preserve">Large whole-genome study characterizing the inherited and environmental determinants of CHIP, including smoking, obesity, and germline variation: providing the epidemiological context for environmental and occupational risk questions.</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VII.  Environmental Risk and Emerging Directions</w:t>
      </w:r>
    </w:p>
    <w:p>
      <w:pPr>
        <w:spacing w:after="120" w:before="0"/>
      </w:pPr>
      <w:r>
        <w:rPr>
          <w:rFonts w:ascii="Arial" w:cs="Arial" w:eastAsia="Arial" w:hAnsi="Arial"/>
          <w:color w:val="3D3D3D"/>
          <w:sz w:val="21"/>
          <w:szCs w:val="21"/>
        </w:rPr>
        <w:t xml:space="preserve">Papers addressing environmental exposures and CHIP: the scientific context for the agricultural population research question.</w:t>
      </w:r>
    </w:p>
    <w:p>
      <w:pPr>
        <w:spacing w:after="0" w:before="160"/>
        <w:ind w:left="540" w:hanging="540"/>
      </w:pPr>
      <w:r>
        <w:rPr>
          <w:rFonts w:ascii="Arial" w:cs="Arial" w:eastAsia="Arial" w:hAnsi="Arial"/>
          <w:b/>
          <w:bCs/>
          <w:color w:val="0D2137"/>
          <w:sz w:val="21"/>
          <w:szCs w:val="21"/>
        </w:rPr>
        <w:t xml:space="preserve">30.  </w:t>
      </w:r>
      <w:r>
        <w:rPr>
          <w:rFonts w:ascii="Arial" w:cs="Arial" w:eastAsia="Arial" w:hAnsi="Arial"/>
          <w:b w:val="false"/>
          <w:bCs w:val="false"/>
          <w:color w:val="1E1E1E"/>
          <w:sz w:val="21"/>
          <w:szCs w:val="21"/>
        </w:rPr>
        <w:t xml:space="preserve">Leiser CL, Hanson HA, Huang H, et al. Associations between ambient air pollutants and clonal hematopoiesis of indeterminate potential. Cancer Epidemiol Biomarkers Prev. 2023;32(10):1470–1473.</w:t>
      </w:r>
    </w:p>
    <w:p>
      <w:pPr>
        <w:pBdr>
          <w:left w:val="thick" w:color="C8DFF0" w:sz="12" w:space="6"/>
        </w:pBdr>
        <w:spacing w:after="120" w:before="40"/>
        <w:ind w:left="540"/>
      </w:pPr>
      <w:r>
        <w:rPr>
          <w:rFonts w:ascii="Arial" w:cs="Arial" w:eastAsia="Arial" w:hAnsi="Arial"/>
          <w:color w:val="666666"/>
          <w:sz w:val="20"/>
          <w:szCs w:val="20"/>
        </w:rPr>
        <w:t xml:space="preserve">The first published study directly linking environmental exposure to CHIP prevalence: long-term ambient air pollution associated with CHIP detection in population data. Methodologically analogous to the proposed agricultural chemical exposure question and establishes feasibility of environmental CHIP epidemiology.</w:t>
      </w:r>
    </w:p>
    <w:p>
      <w:pPr>
        <w:spacing w:after="0" w:before="160"/>
        <w:ind w:left="540" w:hanging="540"/>
      </w:pPr>
      <w:r>
        <w:rPr>
          <w:rFonts w:ascii="Arial" w:cs="Arial" w:eastAsia="Arial" w:hAnsi="Arial"/>
          <w:b/>
          <w:bCs/>
          <w:color w:val="0D2137"/>
          <w:sz w:val="21"/>
          <w:szCs w:val="21"/>
        </w:rPr>
        <w:t xml:space="preserve">31.  </w:t>
      </w:r>
      <w:r>
        <w:rPr>
          <w:rFonts w:ascii="Arial" w:cs="Arial" w:eastAsia="Arial" w:hAnsi="Arial"/>
          <w:b w:val="false"/>
          <w:bCs w:val="false"/>
          <w:color w:val="1E1E1E"/>
          <w:sz w:val="21"/>
          <w:szCs w:val="21"/>
        </w:rPr>
        <w:t xml:space="preserve">Busque L, Patel JP, Figueroa ME, et al. Recurrent somatic TET2 mutations in normal elderly individuals with clonal hematopoiesis. Nat Genet. 2012;44(11):1179–1181.</w:t>
      </w:r>
    </w:p>
    <w:p>
      <w:pPr>
        <w:pBdr>
          <w:left w:val="thick" w:color="C8DFF0" w:sz="12" w:space="6"/>
        </w:pBdr>
        <w:spacing w:after="120" w:before="40"/>
        <w:ind w:left="540"/>
      </w:pPr>
      <w:r>
        <w:rPr>
          <w:rFonts w:ascii="Arial" w:cs="Arial" w:eastAsia="Arial" w:hAnsi="Arial"/>
          <w:color w:val="666666"/>
          <w:sz w:val="20"/>
          <w:szCs w:val="20"/>
        </w:rPr>
        <w:t xml:space="preserve">Pre-CHIP era paper documenting recurrent TET2 somatic mutations in normal elderly individuals through non-random X-chromosome inactivation; historically important as one of the first demonstrations that pre-leukemic clonal expansion is common in normal aging blood.</w:t>
      </w:r>
    </w:p>
    <w:p>
      <w:pPr>
        <w:spacing w:after="0" w:before="160"/>
        <w:ind w:left="540" w:hanging="540"/>
      </w:pPr>
      <w:r>
        <w:rPr>
          <w:rFonts w:ascii="Arial" w:cs="Arial" w:eastAsia="Arial" w:hAnsi="Arial"/>
          <w:b/>
          <w:bCs/>
          <w:color w:val="0D2137"/>
          <w:sz w:val="21"/>
          <w:szCs w:val="21"/>
        </w:rPr>
        <w:t xml:space="preserve">32.  </w:t>
      </w:r>
      <w:r>
        <w:rPr>
          <w:rFonts w:ascii="Arial" w:cs="Arial" w:eastAsia="Arial" w:hAnsi="Arial"/>
          <w:b w:val="false"/>
          <w:bCs w:val="false"/>
          <w:color w:val="1E1E1E"/>
          <w:sz w:val="21"/>
          <w:szCs w:val="21"/>
        </w:rPr>
        <w:t xml:space="preserve">Honigberg MC, Zekavat SM, Pirruccello JP, et al. Premature menopause, clonal hematopoiesis, and coronary artery disease in postmenopausal women. Circulation. 2021;143(5):410–423.</w:t>
      </w:r>
    </w:p>
    <w:p>
      <w:pPr>
        <w:pBdr>
          <w:left w:val="thick" w:color="C8DFF0" w:sz="12" w:space="6"/>
        </w:pBdr>
        <w:spacing w:after="120" w:before="40"/>
        <w:ind w:left="540"/>
      </w:pPr>
      <w:r>
        <w:rPr>
          <w:rFonts w:ascii="Arial" w:cs="Arial" w:eastAsia="Arial" w:hAnsi="Arial"/>
          <w:color w:val="666666"/>
          <w:sz w:val="20"/>
          <w:szCs w:val="20"/>
        </w:rPr>
        <w:t xml:space="preserve">Demonstrates that an identifiable clinical exposure (premature menopause) accelerates CHIP clonal expansion: establishing the principle that specific populations with excess inflammatory or hormonal exposures may have disproportionate CHIP burden, analogous to the agricultural exposure hypothesis.</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VIII.  Active Clinical Trials</w:t>
      </w:r>
    </w:p>
    <w:p>
      <w:pPr>
        <w:spacing w:after="120" w:before="0"/>
      </w:pPr>
      <w:r>
        <w:rPr>
          <w:rFonts w:ascii="Arial" w:cs="Arial" w:eastAsia="Arial" w:hAnsi="Arial"/>
          <w:color w:val="3D3D3D"/>
          <w:sz w:val="21"/>
          <w:szCs w:val="21"/>
        </w:rPr>
        <w:t xml:space="preserve">Ongoing trials directly relevant to CHIP cardiovascular medicine. Registration numbers link to clinicaltrials.gov for current status.</w:t>
      </w:r>
    </w:p>
    <w:p>
      <w:pPr>
        <w:spacing w:after="0" w:before="160"/>
        <w:ind w:left="540" w:hanging="540"/>
      </w:pPr>
      <w:r>
        <w:rPr>
          <w:rFonts w:ascii="Arial" w:cs="Arial" w:eastAsia="Arial" w:hAnsi="Arial"/>
          <w:b/>
          <w:bCs/>
          <w:color w:val="0D2137"/>
          <w:sz w:val="21"/>
          <w:szCs w:val="21"/>
        </w:rPr>
        <w:t xml:space="preserve">T1.  </w:t>
      </w:r>
      <w:r>
        <w:rPr>
          <w:rFonts w:ascii="Arial" w:cs="Arial" w:eastAsia="Arial" w:hAnsi="Arial"/>
          <w:b/>
          <w:bCs/>
          <w:color w:val="9B2335"/>
          <w:sz w:val="21"/>
          <w:szCs w:val="21"/>
        </w:rPr>
        <w:t xml:space="preserve">NCT06691217, </w:t>
      </w:r>
      <w:r>
        <w:rPr>
          <w:rFonts w:ascii="Arial" w:cs="Arial" w:eastAsia="Arial" w:hAnsi="Arial"/>
          <w:b w:val="false"/>
          <w:bCs w:val="false"/>
          <w:color w:val="1E1E1E"/>
          <w:sz w:val="21"/>
          <w:szCs w:val="21"/>
        </w:rPr>
        <w:t xml:space="preserve">Effects of IL-1 Beta Inhibition on Vascular Inflammation in TET2 Clonal Hematopoiesis</w:t>
      </w:r>
    </w:p>
    <w:p>
      <w:pPr>
        <w:spacing w:after="0" w:before="20"/>
        <w:ind w:left="540"/>
      </w:pPr>
      <w:r>
        <w:rPr>
          <w:rFonts w:ascii="Arial" w:cs="Arial" w:eastAsia="Arial" w:hAnsi="Arial"/>
          <w:color w:val="3D3D3D"/>
          <w:sz w:val="20"/>
          <w:szCs w:val="20"/>
        </w:rPr>
        <w:t xml:space="preserve">Phase: Prospective RCT  |  N=120  |  Drug: canakinumab vs. placebo  |  Population: CAD patients; 50% TET2-CHIP  |  Primary endpoint: coronary CT angiography vascular inflammation  |  Status: Enrolling</w:t>
      </w:r>
    </w:p>
    <w:p>
      <w:pPr>
        <w:pBdr>
          <w:left w:val="thick" w:color="C8DFF0" w:sz="12" w:space="6"/>
        </w:pBdr>
        <w:spacing w:after="120" w:before="40"/>
        <w:ind w:left="540"/>
      </w:pPr>
      <w:r>
        <w:rPr>
          <w:rFonts w:ascii="Arial" w:cs="Arial" w:eastAsia="Arial" w:hAnsi="Arial"/>
          <w:color w:val="666666"/>
          <w:sz w:val="20"/>
          <w:szCs w:val="20"/>
        </w:rPr>
        <w:t xml:space="preserve">The most directly relevant active trial: the first prospective randomized study of mutation-guided anti-inflammatory therapy in CHIP. If positive, would establish TET2 mutation status as a companion diagnostic for IL-1β inhibition.</w:t>
      </w:r>
    </w:p>
    <w:p>
      <w:pPr>
        <w:spacing w:after="0" w:before="160"/>
        <w:ind w:left="540" w:hanging="540"/>
      </w:pPr>
      <w:r>
        <w:rPr>
          <w:rFonts w:ascii="Arial" w:cs="Arial" w:eastAsia="Arial" w:hAnsi="Arial"/>
          <w:b/>
          <w:bCs/>
          <w:color w:val="0D2137"/>
          <w:sz w:val="21"/>
          <w:szCs w:val="21"/>
        </w:rPr>
        <w:t xml:space="preserve">T2.  </w:t>
      </w:r>
      <w:r>
        <w:rPr>
          <w:rFonts w:ascii="Arial" w:cs="Arial" w:eastAsia="Arial" w:hAnsi="Arial"/>
          <w:b/>
          <w:bCs/>
          <w:color w:val="9B2335"/>
          <w:sz w:val="21"/>
          <w:szCs w:val="21"/>
        </w:rPr>
        <w:t xml:space="preserve">NCT06604611, </w:t>
      </w:r>
      <w:r>
        <w:rPr>
          <w:rFonts w:ascii="Arial" w:cs="Arial" w:eastAsia="Arial" w:hAnsi="Arial"/>
          <w:b w:val="false"/>
          <w:bCs w:val="false"/>
          <w:color w:val="1E1E1E"/>
          <w:sz w:val="21"/>
          <w:szCs w:val="21"/>
        </w:rPr>
        <w:t xml:space="preserve">Efficacy and Safety of Colchicine in Patients with HFpEF and Inflammation (CHIPS Trial)</w:t>
      </w:r>
    </w:p>
    <w:p>
      <w:pPr>
        <w:spacing w:after="0" w:before="20"/>
        <w:ind w:left="540"/>
      </w:pPr>
      <w:r>
        <w:rPr>
          <w:rFonts w:ascii="Arial" w:cs="Arial" w:eastAsia="Arial" w:hAnsi="Arial"/>
          <w:color w:val="3D3D3D"/>
          <w:sz w:val="20"/>
          <w:szCs w:val="20"/>
        </w:rPr>
        <w:t xml:space="preserve">Phase: Phase 4  |  Drug: colchicine 0.5 mg daily  |  Population: HFpEF patients with inflammation  |  Primary endpoints: inflammatory markers, KCCQ, NT-proBNP  |  CHIP stratification: Not specified</w:t>
      </w:r>
    </w:p>
    <w:p>
      <w:pPr>
        <w:pBdr>
          <w:left w:val="thick" w:color="C8DFF0" w:sz="12" w:space="6"/>
        </w:pBdr>
        <w:spacing w:after="120" w:before="40"/>
        <w:ind w:left="540"/>
      </w:pPr>
      <w:r>
        <w:rPr>
          <w:rFonts w:ascii="Arial" w:cs="Arial" w:eastAsia="Arial" w:hAnsi="Arial"/>
          <w:color w:val="666666"/>
          <w:sz w:val="20"/>
          <w:szCs w:val="20"/>
        </w:rPr>
        <w:t xml:space="preserve">Colchicine in unselected HFpEF targeting the NLRP3/IL-1β pathway: the same pathway hyperactivated in TET2-CHIP. Post-hoc genomic analysis could provide CHIP-stratified outcome data if biobanking is included.</w:t>
      </w:r>
    </w:p>
    <w:p>
      <w:pPr>
        <w:spacing w:after="0" w:before="160"/>
        <w:ind w:left="540" w:hanging="540"/>
      </w:pPr>
      <w:r>
        <w:rPr>
          <w:rFonts w:ascii="Arial" w:cs="Arial" w:eastAsia="Arial" w:hAnsi="Arial"/>
          <w:b/>
          <w:bCs/>
          <w:color w:val="0D2137"/>
          <w:sz w:val="21"/>
          <w:szCs w:val="21"/>
        </w:rPr>
        <w:t xml:space="preserve">T3.  </w:t>
      </w:r>
      <w:r>
        <w:rPr>
          <w:rFonts w:ascii="Arial" w:cs="Arial" w:eastAsia="Arial" w:hAnsi="Arial"/>
          <w:b/>
          <w:bCs/>
          <w:color w:val="9B2335"/>
          <w:sz w:val="21"/>
          <w:szCs w:val="21"/>
        </w:rPr>
        <w:t xml:space="preserve">NCT06837623, </w:t>
      </w:r>
      <w:r>
        <w:rPr>
          <w:rFonts w:ascii="Arial" w:cs="Arial" w:eastAsia="Arial" w:hAnsi="Arial"/>
          <w:b w:val="false"/>
          <w:bCs w:val="false"/>
          <w:color w:val="1E1E1E"/>
          <w:sz w:val="21"/>
          <w:szCs w:val="21"/>
        </w:rPr>
        <w:t xml:space="preserve">The Role of Colchicine as Anti-Inflammatory Treatment in Patients with HFpEF (CO-HFpEF)</w:t>
      </w:r>
    </w:p>
    <w:p>
      <w:pPr>
        <w:spacing w:after="0" w:before="20"/>
        <w:ind w:left="540"/>
      </w:pPr>
      <w:r>
        <w:rPr>
          <w:rFonts w:ascii="Arial" w:cs="Arial" w:eastAsia="Arial" w:hAnsi="Arial"/>
          <w:color w:val="3D3D3D"/>
          <w:sz w:val="20"/>
          <w:szCs w:val="20"/>
        </w:rPr>
        <w:t xml:space="preserve">Phase: Phase 3  |  Drug: colchicine 0.5 mg/day (≤70 kg) or 0.5 mg BID (&gt;70 kg)  |  Primary endpoint: soluble ST2 (sST2) biomarker  |  CHIP stratification: Not specified</w:t>
      </w:r>
    </w:p>
    <w:p>
      <w:pPr>
        <w:pBdr>
          <w:left w:val="thick" w:color="C8DFF0" w:sz="12" w:space="6"/>
        </w:pBdr>
        <w:spacing w:after="120" w:before="40"/>
        <w:ind w:left="540"/>
      </w:pPr>
      <w:r>
        <w:rPr>
          <w:rFonts w:ascii="Arial" w:cs="Arial" w:eastAsia="Arial" w:hAnsi="Arial"/>
          <w:color w:val="666666"/>
          <w:sz w:val="20"/>
          <w:szCs w:val="20"/>
        </w:rPr>
        <w:t xml:space="preserve">Second active colchicine-in-HFpEF trial; focuses on inflammatory biomarkers as primary endpoint. Together with CHIPS, these trials will test whether NLRP3 inhibition improves outcomes in HFpEF: the pre-specified subgroup analysis by CHIP status, if performed, would address Q5 directly.</w:t>
      </w:r>
    </w:p>
    <w:p>
      <w:pPr>
        <w:spacing w:after="60" w:before="0"/>
      </w:pPr>
      <w:r>
        <w:t xml:space="preserve"/>
      </w:r>
    </w:p>
    <w:p>
      <w:pPr>
        <w:pBdr>
          <w:top w:val="single" w:color="C8DFF0" w:sz="4" w:space="4"/>
        </w:pBdr>
        <w:spacing w:after="0" w:before="240"/>
      </w:pPr>
      <w:r>
        <w:rPr>
          <w:rFonts w:ascii="Arial" w:cs="Arial" w:eastAsia="Arial" w:hAnsi="Arial"/>
          <w:color w:val="999999"/>
          <w:sz w:val="18"/>
          <w:szCs w:val="18"/>
        </w:rPr>
        <w:t xml:space="preserve">David Comstock, MD  ·  Department of Internal Medicine, Guthrie Lourdes Hospital, Binghamton, NY  ·  Companion to Blood Advances manuscript, May 2026</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CHIP Cardiovascular Risk: Reading List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26"/>
      <w:szCs w:val="26"/>
    </w:rPr>
  </w:style>
  <w:style w:type="paragraph" w:styleId="Heading2">
    <w:name w:val="Heading 2"/>
    <w:basedOn w:val="Normal"/>
    <w:next w:val="Normal"/>
    <w:qFormat/>
    <w:pPr>
      <w:spacing w:after="80" w:before="260"/>
      <w:outlineLvl w:val="1"/>
    </w:pPr>
    <w:rPr>
      <w:rFonts w:ascii="Arial" w:cs="Arial" w:eastAsia="Arial" w:hAnsi="Arial"/>
      <w:b/>
      <w:bCs/>
      <w:color w:val="028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2026-05-17T21:02:17.296Z</dcterms:created>
  <dcterms:modified xsi:type="dcterms:W3CDTF">2026-05-17T21:02:17.296Z</dcterms:modified>
</cp:coreProperties>
</file>

<file path=docProps/custom.xml><?xml version="1.0" encoding="utf-8"?>
<Properties xmlns="http://schemas.openxmlformats.org/officeDocument/2006/custom-properties" xmlns:vt="http://schemas.openxmlformats.org/officeDocument/2006/docPropsVTypes"/>
</file>