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66666"/>
          <w:sz w:val="18"/>
          <w:szCs w:val="18"/>
        </w:rPr>
        <w:t xml:space="preserve">RESEARCH SUMMARY</w:t>
      </w:r>
    </w:p>
    <w:p>
      <w:pPr>
        <w:pBdr>
          <w:bottom w:val="thick" w:color="028090" w:sz="12" w:space="6"/>
        </w:pBdr>
        <w:spacing w:after="100" w:before="0"/>
      </w:pPr>
      <w:r>
        <w:rPr>
          <w:rFonts w:ascii="Georgia" w:cs="Georgia" w:eastAsia="Georgia" w:hAnsi="Georgia"/>
          <w:b/>
          <w:bCs/>
          <w:color w:val="0D2137"/>
          <w:sz w:val="28"/>
          <w:szCs w:val="28"/>
        </w:rPr>
        <w:t xml:space="preserve">Clonal Hematopoiesis and Cardiovascular Risk in the Guthrie Rural Population</w:t>
      </w:r>
    </w:p>
    <w:p>
      <w:pPr>
        <w:spacing w:after="240" w:before="80"/>
      </w:pPr>
      <w:r>
        <w:rPr>
          <w:rFonts w:ascii="Arial" w:cs="Arial" w:eastAsia="Arial" w:hAnsi="Arial"/>
          <w:b/>
          <w:bCs/>
          <w:color w:val="1E1E1E"/>
          <w:sz w:val="21"/>
          <w:szCs w:val="21"/>
        </w:rPr>
        <w:t xml:space="preserve">David Comstock, MD  </w:t>
      </w:r>
      <w:r>
        <w:rPr>
          <w:rFonts w:ascii="Arial" w:cs="Arial" w:eastAsia="Arial" w:hAnsi="Arial"/>
          <w:color w:val="666666"/>
          <w:sz w:val="21"/>
          <w:szCs w:val="21"/>
        </w:rPr>
        <w:t xml:space="preserve"> |  Department of Internal Medicine, Guthrie Lourdes Hospital  |  May 2026</w:t>
      </w:r>
    </w:p>
    <w:p>
      <w:pPr>
        <w:pBdr>
          <w:top w:val="single" w:color="C8DFF0" w:sz="4" w:space="4"/>
          <w:bottom w:val="single" w:color="C8DFF0" w:sz="4" w:space="4"/>
          <w:left w:val="single" w:color="C8DFF0" w:sz="4" w:space="8"/>
          <w:right w:val="single" w:color="C8DFF0" w:sz="4" w:space="8"/>
        </w:pBdr>
        <w:spacing w:after="60" w:before="0"/>
        <w:ind w:left="180" w:right="180"/>
      </w:pPr>
      <w:r>
        <w:rPr>
          <w:rFonts w:ascii="Arial" w:cs="Arial" w:eastAsia="Arial" w:hAnsi="Arial"/>
          <w:b/>
          <w:bCs/>
          <w:color w:val="0D2137"/>
          <w:sz w:val="19"/>
          <w:szCs w:val="19"/>
        </w:rPr>
        <w:t xml:space="preserve">Collaborators</w:t>
      </w:r>
    </w:p>
    <w:p>
      <w:pPr>
        <w:pBdr>
          <w:bottom w:val="single" w:color="C8DFF0" w:sz="4" w:space="4"/>
          <w:left w:val="single" w:color="C8DFF0" w:sz="4" w:space="8"/>
          <w:right w:val="single" w:color="C8DFF0" w:sz="4" w:space="8"/>
        </w:pBdr>
        <w:spacing w:after="0" w:before="0"/>
        <w:ind w:left="360" w:right="180"/>
      </w:pPr>
      <w:r>
        <w:rPr>
          <w:rFonts w:ascii="Arial" w:cs="Arial" w:eastAsia="Arial" w:hAnsi="Arial"/>
          <w:color w:val="1E1E1E"/>
          <w:sz w:val="20"/>
          <w:szCs w:val="20"/>
        </w:rPr>
        <w:t xml:space="preserve">Beka Aroshidze, MD  |  Hematology/Oncology, Guthrie Lourdes Hospital  |  Co-Investigator</w:t>
      </w:r>
    </w:p>
    <w:p>
      <w:pPr>
        <w:pBdr>
          <w:bottom w:val="single" w:color="C8DFF0" w:sz="4" w:space="4"/>
          <w:left w:val="single" w:color="C8DFF0" w:sz="4" w:space="8"/>
          <w:right w:val="single" w:color="C8DFF0" w:sz="4" w:space="8"/>
        </w:pBdr>
        <w:spacing w:after="320" w:before="0"/>
        <w:ind w:left="360" w:right="180"/>
      </w:pPr>
      <w:r>
        <w:rPr>
          <w:rFonts w:ascii="Arial" w:cs="Arial" w:eastAsia="Arial" w:hAnsi="Arial"/>
          <w:color w:val="1E1E1E"/>
          <w:sz w:val="20"/>
          <w:szCs w:val="20"/>
        </w:rPr>
        <w:t xml:space="preserve">Charles Campbell, MD  |  Cardiology, Robert Packer Hospital  |  Clinical Collaborator</w:t>
      </w:r>
    </w:p>
    <w:p>
      <w:pPr>
        <w:spacing w:after="60" w:before="160"/>
      </w:pPr>
      <w:r>
        <w:rPr>
          <w:rFonts w:ascii="Arial" w:cs="Arial" w:eastAsia="Arial" w:hAnsi="Arial"/>
          <w:b/>
          <w:bCs/>
          <w:color w:val="028090"/>
          <w:sz w:val="20"/>
          <w:szCs w:val="20"/>
        </w:rPr>
        <w:t xml:space="preserve">THE SCIENTIFIC QUESTION</w:t>
      </w:r>
    </w:p>
    <w:p>
      <w:pPr>
        <w:spacing w:after="140" w:before="0" w:line="310"/>
        <w:jc w:val="left"/>
      </w:pPr>
      <w:r>
        <w:rPr>
          <w:rFonts w:ascii="Arial" w:cs="Arial" w:eastAsia="Arial" w:hAnsi="Arial"/>
          <w:b w:val="false"/>
          <w:bCs w:val="false"/>
          <w:color w:val="1E1E1E"/>
          <w:sz w:val="21"/>
          <w:szCs w:val="21"/>
        </w:rPr>
        <w:t xml:space="preserve">Clonal hematopoiesis of indeterminate potential (CHIP) affects approximately 9.5% of adults aged 70-79 and nearly doubles the risk of coronary artery disease independent of traditional risk factors. When CHIP co-occurs with unexplained low blood counts (clonal cytopenia of undetermined significance, CCUS), the 5-year risk of blood cancer exceeds 10%. Despite this dual cardiovascular and malignancy burden, no published study has measured how often CHIP and CCUS go unrecognized in community or rural practice.</w:t>
      </w:r>
    </w:p>
    <w:p>
      <w:pPr>
        <w:spacing w:after="140" w:before="0" w:line="310"/>
        <w:jc w:val="left"/>
      </w:pPr>
      <w:r>
        <w:rPr>
          <w:rFonts w:ascii="Arial" w:cs="Arial" w:eastAsia="Arial" w:hAnsi="Arial"/>
          <w:b w:val="false"/>
          <w:bCs w:val="false"/>
          <w:color w:val="1E1E1E"/>
          <w:sz w:val="21"/>
          <w:szCs w:val="21"/>
        </w:rPr>
        <w:t xml:space="preserve">This project asks three questions simultaneously, using data that already exists in the Guthrie laboratory information system:</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What proportion of Guthrie patients aged 65 and older with CBC patterns consistent with CCUS have received no further hematologic workup (the care gap), and does it differ by age stratum?</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What is the CHIP driver gene prevalence in this rural agricultural cohort compared with published urban biobank rates?</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Can a clinically accessible inflammaging composite score derived from routine chart data predict CHIP genotype?</w:t>
      </w:r>
    </w:p>
    <w:p>
      <w:pPr>
        <w:pBdr>
          <w:bottom w:val="single" w:color="C8DFF0" w:sz="4" w:space="1"/>
        </w:pBdr>
        <w:spacing w:after="120" w:before="120"/>
      </w:pPr>
      <w:r>
        <w:t xml:space="preserve"/>
      </w:r>
    </w:p>
    <w:p>
      <w:pPr>
        <w:spacing w:after="60" w:before="160"/>
      </w:pPr>
      <w:r>
        <w:rPr>
          <w:rFonts w:ascii="Arial" w:cs="Arial" w:eastAsia="Arial" w:hAnsi="Arial"/>
          <w:b/>
          <w:bCs/>
          <w:color w:val="028090"/>
          <w:sz w:val="20"/>
          <w:szCs w:val="20"/>
        </w:rPr>
        <w:t xml:space="preserve">STUDY DESIGN</w:t>
      </w:r>
    </w:p>
    <w:p>
      <w:pPr>
        <w:spacing w:after="140" w:before="0" w:line="310"/>
        <w:jc w:val="left"/>
      </w:pPr>
      <w:r>
        <w:rPr>
          <w:rFonts w:ascii="Arial" w:cs="Arial" w:eastAsia="Arial" w:hAnsi="Arial"/>
          <w:b w:val="false"/>
          <w:bCs w:val="false"/>
          <w:color w:val="1E1E1E"/>
          <w:sz w:val="21"/>
          <w:szCs w:val="21"/>
        </w:rPr>
        <w:t xml:space="preserve">Phase 1 and Phase 2 run sequentially. Phase 1 requires no external funding and can begin within 60 days of employment start.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40"/>
            <w:shd w:fill="0D2137"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
            </w:r>
          </w:p>
        </w:tc>
        <w:tc>
          <w:tcPr>
            <w:tcW w:type="dxa" w:w="3960"/>
            <w:shd w:fill="0D2137"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Phase 1 (No external funding)</w:t>
            </w:r>
          </w:p>
        </w:tc>
        <w:tc>
          <w:tcPr>
            <w:tcW w:type="dxa" w:w="3960"/>
            <w:shd w:fill="0D2137"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Phase 2 (Small grant required)</w:t>
            </w:r>
          </w:p>
        </w:tc>
      </w:tr>
      <w:tr>
        <w:tc>
          <w:tcPr>
            <w:tcW w:type="dxa" w:w="1440"/>
            <w:shd w:fill="EFF6FF" w:val="clear"/>
            <w:tcMar>
              <w:top w:type="dxa" w:w="80"/>
              <w:left w:type="dxa" w:w="120"/>
              <w:bottom w:type="dxa" w:w="80"/>
              <w:right w:type="dxa" w:w="120"/>
            </w:tcMar>
          </w:tcPr>
          <w:p>
            <w:pPr>
              <w:spacing w:after="0" w:before="0"/>
            </w:pPr>
            <w:r>
              <w:rPr>
                <w:rFonts w:ascii="Arial" w:cs="Arial" w:eastAsia="Arial" w:hAnsi="Arial"/>
                <w:b/>
                <w:bCs/>
                <w:color w:val="1E1E1E"/>
                <w:sz w:val="19"/>
                <w:szCs w:val="19"/>
              </w:rPr>
              <w:t xml:space="preserve">Design</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Retrospective LIS query; three pre-specified CBC phenotype arms; 36-month lookback</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Prospective peripheral blood CHIP NGS panel; Phase 1-flagged patients</w:t>
            </w:r>
          </w:p>
        </w:tc>
      </w:tr>
      <w:tr>
        <w:tc>
          <w:tcPr>
            <w:tcW w:type="dxa" w:w="1440"/>
            <w:shd w:fill="EFF6FF" w:val="clear"/>
            <w:tcMar>
              <w:top w:type="dxa" w:w="80"/>
              <w:left w:type="dxa" w:w="120"/>
              <w:bottom w:type="dxa" w:w="80"/>
              <w:right w:type="dxa" w:w="120"/>
            </w:tcMar>
          </w:tcPr>
          <w:p>
            <w:pPr>
              <w:spacing w:after="0" w:before="0"/>
            </w:pPr>
            <w:r>
              <w:rPr>
                <w:rFonts w:ascii="Arial" w:cs="Arial" w:eastAsia="Arial" w:hAnsi="Arial"/>
                <w:b/>
                <w:bCs/>
                <w:color w:val="1E1E1E"/>
                <w:sz w:val="19"/>
                <w:szCs w:val="19"/>
              </w:rPr>
              <w:t xml:space="preserve">Population</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All patients aged 65+ with unexplained macrocytosis (MCV 95 fL or greater), stratified 65-69 vs 70+</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20-30 patients Year 1; agricultural chemical exposure as pre-specified covariate</w:t>
            </w:r>
          </w:p>
        </w:tc>
      </w:tr>
      <w:tr>
        <w:tc>
          <w:tcPr>
            <w:tcW w:type="dxa" w:w="1440"/>
            <w:shd w:fill="EFF6FF" w:val="clear"/>
            <w:tcMar>
              <w:top w:type="dxa" w:w="80"/>
              <w:left w:type="dxa" w:w="120"/>
              <w:bottom w:type="dxa" w:w="80"/>
              <w:right w:type="dxa" w:w="120"/>
            </w:tcMar>
          </w:tcPr>
          <w:p>
            <w:pPr>
              <w:spacing w:after="0" w:before="0"/>
            </w:pPr>
            <w:r>
              <w:rPr>
                <w:rFonts w:ascii="Arial" w:cs="Arial" w:eastAsia="Arial" w:hAnsi="Arial"/>
                <w:b/>
                <w:bCs/>
                <w:color w:val="1E1E1E"/>
                <w:sz w:val="19"/>
                <w:szCs w:val="19"/>
              </w:rPr>
              <w:t xml:space="preserve">Three arms</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(1) CCUS-pattern: macrocytosis + cytopenia [primary]  (2) Erythrocytosis: macrocytosis + elevated hematocrit  (3) Isolated macrocytosis: no cytopenia, no erythrocytosis</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NGS confirms driver gene identity and VAF across all three arms</w:t>
            </w:r>
          </w:p>
        </w:tc>
      </w:tr>
      <w:tr>
        <w:tc>
          <w:tcPr>
            <w:tcW w:type="dxa" w:w="1440"/>
            <w:shd w:fill="EFF6FF" w:val="clear"/>
            <w:tcMar>
              <w:top w:type="dxa" w:w="80"/>
              <w:left w:type="dxa" w:w="120"/>
              <w:bottom w:type="dxa" w:w="80"/>
              <w:right w:type="dxa" w:w="120"/>
            </w:tcMar>
          </w:tcPr>
          <w:p>
            <w:pPr>
              <w:spacing w:after="0" w:before="0"/>
            </w:pPr>
            <w:r>
              <w:rPr>
                <w:rFonts w:ascii="Arial" w:cs="Arial" w:eastAsia="Arial" w:hAnsi="Arial"/>
                <w:b/>
                <w:bCs/>
                <w:color w:val="1E1E1E"/>
                <w:sz w:val="19"/>
                <w:szCs w:val="19"/>
              </w:rPr>
              <w:t xml:space="preserve">Primary outcome</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Proportion of CCUS-pattern patients with no documented hematologic workup (care gap)</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CHIP/CCUS prevalence vs. published urban biobank rates; inflammaging composite validation</w:t>
            </w:r>
          </w:p>
        </w:tc>
      </w:tr>
      <w:tr>
        <w:tc>
          <w:tcPr>
            <w:tcW w:type="dxa" w:w="1440"/>
            <w:shd w:fill="EFF6FF" w:val="clear"/>
            <w:tcMar>
              <w:top w:type="dxa" w:w="80"/>
              <w:left w:type="dxa" w:w="120"/>
              <w:bottom w:type="dxa" w:w="80"/>
              <w:right w:type="dxa" w:w="120"/>
            </w:tcMar>
          </w:tcPr>
          <w:p>
            <w:pPr>
              <w:spacing w:after="0" w:before="0"/>
            </w:pPr>
            <w:r>
              <w:rPr>
                <w:rFonts w:ascii="Arial" w:cs="Arial" w:eastAsia="Arial" w:hAnsi="Arial"/>
                <w:b/>
                <w:bCs/>
                <w:color w:val="1E1E1E"/>
                <w:sz w:val="19"/>
                <w:szCs w:val="19"/>
              </w:rPr>
              <w:t xml:space="preserve">Cost</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Near zero. Existing data, existing infrastructure.</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$6,000-18,000 (NGS panels). Targeted to PAMED Foundation, ASH, departmental pilot.</w:t>
            </w:r>
          </w:p>
        </w:tc>
      </w:tr>
      <w:tr>
        <w:tc>
          <w:tcPr>
            <w:tcW w:type="dxa" w:w="1440"/>
            <w:shd w:fill="EFF6FF" w:val="clear"/>
            <w:tcMar>
              <w:top w:type="dxa" w:w="80"/>
              <w:left w:type="dxa" w:w="120"/>
              <w:bottom w:type="dxa" w:w="80"/>
              <w:right w:type="dxa" w:w="120"/>
            </w:tcMar>
          </w:tcPr>
          <w:p>
            <w:pPr>
              <w:spacing w:after="0" w:before="0"/>
            </w:pPr>
            <w:r>
              <w:rPr>
                <w:rFonts w:ascii="Arial" w:cs="Arial" w:eastAsia="Arial" w:hAnsi="Arial"/>
                <w:b/>
                <w:bCs/>
                <w:color w:val="1E1E1E"/>
                <w:sz w:val="19"/>
                <w:szCs w:val="19"/>
              </w:rPr>
              <w:t xml:space="preserve">IRB</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Minimal risk retrospective chart review. Target submission within 60 days of employment start.</w:t>
            </w:r>
          </w:p>
        </w:tc>
        <w:tc>
          <w:tcPr>
            <w:tcW w:type="dxa" w:w="3960"/>
            <w:tcMar>
              <w:top w:type="dxa" w:w="80"/>
              <w:left w:type="dxa" w:w="120"/>
              <w:bottom w:type="dxa" w:w="80"/>
              <w:right w:type="dxa" w:w="120"/>
            </w:tcMar>
          </w:tcPr>
          <w:p>
            <w:pPr>
              <w:spacing w:after="0" w:before="0"/>
            </w:pPr>
            <w:r>
              <w:rPr>
                <w:rFonts w:ascii="Arial" w:cs="Arial" w:eastAsia="Arial" w:hAnsi="Arial"/>
                <w:b w:val="false"/>
                <w:bCs w:val="false"/>
                <w:color w:val="1E1E1E"/>
                <w:sz w:val="19"/>
                <w:szCs w:val="19"/>
              </w:rPr>
              <w:t xml:space="preserve">Separate prospective protocol. Contingent on Phase 1 preliminary data.</w:t>
            </w:r>
          </w:p>
        </w:tc>
      </w:tr>
    </w:tbl>
    <w:p>
      <w:pPr>
        <w:pBdr>
          <w:bottom w:val="single" w:color="C8DFF0" w:sz="4" w:space="1"/>
        </w:pBdr>
        <w:spacing w:after="120" w:before="120"/>
      </w:pPr>
      <w:r>
        <w:t xml:space="preserve"/>
      </w:r>
    </w:p>
    <w:p>
      <w:pPr>
        <w:spacing w:after="60" w:before="160"/>
      </w:pPr>
      <w:r>
        <w:rPr>
          <w:rFonts w:ascii="Arial" w:cs="Arial" w:eastAsia="Arial" w:hAnsi="Arial"/>
          <w:b/>
          <w:bCs/>
          <w:color w:val="028090"/>
          <w:sz w:val="20"/>
          <w:szCs w:val="20"/>
        </w:rPr>
        <w:t xml:space="preserve">PUBLICATION SEQUENCE</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Journal of Rural Health Commentary (no IRB required, no data required): ready to submit now. Establishes the rural CHIP care gap argument and agricultural exposure rationale in the rural health literature.</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PAMED House of Delegates Abstract (deadline June 12, 2026): requires Phase 1 LIS feasibility data. Preliminary data already justifies submission if query is completed by June 1.</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Blood Advances Research Letter: Phase 1 care gap data with inflammaging composite characterization. First peer-reviewed publication crediting Robert Packer Hospital and Guthrie Clinic.</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Blood Advances Review Article (in preparation): comprehensive clinical review of CHIP cardiovascular risk for the practicing internist. Positions the program in the CHIP literature independent of the research data.</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Phase 2 full cohort paper and grant applications follow from the above preliminary data.</w:t>
      </w:r>
    </w:p>
    <w:p>
      <w:pPr>
        <w:pBdr>
          <w:bottom w:val="single" w:color="C8DFF0" w:sz="4" w:space="1"/>
        </w:pBdr>
        <w:spacing w:after="120" w:before="120"/>
      </w:pPr>
      <w:r>
        <w:t xml:space="preserve"/>
      </w:r>
    </w:p>
    <w:p>
      <w:pPr>
        <w:spacing w:after="60" w:before="160"/>
      </w:pPr>
      <w:r>
        <w:rPr>
          <w:rFonts w:ascii="Arial" w:cs="Arial" w:eastAsia="Arial" w:hAnsi="Arial"/>
          <w:b/>
          <w:bCs/>
          <w:color w:val="028090"/>
          <w:sz w:val="20"/>
          <w:szCs w:val="20"/>
        </w:rPr>
        <w:t xml:space="preserve">WHAT THIS PROPOSAL ASKS OF THE DEPARTMENT</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Employment: outpatient internal medicine position with occasional inpatient coverage, Robert Packer Hospital and Guthrie Clinic, July 2026.</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Protected research time: one half-day per week written into the employment agreement. This is the single factor most predictive of sustained scholarly output in a community medicine setting.</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Two internal introductions: laboratory director (LIS feasibility query) and research office (IRB pathway). Both are brief conversations substantially easier to initiate with departmental endorsement.</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Institutional endorsement of the Aroshidze collaboration: a signal that the Department of Internal Medicine supports the project, enabling co-investigator participation without requiring any action within the hematology department itself.</w:t>
      </w:r>
    </w:p>
    <w:p>
      <w:pPr>
        <w:pBdr>
          <w:bottom w:val="single" w:color="C8DFF0" w:sz="4" w:space="1"/>
        </w:pBdr>
        <w:spacing w:after="120" w:before="120"/>
      </w:pPr>
      <w:r>
        <w:t xml:space="preserve"/>
      </w:r>
    </w:p>
    <w:p>
      <w:pPr>
        <w:spacing w:after="60" w:before="160"/>
      </w:pPr>
      <w:r>
        <w:rPr>
          <w:rFonts w:ascii="Arial" w:cs="Arial" w:eastAsia="Arial" w:hAnsi="Arial"/>
          <w:b/>
          <w:bCs/>
          <w:color w:val="028090"/>
          <w:sz w:val="20"/>
          <w:szCs w:val="20"/>
        </w:rPr>
        <w:t xml:space="preserve">WHAT THE DEPARTMENT RECEIVES</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A trained internist providing clinical coverage from day one, with no startup period or recruitment cost.</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Phase 1 research program requiring no departmental budget allocation.</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First-authorship publications crediting Robert Packer Hospital and Guthrie Clinic in Blood Advances and the Journal of Rural Health.</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Preliminary data supporting external grant applications naming RPH and Guthrie Clinic as study site, positioning the system for extramural research funding.</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Documentation of a care gap in the served population, supporting quality improvement initiatives and referral pathway development.</w:t>
      </w:r>
    </w:p>
    <w:p>
      <w:pPr>
        <w:spacing w:after="40" w:before="40" w:line="300"/>
        <w:ind w:left="400" w:hanging="240"/>
      </w:pPr>
      <w:r>
        <w:rPr>
          <w:rFonts w:ascii="Arial" w:cs="Arial" w:eastAsia="Arial" w:hAnsi="Arial"/>
          <w:b/>
          <w:bCs/>
          <w:color w:val="028090"/>
          <w:sz w:val="21"/>
          <w:szCs w:val="21"/>
        </w:rPr>
        <w:t xml:space="preserve">•  </w:t>
      </w:r>
      <w:r>
        <w:rPr>
          <w:rFonts w:ascii="Arial" w:cs="Arial" w:eastAsia="Arial" w:hAnsi="Arial"/>
          <w:color w:val="1E1E1E"/>
          <w:sz w:val="21"/>
          <w:szCs w:val="21"/>
        </w:rPr>
        <w:t xml:space="preserve">A research infrastructure (LIS surveillance module, REDCap repository, IRB-approved protocol) extensible to future research questions beyond the initial CHIP project.</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David Comstock, MD  |  david.comstock@guthrie.org  |  Prepared May 2026  |  Confidential</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Comstock | CHIP Research Summary | May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2026-05-20T00:08:03.292Z</dcterms:created>
  <dcterms:modified xsi:type="dcterms:W3CDTF">2026-05-20T00:08:03.310Z</dcterms:modified>
</cp:coreProperties>
</file>

<file path=docProps/custom.xml><?xml version="1.0" encoding="utf-8"?>
<Properties xmlns="http://schemas.openxmlformats.org/officeDocument/2006/custom-properties" xmlns:vt="http://schemas.openxmlformats.org/officeDocument/2006/docPropsVTypes"/>
</file>