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pPr>
      <w:r>
        <w:rPr>
          <w:rFonts w:ascii="Georgia" w:cs="Georgia" w:eastAsia="Georgia" w:hAnsi="Georgia"/>
          <w:b/>
          <w:bCs/>
          <w:color w:val="0D2137"/>
          <w:sz w:val="44"/>
          <w:szCs w:val="44"/>
        </w:rPr>
        <w:t xml:space="preserve">Aging, Stem Cells, and the Cancer Stem Cell Paradigm:</w:t>
      </w:r>
    </w:p>
    <w:p>
      <w:pPr>
        <w:spacing w:after="240" w:before="0"/>
      </w:pPr>
      <w:r>
        <w:rPr>
          <w:rFonts w:ascii="Georgia" w:cs="Georgia" w:eastAsia="Georgia" w:hAnsi="Georgia"/>
          <w:color w:val="028090"/>
          <w:sz w:val="32"/>
          <w:szCs w:val="32"/>
        </w:rPr>
        <w:t xml:space="preserve">Molecular Mechanisms, Evolving Frameworks, and Therapeutic Frontiers</w:t>
      </w:r>
    </w:p>
    <w:p>
      <w:pPr>
        <w:spacing w:after="80" w:before="0"/>
      </w:pPr>
      <w:r>
        <w:rPr>
          <w:rFonts w:ascii="Arial" w:cs="Arial" w:eastAsia="Arial" w:hAnsi="Arial"/>
          <w:b/>
          <w:bCs/>
          <w:color w:val="1E1E1E"/>
          <w:sz w:val="24"/>
          <w:szCs w:val="24"/>
        </w:rPr>
        <w:t xml:space="preserve">David Comstock, MD</w:t>
      </w:r>
    </w:p>
    <w:p>
      <w:pPr>
        <w:spacing w:after="80" w:before="0"/>
      </w:pPr>
      <w:r>
        <w:rPr>
          <w:rFonts w:ascii="Arial" w:cs="Arial" w:eastAsia="Arial" w:hAnsi="Arial"/>
          <w:color w:val="666666"/>
          <w:sz w:val="22"/>
          <w:szCs w:val="22"/>
        </w:rPr>
        <w:t xml:space="preserve">Department of Internal Medicine, Guthrie Lourdes Hospital</w:t>
      </w:r>
    </w:p>
    <w:p>
      <w:pPr>
        <w:spacing w:after="400" w:before="0"/>
      </w:pPr>
      <w:r>
        <w:rPr>
          <w:rFonts w:ascii="Arial" w:cs="Arial" w:eastAsia="Arial" w:hAnsi="Arial"/>
          <w:color w:val="666666"/>
          <w:sz w:val="20"/>
          <w:szCs w:val="20"/>
        </w:rPr>
        <w:t xml:space="preserve">A Review</w:t>
      </w:r>
    </w:p>
    <w:p>
      <w:pPr>
        <w:spacing w:after="80" w:before="80"/>
      </w:pPr>
      <w:r>
        <w:rPr>
          <w:rFonts w:ascii="Arial" w:cs="Arial" w:eastAsia="Arial" w:hAnsi="Arial"/>
          <w:b/>
          <w:bCs/>
          <w:color w:val="0D2137"/>
          <w:sz w:val="22"/>
          <w:szCs w:val="22"/>
        </w:rPr>
        <w:t xml:space="preserve">ABSTRACT</w:t>
      </w:r>
    </w:p>
    <w:p>
      <w:pPr>
        <w:spacing w:after="160" w:before="0" w:line="310"/>
        <w:ind w:left="720" w:right="720"/>
        <w:jc w:val="both"/>
      </w:pPr>
      <w:r>
        <w:rPr>
          <w:rFonts w:ascii="Arial" w:cs="Arial" w:eastAsia="Arial" w:hAnsi="Arial"/>
          <w:color w:val="3A3A3A"/>
          <w:sz w:val="21"/>
          <w:szCs w:val="21"/>
        </w:rPr>
        <w:t xml:space="preserve">The intersection of aging biology and cancer biology represents one of the most consequential and rapidly evolving frontiers in biomedical science. More than 60 percent of newly diagnosed cancers occur in individuals over 65, reflecting the deep mechanistic entanglement of cellular aging processes and malignant transformation. This review integrates the molecular mechanisms of organismal aging (telomere attrition, cellular senescence, stem cell exhaustion, epigenetic dysregulation, and chronic inflammation) with contemporary understanding of the cancer stem cell (CSC) paradigm. We critically examine the evolution of the CSC hypothesis from its original hierarchical model toward a state-based plasticity framework, in which CSC identity is recognized as a dynamic, microenvironmentally regulated cellular state rather than a fixed clonal property. Topics addressed include the formal Hallmarks of Aging framework and its 2023 expansion to twelve hallmarks; the senescence-associated secretory phenotype (SASP) and its regulation by the cGAS-STING pathway; the emergence of senolytics as a novel therapeutic class targeting senescent cell burden; clonal hematopoiesis of indeterminate potential (CHIP) as a paradigmatic example of aging-driven pre-malignant clonal evolution; and the finding that epigenetic aging is partially reversible through cellular reprogramming. We critically evaluate persistent conceptual oversimplifications in the field (including the strict CSC hierarchy, categorical cytokine trigger specificity in SASP biology, and the conflation of assay-dependent CSC frequency with tumor-initiating capacity) and situate each topic within the current evidence base.</w:t>
      </w:r>
    </w:p>
    <w:p>
      <w:pPr>
        <w:spacing w:after="80" w:before="0"/>
      </w:pPr>
      <w:r>
        <w:t xml:space="preserve"/>
      </w:r>
    </w:p>
    <w:p>
      <w:pPr>
        <w:spacing w:after="80" w:before="80"/>
      </w:pPr>
      <w:r>
        <w:rPr>
          <w:rFonts w:ascii="Arial" w:cs="Arial" w:eastAsia="Arial" w:hAnsi="Arial"/>
          <w:b/>
          <w:bCs/>
          <w:color w:val="666666"/>
          <w:sz w:val="21"/>
          <w:szCs w:val="21"/>
        </w:rPr>
        <w:t xml:space="preserve">Keywords: </w:t>
      </w:r>
      <w:r>
        <w:rPr>
          <w:rFonts w:ascii="Arial" w:cs="Arial" w:eastAsia="Arial" w:hAnsi="Arial"/>
          <w:color w:val="666666"/>
          <w:sz w:val="21"/>
          <w:szCs w:val="21"/>
        </w:rPr>
        <w:t xml:space="preserve">aging, cellular senescence, SASP, telomeres, cancer stem cells, clonal hematopoiesis, senolytics, epigenetic reprogramming, hallmarks of aging, tumor microenvironment</w:t>
      </w:r>
    </w:p>
    <w:p>
      <w:r>
        <w:br w:type="page"/>
      </w:r>
    </w:p>
    <w:p>
      <w:pPr>
        <w:pStyle w:val="Heading1"/>
        <w:spacing w:after="160" w:before="400"/>
      </w:pPr>
      <w:r>
        <w:rPr>
          <w:rFonts w:ascii="Georgia" w:cs="Georgia" w:eastAsia="Georgia" w:hAnsi="Georgia"/>
          <w:b/>
          <w:bCs/>
          <w:color w:val="0D2137"/>
          <w:sz w:val="28"/>
          <w:szCs w:val="28"/>
        </w:rPr>
        <w:t xml:space="preserve">1.  Introduction</w:t>
      </w:r>
    </w:p>
    <w:p>
      <w:pPr>
        <w:spacing w:after="160" w:before="0" w:line="330"/>
        <w:jc w:val="both"/>
      </w:pPr>
      <w:r>
        <w:rPr>
          <w:rFonts w:ascii="Arial" w:cs="Arial" w:eastAsia="Arial" w:hAnsi="Arial"/>
          <w:color w:val="1E1E1E"/>
          <w:sz w:val="22"/>
          <w:szCs w:val="22"/>
        </w:rPr>
        <w:t xml:space="preserve">Aging is the dominant risk factor for the leading causes of human morbidity and mortality, including cardiovascular disease, neurodegeneration, metabolic disease, and cancer (López-Otín et al., 2013). The clinical phenotype of aging (slowed wound healing, graying hair, loss of skeletal muscle mass, declining neurogenesis, skewed hematopoiesis, and increased cancer incidence) reflects a convergence of molecular processes operating at the cellular and tissue levels over decades. Understanding the mechanisms that connect these processes is prerequisite to developing rational interventions that could extend not merely lifespan but healthspan: the period of life free from major age-related disease.</w:t>
      </w:r>
    </w:p>
    <w:p>
      <w:pPr>
        <w:spacing w:after="160" w:before="0" w:line="330"/>
        <w:jc w:val="both"/>
      </w:pPr>
      <w:r>
        <w:rPr>
          <w:rFonts w:ascii="Arial" w:cs="Arial" w:eastAsia="Arial" w:hAnsi="Arial"/>
          <w:color w:val="1E1E1E"/>
          <w:sz w:val="22"/>
          <w:szCs w:val="22"/>
        </w:rPr>
        <w:t xml:space="preserve">Cancer, the most extensively studied age-related disease, is in many respects a product of the same molecular events that drive aging: somatic mutation accumulation, telomere dysfunction, epigenetic drift, disrupted stem cell homeostasis, and chronic tissue inflammation. The relationship between cellular replicative capacity and tumor suppression (formally established by Hayflick and Moorhead in the 1960s and developed in detail below) remains a central organizing principle of aging-cancer biology. The subsequent recognition that cancer cells circumvent this limitation through telomerase reactivation, and that senescent cells paradoxically promote tumor progression through their secretory phenotype, established aging and oncogenesis as deeply mechanistically intertwined processes rather than independent phenomena.</w:t>
      </w:r>
    </w:p>
    <w:p>
      <w:pPr>
        <w:spacing w:after="160" w:before="0" w:line="330"/>
        <w:jc w:val="both"/>
      </w:pPr>
      <w:r>
        <w:rPr>
          <w:rFonts w:ascii="Arial" w:cs="Arial" w:eastAsia="Arial" w:hAnsi="Arial"/>
          <w:color w:val="1E1E1E"/>
          <w:sz w:val="22"/>
          <w:szCs w:val="22"/>
        </w:rPr>
        <w:t xml:space="preserve">This review examines the molecular mechanisms of cellular aging and their relationship to stem cell biology and cancer. We address the Hallmarks of Aging framework, telomere and senescence biology, the senescence-associated secretory phenotype (SASP), stem cell exhaustion, clonal hematopoiesis, epigenetic reprogramming, senolytics, and the cancer stem cell (CSC) paradigm: including a critical re-examination of the strict CSC hierarchy model in light of cellular plasticity research.</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2.  A Framework for Aging: The Hallmarks</w:t>
      </w:r>
    </w:p>
    <w:p>
      <w:pPr>
        <w:spacing w:after="160" w:before="0" w:line="330"/>
        <w:jc w:val="both"/>
      </w:pPr>
      <w:r>
        <w:rPr>
          <w:rFonts w:ascii="Arial" w:cs="Arial" w:eastAsia="Arial" w:hAnsi="Arial"/>
          <w:color w:val="1E1E1E"/>
          <w:sz w:val="22"/>
          <w:szCs w:val="22"/>
        </w:rPr>
        <w:t xml:space="preserve">López-Otín and colleagues provided the field with a unifying conceptual framework in 2013, cataloguing nine molecular and cellular features that collectively define the aging phenotype across organisms (López-Otín et al., Cell 2013). These hallmarks were defined by three criteria: they manifest during normal aging, their experimental aggravation accelerates aging, and their experimental amelioration decelerates it. A decade of subsequent research led to the expansion of this framework to twelve hallmarks in 2023, with the addition of disabled macroautophagy, chronic inflammation, and dysbiosis as standalone hallmarks (López-Otín et al., Cell 2023).</w:t>
      </w:r>
    </w:p>
    <w:p>
      <w:pPr>
        <w:spacing w:after="160" w:before="0" w:line="330"/>
        <w:jc w:val="both"/>
      </w:pPr>
      <w:r>
        <w:rPr>
          <w:rFonts w:ascii="Arial" w:cs="Arial" w:eastAsia="Arial" w:hAnsi="Arial"/>
          <w:color w:val="1E1E1E"/>
          <w:sz w:val="22"/>
          <w:szCs w:val="22"/>
        </w:rPr>
        <w:t xml:space="preserve">The expanded framework organizes hallmarks into three functional tiers. Primary hallmarks (genomic instability, telomere attrition, epigenetic alterations, loss of proteostasis, and disabled macroautophagy) are considered upstream causal drivers of the aging process. Antagonistic hallmarks (deregulated nutrient-sensing, mitochondrial dysfunction, and cellular senescence) are initially adaptive responses to primary damage but become deleterious when chronic or exaggerated. Integrative hallmarks (stem cell exhaustion, altered intercellular communication, chronic inflammation, and dysbiosis) represent the effector mechanisms through which molecular damage translates into tissue and organ dysfunction.</w:t>
      </w:r>
    </w:p>
    <w:p>
      <w:pPr>
        <w:spacing w:after="160" w:before="0" w:line="330"/>
        <w:jc w:val="both"/>
      </w:pPr>
      <w:r>
        <w:rPr>
          <w:rFonts w:ascii="Arial" w:cs="Arial" w:eastAsia="Arial" w:hAnsi="Arial"/>
          <w:color w:val="1E1E1E"/>
          <w:sz w:val="22"/>
          <w:szCs w:val="22"/>
        </w:rPr>
        <w:t xml:space="preserve">A complementary methodological advance has been the development of epigenetic clocks: statistical models based on DNA methylation patterns at specific CpG sites that accurately predict chronological age across tissues and individuals (Horvath, Genome Biology 2013). Second-generation clocks, including GrimAge and PhenoAge, predict biological age, mortality risk, and disease susceptibility more powerfully than chronological age alone. These tools have established that biological and chronological age can diverge substantially: providing both a mechanistic target for intervention and a quantifiable outcome measure for aging research.</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3.  Chronological and Replicative Aging</w:t>
      </w:r>
    </w:p>
    <w:p>
      <w:pPr>
        <w:spacing w:after="160" w:before="0" w:line="330"/>
        <w:jc w:val="both"/>
      </w:pPr>
      <w:r>
        <w:rPr>
          <w:rFonts w:ascii="Arial" w:cs="Arial" w:eastAsia="Arial" w:hAnsi="Arial"/>
          <w:color w:val="1E1E1E"/>
          <w:sz w:val="22"/>
          <w:szCs w:val="22"/>
        </w:rPr>
        <w:t xml:space="preserve">All cells experience chronological aging as a function of time: progressive changes in membrane composition, accumulation of oxidative damage to macromolecules, and gradual deterioration of metabolic efficiency (Stadtman, 2001). Tissues composed of continuously dividing cells (bone marrow, intestinal epithelium, skin epidermis) additionally undergo replicative aging with each passage through the cell cycle, incurring risks of genetic mutation, epigenetic drift, telomere shortening, and DNA double-strand breaks (Wang et al., 2009; Liu and Rando, 2011).</w:t>
      </w:r>
    </w:p>
    <w:p>
      <w:pPr>
        <w:pStyle w:val="Heading2"/>
        <w:spacing w:after="120" w:before="280"/>
      </w:pPr>
      <w:r>
        <w:rPr>
          <w:rFonts w:ascii="Arial" w:cs="Arial" w:eastAsia="Arial" w:hAnsi="Arial"/>
          <w:b/>
          <w:bCs/>
          <w:color w:val="028090"/>
          <w:sz w:val="24"/>
          <w:szCs w:val="24"/>
        </w:rPr>
        <w:t xml:space="preserve">3.1  The Hayflick Limit</w:t>
      </w:r>
    </w:p>
    <w:p>
      <w:pPr>
        <w:spacing w:after="160" w:before="0" w:line="330"/>
        <w:jc w:val="both"/>
      </w:pPr>
      <w:r>
        <w:rPr>
          <w:rFonts w:ascii="Arial" w:cs="Arial" w:eastAsia="Arial" w:hAnsi="Arial"/>
          <w:color w:val="1E1E1E"/>
          <w:sz w:val="22"/>
          <w:szCs w:val="22"/>
        </w:rPr>
        <w:t xml:space="preserve">In the mid-twentieth century, Hayflick and Moorhead established that human somatic cells in culture have a finite replicative capacity, typically in the range of 40 to 60 population doublings depending on tissue of origin and donor age, after which cells enter a viable but non-dividing state described as replicative senescence (Hayflick and Moorhead, 1961). This phenomenon (the Hayflick Limit) provided the first evidence that cellular aging is a regulated biological process rather than passive deterioration, and established the conceptual foundation for subsequent work on telomere biology and tumor suppression.</w:t>
      </w:r>
    </w:p>
    <w:p>
      <w:pPr>
        <w:spacing w:after="160" w:before="0" w:line="330"/>
        <w:jc w:val="both"/>
      </w:pPr>
      <w:r>
        <w:rPr>
          <w:rFonts w:ascii="Arial" w:cs="Arial" w:eastAsia="Arial" w:hAnsi="Arial"/>
          <w:color w:val="1E1E1E"/>
          <w:sz w:val="22"/>
          <w:szCs w:val="22"/>
        </w:rPr>
        <w:t xml:space="preserve">Hayflick's original observations identified three phases of fibroblast culture growth: an initial establishment phase of limited proliferation, a period of rapid exponential growth, and a final phase of declining and arrested proliferation. Critically, cells at any point in this trajectory retain metabolic activity and viability: replicative senescence is not cell death. The biological significance of this observation was not immediately apparent; it required the subsequent identification of the telomere as the molecular clock underlying the finite doubling capacity.</w:t>
      </w:r>
    </w:p>
    <w:p>
      <w:pPr>
        <w:pStyle w:val="Heading2"/>
        <w:spacing w:after="120" w:before="280"/>
      </w:pPr>
      <w:r>
        <w:rPr>
          <w:rFonts w:ascii="Arial" w:cs="Arial" w:eastAsia="Arial" w:hAnsi="Arial"/>
          <w:b/>
          <w:bCs/>
          <w:color w:val="028090"/>
          <w:sz w:val="24"/>
          <w:szCs w:val="24"/>
        </w:rPr>
        <w:t xml:space="preserve">3.2  The End-Replication Problem</w:t>
      </w:r>
    </w:p>
    <w:p>
      <w:pPr>
        <w:spacing w:after="160" w:before="0" w:line="330"/>
        <w:jc w:val="both"/>
      </w:pPr>
      <w:r>
        <w:rPr>
          <w:rFonts w:ascii="Arial" w:cs="Arial" w:eastAsia="Arial" w:hAnsi="Arial"/>
          <w:color w:val="1E1E1E"/>
          <w:sz w:val="22"/>
          <w:szCs w:val="22"/>
        </w:rPr>
        <w:t xml:space="preserve">The mechanistic basis of the Hayflick Limit was anticipated by Olovnikov in the early 1970s, who proposed that the processivity constraints of DNA polymerase (requiring a free 3'-OH primer and therefore unable to fully replicate the 5' end of linear chromosomes) would result in progressive loss of terminal DNA sequences with each round of replication (Olovnikov, 1973). This 'end-replication problem' predicted both the shortening of telomeric caps with each cell division and the existence of a compensatory enzyme capable of rebuilding them. Blackburn, Greider, and Szostak subsequently identified telomeres as repetitive G-rich sequences and characterized the telomerase enzyme that synthesizes them: work recognized by the Nobel Prize in Physiology or Medicine in 2009 (Blackburn and Szostak, 1984; Blackburn, 1991).</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4.  Telomere Biology</w:t>
      </w:r>
    </w:p>
    <w:p>
      <w:pPr>
        <w:spacing w:after="160" w:before="0" w:line="330"/>
        <w:jc w:val="both"/>
      </w:pPr>
      <w:r>
        <w:rPr>
          <w:rFonts w:ascii="Arial" w:cs="Arial" w:eastAsia="Arial" w:hAnsi="Arial"/>
          <w:color w:val="1E1E1E"/>
          <w:sz w:val="22"/>
          <w:szCs w:val="22"/>
        </w:rPr>
        <w:t xml:space="preserve">The classical model of chromosomal termini as simple linear endings has been entirely superseded by the current understanding of telomeres as highly organized nucleoprotein complexes that actively protect chromosomal ends from recognition as double-strand breaks. The modern paradigm describes telomeres as arrays of tandem G-T-rich repeats (TTAGGG in humans), extending 10-15 kilobases in germline and stem cells, that fold back upon themselves through strand invasion of the G-strand overhang into duplex telomeric DNA, forming Displacement loops (D-loops) and Telomere loops (T-loops) (Griffith et al., 1999; Blasco, 2005). This higher-order structure physically occludes the chromosomal terminus and prevents its recognition by the DNA damage response machinery.</w:t>
      </w:r>
    </w:p>
    <w:p>
      <w:pPr>
        <w:pStyle w:val="Heading2"/>
        <w:spacing w:after="120" w:before="280"/>
      </w:pPr>
      <w:r>
        <w:rPr>
          <w:rFonts w:ascii="Arial" w:cs="Arial" w:eastAsia="Arial" w:hAnsi="Arial"/>
          <w:b/>
          <w:bCs/>
          <w:color w:val="028090"/>
          <w:sz w:val="24"/>
          <w:szCs w:val="24"/>
        </w:rPr>
        <w:t xml:space="preserve">4.1  The Shelterin Complex</w:t>
      </w:r>
    </w:p>
    <w:p>
      <w:pPr>
        <w:spacing w:after="160" w:before="0" w:line="330"/>
        <w:jc w:val="both"/>
      </w:pPr>
      <w:r>
        <w:rPr>
          <w:rFonts w:ascii="Arial" w:cs="Arial" w:eastAsia="Arial" w:hAnsi="Arial"/>
          <w:color w:val="1E1E1E"/>
          <w:sz w:val="22"/>
          <w:szCs w:val="22"/>
        </w:rPr>
        <w:t xml:space="preserve">The telomeric nucleoprotein complex is organized by the six-component shelterin complex: Telomere Repeat Binding Factors 1 and 2 (TRF1, TRF2), Protection of Telomeres Protein 1 (POT1), Repressor/Activator Protein 1 (RAP1), TRF1-interacting Nuclear Factor 2 (TIN2), and TPP1 (also known as ACD) (de Lange, 2005). These proteins function in concert to stabilize the T-loop and D-loop architecture, regulate telomerase access, and (critically) suppress the DNA damage response. TRF2 inhibits ATM kinase activation at functional telomeres; POT1 suppresses ATR kinase signaling at the single-stranded G-overhang. Loss-of-function mutations in shelterin components cause telomere dysfunction syndromes including dyskeratosis congenita, idiopathic pulmonary fibrosis, and aplastic anemia, directly linking shelterin biology to human age-related disease.</w:t>
      </w:r>
    </w:p>
    <w:p>
      <w:pPr>
        <w:spacing w:after="160" w:before="0" w:line="330"/>
        <w:jc w:val="both"/>
      </w:pPr>
      <w:r>
        <w:rPr>
          <w:rFonts w:ascii="Arial" w:cs="Arial" w:eastAsia="Arial" w:hAnsi="Arial"/>
          <w:color w:val="1E1E1E"/>
          <w:sz w:val="22"/>
          <w:szCs w:val="22"/>
        </w:rPr>
        <w:t xml:space="preserve">The discovery of Telomere Position Effect Over Long Distances (TPE-OLD) has added a further dimension to our understanding of telomere function in aging: shortening telomeres progressively disrupt three-dimensional chromatin interactions that normally silence gene loci hundreds of kilobases from the telomere, leading to age-associated changes in gene expression throughout the genome: not merely at the chromosomal terminus (Robin et al., 2014).</w:t>
      </w:r>
    </w:p>
    <w:p>
      <w:pPr>
        <w:pStyle w:val="Heading2"/>
        <w:spacing w:after="120" w:before="280"/>
      </w:pPr>
      <w:r>
        <w:rPr>
          <w:rFonts w:ascii="Arial" w:cs="Arial" w:eastAsia="Arial" w:hAnsi="Arial"/>
          <w:b/>
          <w:bCs/>
          <w:color w:val="028090"/>
          <w:sz w:val="24"/>
          <w:szCs w:val="24"/>
        </w:rPr>
        <w:t xml:space="preserve">4.2  Telomerase</w:t>
      </w:r>
    </w:p>
    <w:p>
      <w:pPr>
        <w:spacing w:after="160" w:before="0" w:line="330"/>
        <w:jc w:val="both"/>
      </w:pPr>
      <w:r>
        <w:rPr>
          <w:rFonts w:ascii="Arial" w:cs="Arial" w:eastAsia="Arial" w:hAnsi="Arial"/>
          <w:color w:val="1E1E1E"/>
          <w:sz w:val="22"/>
          <w:szCs w:val="22"/>
        </w:rPr>
        <w:t xml:space="preserve">Telomerase is a ribonucleoprotein reverse transcriptase responsible for maintaining telomere length in cells requiring unlimited or extended replicative capacity. The catalytic core complex comprises two essential components: Telomerase RNA Component (TERC), which provides the RNA template for telomeric DNA synthesis, and Telomerase Reverse Transcriptase (TERT), the catalytic protein subunit. A third core component, dyskerin (DKC1), stabilizes the RNA component; additional accessory factors including NHP2, NOP10, GAR1, and TCAB1 contribute to biogenesis, trafficking, and holoenzyme assembly (Cohen et al., Science 2007). Telomerase recognizes the 3'-OH terminus of the single-stranded G-strand overhang and uses TERC as a template to extend it, after which DNA synthesis of the complementary C-strand is completed by conventional polymerases.</w:t>
      </w:r>
    </w:p>
    <w:p>
      <w:pPr>
        <w:spacing w:after="160" w:before="0" w:line="330"/>
        <w:jc w:val="both"/>
      </w:pPr>
      <w:r>
        <w:rPr>
          <w:rFonts w:ascii="Arial" w:cs="Arial" w:eastAsia="Arial" w:hAnsi="Arial"/>
          <w:color w:val="1E1E1E"/>
          <w:sz w:val="22"/>
          <w:szCs w:val="22"/>
        </w:rPr>
        <w:t xml:space="preserve">Telomerase expression is repressed during somatic cell differentiation and is active in germline cells, embryonic stem cells, and most adult stem cell populations. Its reactivation is detected in the great majority of human malignancies, providing replicative immortality: one of the canonical hallmarks of cancer. Importantly, the relationship between telomerase activity and cancer risk is not simple: telomere shortening in aging tissues, by triggering senescence and genomic instability, generates the mutational landscape from which cancer arises; telomerase reactivation then provides the escape from this tumor-suppressive barrier.</w:t>
      </w:r>
    </w:p>
    <w:p>
      <w:pPr>
        <w:pStyle w:val="Heading2"/>
        <w:spacing w:after="120" w:before="280"/>
      </w:pPr>
      <w:r>
        <w:rPr>
          <w:rFonts w:ascii="Arial" w:cs="Arial" w:eastAsia="Arial" w:hAnsi="Arial"/>
          <w:b/>
          <w:bCs/>
          <w:color w:val="028090"/>
          <w:sz w:val="24"/>
          <w:szCs w:val="24"/>
        </w:rPr>
        <w:t xml:space="preserve">4.3  Telomere Dysfunction and the DNA Damage Response</w:t>
      </w:r>
    </w:p>
    <w:p>
      <w:pPr>
        <w:spacing w:after="160" w:before="0" w:line="330"/>
        <w:jc w:val="both"/>
      </w:pPr>
      <w:r>
        <w:rPr>
          <w:rFonts w:ascii="Arial" w:cs="Arial" w:eastAsia="Arial" w:hAnsi="Arial"/>
          <w:color w:val="1E1E1E"/>
          <w:sz w:val="22"/>
          <w:szCs w:val="22"/>
        </w:rPr>
        <w:t xml:space="preserve">When telomere length falls below a critical threshold in one or more chromosomes of a dividing cell, the protective T-loop structure cannot be maintained, and the chromosomal terminus becomes recognized as a DNA double-strand break. The resulting DNA Damage Response (DDR) activates ATM and ATR kinases, which phosphorylate H2AX, recruit repair factors, and activate the p53/p21 and p16INK4a/RB tumor suppressor pathways to halt cell cycle progression: triggering either temporary arrest (with opportunity for repair), permanent senescence, or apoptosis (d'Adda di Fagagna, 2008).</w:t>
      </w:r>
    </w:p>
    <w:p>
      <w:pPr>
        <w:spacing w:after="160" w:before="0" w:line="330"/>
        <w:jc w:val="both"/>
      </w:pPr>
      <w:r>
        <w:rPr>
          <w:rFonts w:ascii="Arial" w:cs="Arial" w:eastAsia="Arial" w:hAnsi="Arial"/>
          <w:color w:val="1E1E1E"/>
          <w:sz w:val="22"/>
          <w:szCs w:val="22"/>
        </w:rPr>
        <w:t xml:space="preserve">In cells with compromised p53 function, persistent telomere dysfunction takes a more sinister course: ATM-mediated cyclin inhibition extends the G2 phase, and cells bypass mitosis entirely through endoreduplication, entering a second S-phase without cell division and becoming tetraploid. Continued rounds of this process generate progressively greater aneuploidy: a plausible mechanism for the karyotypic chaos characteristic of many epithelial malignancies. It should be noted, however, that near-diploid karyotypes are common in many cancer types including chronic lymphocytic leukemia, follicular lymphoma, and a substantial fraction of breast and colorectal cancers; chromosomal instability and high-grade aneuploidy are characteristic of specific tumor types rather than cancer in general (Davoli et al., 2010).</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5.  Reactive Oxygen Species and the Redox Biology of Aging</w:t>
      </w:r>
    </w:p>
    <w:p>
      <w:pPr>
        <w:spacing w:after="160" w:before="0" w:line="330"/>
        <w:jc w:val="both"/>
      </w:pPr>
      <w:r>
        <w:rPr>
          <w:rFonts w:ascii="Arial" w:cs="Arial" w:eastAsia="Arial" w:hAnsi="Arial"/>
          <w:color w:val="1E1E1E"/>
          <w:sz w:val="22"/>
          <w:szCs w:val="22"/>
        </w:rPr>
        <w:t xml:space="preserve">Reactive oxygen species (superoxide anion (O2•−), hydrogen peroxide (H2O2), and hydroxyl radical (HO•)) are byproducts of mitochondrial oxidative phosphorylation and cellular metabolism whose role in aging is substantially more nuanced than the original 'free radical theory of aging' proposed by Harman (1956) suggested. That theory posited that oxidative damage accumulation is the primary cause of aging; while oxidative damage is clearly a feature of aging, the relationship between ROS levels and organismal aging is not monotonic, and direct antioxidant supplementation has not extended human healthspan in clinical trials.</w:t>
      </w:r>
    </w:p>
    <w:p>
      <w:pPr>
        <w:spacing w:after="160" w:before="0" w:line="330"/>
        <w:jc w:val="both"/>
      </w:pPr>
      <w:r>
        <w:rPr>
          <w:rFonts w:ascii="Arial" w:cs="Arial" w:eastAsia="Arial" w:hAnsi="Arial"/>
          <w:color w:val="1E1E1E"/>
          <w:sz w:val="22"/>
          <w:szCs w:val="22"/>
        </w:rPr>
        <w:t xml:space="preserve">The current understanding frames ROS as bifunctional signaling molecules: at physiological concentrations, superoxide and H2O2 serve as essential second messengers in redox signaling cascades that regulate proliferation, differentiation, immune activation, and stress responses. Mitochondrial ROS are particularly important as signals linking metabolic state to gene expression through NF-κB, AP-1, and HIF-1α transcription factors. At supraphysiological concentrations (as occurs during ischemia-reperfusion, chronic inflammatory states, or mitochondrial dysfunction) ROS cause oxidative damage to DNA (particularly 8-hydroxydeoxyguanosine formation), proteins, and lipids. The distinction between signaling-level and damaging-level ROS is concentration- and context-dependent, not categorical.</w:t>
      </w:r>
    </w:p>
    <w:p>
      <w:pPr>
        <w:spacing w:after="160" w:before="0" w:line="330"/>
        <w:jc w:val="both"/>
      </w:pPr>
      <w:r>
        <w:rPr>
          <w:rFonts w:ascii="Arial" w:cs="Arial" w:eastAsia="Arial" w:hAnsi="Arial"/>
          <w:color w:val="1E1E1E"/>
          <w:sz w:val="22"/>
          <w:szCs w:val="22"/>
        </w:rPr>
        <w:t xml:space="preserve">With respect to antioxidant supplementation: the clinical evidence does not support a net benefit of high-dose supplemental antioxidants for aging or cancer prevention, and in specific contexts (high-dose beta-carotene in smokers, high-dose vitamin E) supplementation has shown harm. The mechanistic basis for these observations includes suppression of endogenous antioxidant enzyme expression (superoxide dismutases, catalase, glutathione peroxidase) through feedback inhibition, and interference with beneficial ROS-mediated signaling including the mitohormetic response to exercise. These observations do not invalidate the role of oxidative damage in aging but argue against simplistic supplementation strategies.</w:t>
      </w:r>
    </w:p>
    <w:p>
      <w:pPr>
        <w:spacing w:after="160" w:before="0" w:line="330"/>
        <w:jc w:val="both"/>
      </w:pPr>
      <w:r>
        <w:rPr>
          <w:rFonts w:ascii="Arial" w:cs="Arial" w:eastAsia="Arial" w:hAnsi="Arial"/>
          <w:color w:val="1E1E1E"/>
          <w:sz w:val="22"/>
          <w:szCs w:val="22"/>
        </w:rPr>
        <w:t xml:space="preserve">The connection between mitochondrial ROS, outer membrane integrity failure, and cytoplasmic mtDNA release directly activates the cGAS-STING pathway described in the Senescence section below, linking mitochondrial dysfunction to SASP induction: a convergence that will be developed further in the context of cellular senescence.</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6.  Cellular Senescence</w:t>
      </w:r>
    </w:p>
    <w:p>
      <w:pPr>
        <w:spacing w:after="160" w:before="0" w:line="330"/>
        <w:jc w:val="both"/>
      </w:pPr>
      <w:r>
        <w:rPr>
          <w:rFonts w:ascii="Arial" w:cs="Arial" w:eastAsia="Arial" w:hAnsi="Arial"/>
          <w:color w:val="1E1E1E"/>
          <w:sz w:val="22"/>
          <w:szCs w:val="22"/>
        </w:rPr>
        <w:t xml:space="preserve">Cellular senescence is a state of stable, essentially irreversible cell cycle arrest characterized by a distinctive morphological, biochemical, and secretory phenotype. Senescent cells are morphologically enlarged and flattened, express senescence-associated beta-galactosidase (SA-β-gal) activity at pH 6.0, form Senescence-Associated Heterochromatin Foci (SAHF) visible by punctate DAPI staining, and upregulate cyclin-dependent kinase inhibitors p16INK4a and p21Cip1/WAF1 (Campisi, 2005; Kuilman et al., 2010). Critically, senescent cells remain metabolically active (they are not quiescent) and actively influence their tissue microenvironment through a complex secretory program.</w:t>
      </w:r>
    </w:p>
    <w:p>
      <w:pPr>
        <w:pStyle w:val="Heading2"/>
        <w:spacing w:after="120" w:before="280"/>
      </w:pPr>
      <w:r>
        <w:rPr>
          <w:rFonts w:ascii="Arial" w:cs="Arial" w:eastAsia="Arial" w:hAnsi="Arial"/>
          <w:b/>
          <w:bCs/>
          <w:color w:val="028090"/>
          <w:sz w:val="24"/>
          <w:szCs w:val="24"/>
        </w:rPr>
        <w:t xml:space="preserve">6.1  Triggers of Senescence</w:t>
      </w:r>
    </w:p>
    <w:p>
      <w:pPr>
        <w:spacing w:after="160" w:before="0" w:line="330"/>
        <w:jc w:val="both"/>
      </w:pPr>
      <w:r>
        <w:rPr>
          <w:rFonts w:ascii="Arial" w:cs="Arial" w:eastAsia="Arial" w:hAnsi="Arial"/>
          <w:color w:val="1E1E1E"/>
          <w:sz w:val="22"/>
          <w:szCs w:val="22"/>
        </w:rPr>
        <w:t xml:space="preserve">Senescence can be triggered by multiple distinct stimuli that converge on common downstream effector pathways. Replicative senescence, driven by telomere shortening, activates a DDR through ATM/ATR kinase signaling as described above. Oncogene-induced senescence (OIS) represents an acute response to aberrant proliferative signaling (activation of RAS, BRAF, or other oncogenes in normal cells triggers a robust senescence program that acts as a tumor-suppressive barrier; it is only upon escape from this barrier that frank malignancy can develop. Stress-induced premature senescence (SIPS) is triggered by sublethal genotoxic stress, oxidative damage, or chromatin perturbation. Developmental senescence) a recently appreciated physiological form: occurs during normal embryogenesis and wound healing, where transient senescence of specific cell populations contributes to tissue patterning and repair (Storer et al., 2013).</w:t>
      </w:r>
    </w:p>
    <w:p>
      <w:pPr>
        <w:spacing w:after="160" w:before="0" w:line="330"/>
        <w:jc w:val="both"/>
      </w:pPr>
      <w:r>
        <w:rPr>
          <w:rFonts w:ascii="Arial" w:cs="Arial" w:eastAsia="Arial" w:hAnsi="Arial"/>
          <w:color w:val="1E1E1E"/>
          <w:sz w:val="22"/>
          <w:szCs w:val="22"/>
        </w:rPr>
        <w:t xml:space="preserve">A unifying molecular mediator is the p53/p21 axis for initial senescence induction and the p16INK4a/RB axis for senescence maintenance. The RB tumor suppressor network inhibits E2F transcription factors, preventing S-phase entry; p16INK4a maintains RB in its active, growth-suppressive hypophosphorylated state by inhibiting CDK4 and CDK6. SAHF formation, mediated by incorporation of macroH2A and HP1 proteins at E2F target gene promoters, provides an epigenetic reinforcement of the senescent state (Kuilman et al., 2010). These two pathways are engaged to varying degrees depending on the senescence trigger and cell type.</w:t>
      </w:r>
    </w:p>
    <w:p>
      <w:pPr>
        <w:pStyle w:val="Heading2"/>
        <w:spacing w:after="120" w:before="280"/>
      </w:pPr>
      <w:r>
        <w:rPr>
          <w:rFonts w:ascii="Arial" w:cs="Arial" w:eastAsia="Arial" w:hAnsi="Arial"/>
          <w:b/>
          <w:bCs/>
          <w:color w:val="028090"/>
          <w:sz w:val="24"/>
          <w:szCs w:val="24"/>
        </w:rPr>
        <w:t xml:space="preserve">6.2  The cGAS-STING Pathway in Senescence</w:t>
      </w:r>
    </w:p>
    <w:p>
      <w:pPr>
        <w:spacing w:after="160" w:before="0" w:line="330"/>
        <w:jc w:val="both"/>
      </w:pPr>
      <w:r>
        <w:rPr>
          <w:rFonts w:ascii="Arial" w:cs="Arial" w:eastAsia="Arial" w:hAnsi="Arial"/>
          <w:color w:val="1E1E1E"/>
          <w:sz w:val="22"/>
          <w:szCs w:val="22"/>
        </w:rPr>
        <w:t xml:space="preserve">The identification of cytoplasmic DNA sensing via the cGAS-STING (cyclic GMP-AMP synthase (Stimulator of Interferon Genes) pathway as a key driver of SASP initiation and amplification has substantially advanced mechanistic understanding of senescence biology. Senescent cells accumulate cytoplasmic chromatin) in the form of chromatin fragments released from ruptured micronuclei, cytoplasmic chromatin bridges, or mislocalized mitochondrial DNA (that is recognized by cGAS, which catalyzes the synthesis of cGAMP. This second messenger activates STING, which in turn activates NF-κB and interferon regulatory factors, driving expression of both SASP inflammatory cytokines and interferon-stimulated genes (Dou et al., Nature 2017; Glück et al., Nature Cell Biology 2017). The cGAS-STING pathway mechanistically links telomere dysfunction, nuclear envelope rupture, and mitochondrial dysfunction) all hallmarks of aging: to the inflammatory secretome of senescent cells.</w:t>
      </w:r>
    </w:p>
    <w:p>
      <w:pPr>
        <w:pStyle w:val="Heading2"/>
        <w:spacing w:after="120" w:before="280"/>
      </w:pPr>
      <w:r>
        <w:rPr>
          <w:rFonts w:ascii="Arial" w:cs="Arial" w:eastAsia="Arial" w:hAnsi="Arial"/>
          <w:b/>
          <w:bCs/>
          <w:color w:val="028090"/>
          <w:sz w:val="24"/>
          <w:szCs w:val="24"/>
        </w:rPr>
        <w:t xml:space="preserve">6.3  Paracrine and Bystander Senescence</w:t>
      </w:r>
    </w:p>
    <w:p>
      <w:pPr>
        <w:spacing w:after="160" w:before="0" w:line="330"/>
        <w:jc w:val="both"/>
      </w:pPr>
      <w:r>
        <w:rPr>
          <w:rFonts w:ascii="Arial" w:cs="Arial" w:eastAsia="Arial" w:hAnsi="Arial"/>
          <w:color w:val="1E1E1E"/>
          <w:sz w:val="22"/>
          <w:szCs w:val="22"/>
        </w:rPr>
        <w:t xml:space="preserve">Senescent cells can induce senescence in otherwise-healthy adjacent cells through paracrine SASP signaling: a process termed bystander senescence. Reactive oxygen species, TGF-β, NOTCH ligands, and inflammatory cytokines including IL-6 and IL-1α can each independently propagate the senescent state to neighboring cells, creating a spatially expanding wave of senescence through tissues. This mechanism provides an explanation for how a relatively small number of initial senescent cells can produce tissue dysfunction disproportionate to their numerical frequency.</w:t>
      </w:r>
    </w:p>
    <w:p>
      <w:pPr>
        <w:pStyle w:val="Heading2"/>
        <w:spacing w:after="120" w:before="280"/>
      </w:pPr>
      <w:r>
        <w:rPr>
          <w:rFonts w:ascii="Arial" w:cs="Arial" w:eastAsia="Arial" w:hAnsi="Arial"/>
          <w:b/>
          <w:bCs/>
          <w:color w:val="028090"/>
          <w:sz w:val="24"/>
          <w:szCs w:val="24"/>
        </w:rPr>
        <w:t xml:space="preserve">6.4  Senescence as a Double-Edged Sword</w:t>
      </w:r>
    </w:p>
    <w:p>
      <w:pPr>
        <w:spacing w:after="160" w:before="0" w:line="330"/>
        <w:jc w:val="both"/>
      </w:pPr>
      <w:r>
        <w:rPr>
          <w:rFonts w:ascii="Arial" w:cs="Arial" w:eastAsia="Arial" w:hAnsi="Arial"/>
          <w:color w:val="1E1E1E"/>
          <w:sz w:val="22"/>
          <w:szCs w:val="22"/>
        </w:rPr>
        <w:t xml:space="preserve">The relationship between senescence and organismal health is fundamentally context-dependent and cannot be reduced to a simple beneficial or harmful classification. In the short term and in physiological contexts (embryogenesis, wound healing, and tumor suppression) senescence serves essential protective and regenerative functions. In the long term and in pathological contexts (accumulation with age, impaired immune clearance, and promotion of established tumors through SASP) senescence becomes a driver of tissue dysfunction and disease. This duality is now recognized as a central organizing principle of senescence biology, directly analogous to the double-edged role of inflammation: essential in acute responses, destructive when chronic and unresolved.</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7.  The Senescence-Associated Secretory Phenotype</w:t>
      </w:r>
    </w:p>
    <w:p>
      <w:pPr>
        <w:spacing w:after="160" w:before="0" w:line="330"/>
        <w:jc w:val="both"/>
      </w:pPr>
      <w:r>
        <w:rPr>
          <w:rFonts w:ascii="Arial" w:cs="Arial" w:eastAsia="Arial" w:hAnsi="Arial"/>
          <w:color w:val="1E1E1E"/>
          <w:sz w:val="22"/>
          <w:szCs w:val="22"/>
        </w:rPr>
        <w:t xml:space="preserve">The senescence-associated secretory phenotype (SASP) is the collective designation for the diverse array of bioactive molecules secreted by senescent cells that remodel the local tissue microenvironment and drive systemic effects. The SASP is not a fixed molecular signature but a dynamic, context-dependent program whose composition varies by cell type, senescence trigger, tissue of origin, and duration of the senescent state (Coppé et al., 2010).</w:t>
      </w:r>
    </w:p>
    <w:p>
      <w:pPr>
        <w:pStyle w:val="Heading2"/>
        <w:spacing w:after="120" w:before="280"/>
      </w:pPr>
      <w:r>
        <w:rPr>
          <w:rFonts w:ascii="Arial" w:cs="Arial" w:eastAsia="Arial" w:hAnsi="Arial"/>
          <w:b/>
          <w:bCs/>
          <w:color w:val="028090"/>
          <w:sz w:val="24"/>
          <w:szCs w:val="24"/>
        </w:rPr>
        <w:t xml:space="preserve">7.1  SASP Composition and Regulation</w:t>
      </w:r>
    </w:p>
    <w:p>
      <w:pPr>
        <w:spacing w:after="160" w:before="0" w:line="330"/>
        <w:jc w:val="both"/>
      </w:pPr>
      <w:r>
        <w:rPr>
          <w:rFonts w:ascii="Arial" w:cs="Arial" w:eastAsia="Arial" w:hAnsi="Arial"/>
          <w:color w:val="1E1E1E"/>
          <w:sz w:val="22"/>
          <w:szCs w:val="22"/>
        </w:rPr>
        <w:t xml:space="preserve">Core SASP components include proinflammatory cytokines (interleukin-6 (IL-6), interleukin-8 (IL-8), interleukin-1α (IL-1α), interleukin-1β (IL-1β), and TNF-α) as well as chemokines (CXCL1, CXCL2, CCL2, CCL20), growth factors (VEGF, HGF, amphiregulin), matrix metalloproteinases (MMP1, MMP3, MMP10, MMP13), and serine proteases including plasminogen activator inhibitor-1 (PAI-1) and urokinase. The cytokine composition reflects the senescence trigger to varying degrees: IL-6 is prominently induced in oncogene-induced senescence, while IL-8 is particularly associated with replicative and telomere-driven senescence; however, both cytokines are upregulated across multiple senescence triggers and should not be assigned exclusive specificity to individual induction mechanisms (Coppé et al., 2008; Kuilman et al., 2010).</w:t>
      </w:r>
    </w:p>
    <w:p>
      <w:pPr>
        <w:spacing w:after="160" w:before="0" w:line="330"/>
        <w:jc w:val="both"/>
      </w:pPr>
      <w:r>
        <w:rPr>
          <w:rFonts w:ascii="Arial" w:cs="Arial" w:eastAsia="Arial" w:hAnsi="Arial"/>
          <w:color w:val="1E1E1E"/>
          <w:sz w:val="22"/>
          <w:szCs w:val="22"/>
        </w:rPr>
        <w:t xml:space="preserve">SASP transcription is primarily orchestrated by NF-κB and C/EBPβ, which are activated by persistent DDR signaling, the cGAS-STING pathway, and IL-1α through autocrine amplification. mTORC1 regulates SASP at the translational level, providing a mechanistic basis for the observation that rapamycin can suppress SASP without eliminating senescence per se: establishing the conceptual distinction between senolytic interventions (eliminating senescent cells) and senomorphic interventions (suppressing SASP output while leaving the senescent cells viable).</w:t>
      </w:r>
    </w:p>
    <w:p>
      <w:pPr>
        <w:pStyle w:val="Heading2"/>
        <w:spacing w:after="120" w:before="280"/>
      </w:pPr>
      <w:r>
        <w:rPr>
          <w:rFonts w:ascii="Arial" w:cs="Arial" w:eastAsia="Arial" w:hAnsi="Arial"/>
          <w:b/>
          <w:bCs/>
          <w:color w:val="028090"/>
          <w:sz w:val="24"/>
          <w:szCs w:val="24"/>
        </w:rPr>
        <w:t xml:space="preserve">7.2  SASP and Tumorigenesis</w:t>
      </w:r>
    </w:p>
    <w:p>
      <w:pPr>
        <w:spacing w:after="160" w:before="0" w:line="330"/>
        <w:jc w:val="both"/>
      </w:pPr>
      <w:r>
        <w:rPr>
          <w:rFonts w:ascii="Arial" w:cs="Arial" w:eastAsia="Arial" w:hAnsi="Arial"/>
          <w:color w:val="1E1E1E"/>
          <w:sz w:val="22"/>
          <w:szCs w:val="22"/>
        </w:rPr>
        <w:t xml:space="preserve">The relationship between SASP and cancer is bidirectional and phase-dependent. In early and premalignant lesions, SASP components (including CXCL1, CXCL5, and CCL20) recruit NK cells and macrophages that enforce tumor surveillance and eliminate initiated cells: a tumor-suppressive function. In the context of established tumors, however, the same inflammatory mediators promote tumor growth, angiogenesis, epithelial-mesenchymal transition (EMT), immune evasion, and metastatic dissemination. MMP secretion by senescent stromal cells degrades the basement membrane; fibronectin fragmentation generates cryptic RGD and IIICS motifs that activate integrin signaling and promote invasion; VEGF production promotes pathological neovascularization (Krtolica et al., 2001; Coppé et al., 2010).</w:t>
      </w:r>
    </w:p>
    <w:p>
      <w:pPr>
        <w:spacing w:after="160" w:before="0" w:line="330"/>
        <w:jc w:val="both"/>
      </w:pPr>
      <w:r>
        <w:rPr>
          <w:rFonts w:ascii="Arial" w:cs="Arial" w:eastAsia="Arial" w:hAnsi="Arial"/>
          <w:color w:val="1E1E1E"/>
          <w:sz w:val="22"/>
          <w:szCs w:val="22"/>
        </w:rPr>
        <w:t xml:space="preserve">This duality vindicates the concept, articulated by Dvorak in 1986, that tumors are 'wounds that do not heal.' Senescent cells in the tumor microenvironment recapitulate the inflammatory milieu of wound healing: initially protective, ultimately permissive of malignant progression when immune clearance of senescent cells is impaired, as occurs with aging-associated immunosenescence.</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8.  Inflammaging: Chronic Sterile Inflammation as a Hallmark of Aging</w:t>
      </w:r>
    </w:p>
    <w:p>
      <w:pPr>
        <w:spacing w:after="160" w:before="0" w:line="330"/>
        <w:jc w:val="both"/>
      </w:pPr>
      <w:r>
        <w:rPr>
          <w:rFonts w:ascii="Arial" w:cs="Arial" w:eastAsia="Arial" w:hAnsi="Arial"/>
          <w:color w:val="1E1E1E"/>
          <w:sz w:val="22"/>
          <w:szCs w:val="22"/>
        </w:rPr>
        <w:t xml:space="preserve">The term 'inflammaging,' introduced by Franceschi and colleagues, denotes the chronic, low-grade, sterile systemic inflammatory state that accompanies aging and underlies virtually all major age-related diseases (Franceschi et al., 2000). Formally recognized as a standalone Hallmark of Aging in the 2023 framework, inflammaging is distinguished from acute inflammation by its persistence, its subthreshold intensity relative to overt infection, and its absence of a resolved infectious or traumatic trigger.</w:t>
      </w:r>
    </w:p>
    <w:p>
      <w:pPr>
        <w:spacing w:after="160" w:before="0" w:line="330"/>
        <w:jc w:val="both"/>
      </w:pPr>
      <w:r>
        <w:rPr>
          <w:rFonts w:ascii="Arial" w:cs="Arial" w:eastAsia="Arial" w:hAnsi="Arial"/>
          <w:color w:val="1E1E1E"/>
          <w:sz w:val="22"/>
          <w:szCs w:val="22"/>
        </w:rPr>
        <w:t xml:space="preserve">Sources of inflammaging are multiple and convergent. SASP from accumulating senescent cells provides a continuous source of IL-6, IL-8, IL-1β, and TNF-α. Mitochondrial dysfunction generates reactive oxygen species and, through outer membrane rupture, releases mitochondrial DNA into the cytoplasm as a danger-associated molecular pattern (DAMP) recognized by the cGAS-STING pathway. Gut dysbiosis (age-associated alteration of the intestinal microbiome, accompanied by increased intestinal permeability) allows bacterial lipopolysaccharide (LPS) and other microbial products to translocate into systemic circulation and activate innate immune pattern recognition receptors. Adipose tissue macrophage activation, nuclear factor kappa-B activation in post-mitotic neurons, and senescence of immune cells themselves (immunosenescence) further sustain the inflammatory background.</w:t>
      </w:r>
    </w:p>
    <w:p>
      <w:pPr>
        <w:spacing w:after="160" w:before="0" w:line="330"/>
        <w:jc w:val="both"/>
      </w:pPr>
      <w:r>
        <w:rPr>
          <w:rFonts w:ascii="Arial" w:cs="Arial" w:eastAsia="Arial" w:hAnsi="Arial"/>
          <w:color w:val="1E1E1E"/>
          <w:sz w:val="22"/>
          <w:szCs w:val="22"/>
        </w:rPr>
        <w:t xml:space="preserve">The clinical consequences of inflammaging are substantial and measurable. Serum IL-6 and high-sensitivity C-reactive protein (hsCRP) are independent predictors of multimorbidity, frailty, accelerated cognitive decline, and all-cause mortality in elderly populations. The causal role of IL-1β-driven inflammation in atherosclerotic cardiovascular disease was directly demonstrated by the CANTOS trial, in which canakinumab (an IL-1β neutralizing monoclonal antibody) reduced incident cardiovascular events in patients with prior myocardial infarction and elevated hsCRP, independent of any effect on lipid levels (Ridker et al., NEJM 2017). This trial provided the first prospective clinical validation of the inflammatory hypothesis of atherothrombosis and established the therapeutic relevance of targeting SASP-relevant cytokines in age-associated disease. A pre-specified genomic substudy of CANTOS (Svensson et al., JAMA Cardiol 2022) provided a further mechanistic insight: TET2-CHIP carriers randomized to canakinumab experienced approximately 62% relative reduction in major adverse cardiovascular events (compared with equivocal benefit in non-CHIP participants) directly linking the clonal hematopoiesis of aging to IL-1β pathway biology and raising the prospect of mutation-guided anti-inflammatory cardiovascular therapy.</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9.  Stem Cells, Niches, and the Aging Tissue</w:t>
      </w:r>
    </w:p>
    <w:p>
      <w:pPr>
        <w:spacing w:after="160" w:before="0" w:line="330"/>
        <w:jc w:val="both"/>
      </w:pPr>
      <w:r>
        <w:rPr>
          <w:rFonts w:ascii="Arial" w:cs="Arial" w:eastAsia="Arial" w:hAnsi="Arial"/>
          <w:color w:val="1E1E1E"/>
          <w:sz w:val="22"/>
          <w:szCs w:val="22"/>
        </w:rPr>
        <w:t xml:space="preserve">Tissue stem cells are operationally defined by two essential properties: the capacity for self-renewal through asymmetric division, and the ability to generate differentiated progeny appropriate to their tissue of origin. Stem cell compartments have been directly characterized in the hematopoietic system, intestinal epithelium, epidermis, hair follicle bulge, skeletal muscle, brain subventricular zone and hippocampus, and male germline; evidence for resident stem or progenitor populations exists in nearly every adult tissue (Rando, 2006).</w:t>
      </w:r>
    </w:p>
    <w:p>
      <w:pPr>
        <w:pStyle w:val="Heading2"/>
        <w:spacing w:after="120" w:before="280"/>
      </w:pPr>
      <w:r>
        <w:rPr>
          <w:rFonts w:ascii="Arial" w:cs="Arial" w:eastAsia="Arial" w:hAnsi="Arial"/>
          <w:b/>
          <w:bCs/>
          <w:color w:val="028090"/>
          <w:sz w:val="24"/>
          <w:szCs w:val="24"/>
        </w:rPr>
        <w:t xml:space="preserve">9.1  Stem Cell Characteristics</w:t>
      </w:r>
    </w:p>
    <w:p>
      <w:pPr>
        <w:spacing w:after="160" w:before="0" w:line="330"/>
        <w:jc w:val="both"/>
      </w:pPr>
      <w:r>
        <w:rPr>
          <w:rFonts w:ascii="Arial" w:cs="Arial" w:eastAsia="Arial" w:hAnsi="Arial"/>
          <w:color w:val="1E1E1E"/>
          <w:sz w:val="22"/>
          <w:szCs w:val="22"/>
        </w:rPr>
        <w:t xml:space="preserve">Stem cells share a constellation of molecular characteristics that distinguish them from their progeny: prolonged quiescence or regulated cell cycling with expression of active telomerase; high expression of ATP-binding cassette (ABC) multidrug transporters; upregulated DNA damage repair pathways; enhanced protein quality control through the ubiquitin-proteasome system and autophagy; and specific signaling pathway dependencies including Notch/Delta, Wnt/β-catenin, Hedgehog, and JAK/STAT pathways (Ramalho-Santos et al., 2002). These same characteristics (drug efflux, quiescence, DNA repair) are exploited by cancer stem cells to resist cytotoxic therapy, providing a mechanistic explanation for treatment resistance and tumor recurrence.</w:t>
      </w:r>
    </w:p>
    <w:p>
      <w:pPr>
        <w:pStyle w:val="Heading2"/>
        <w:spacing w:after="120" w:before="280"/>
      </w:pPr>
      <w:r>
        <w:rPr>
          <w:rFonts w:ascii="Arial" w:cs="Arial" w:eastAsia="Arial" w:hAnsi="Arial"/>
          <w:b/>
          <w:bCs/>
          <w:color w:val="028090"/>
          <w:sz w:val="24"/>
          <w:szCs w:val="24"/>
        </w:rPr>
        <w:t xml:space="preserve">9.2  The Stem Cell Niche</w:t>
      </w:r>
    </w:p>
    <w:p>
      <w:pPr>
        <w:spacing w:after="160" w:before="0" w:line="330"/>
        <w:jc w:val="both"/>
      </w:pPr>
      <w:r>
        <w:rPr>
          <w:rFonts w:ascii="Arial" w:cs="Arial" w:eastAsia="Arial" w:hAnsi="Arial"/>
          <w:color w:val="1E1E1E"/>
          <w:sz w:val="22"/>
          <w:szCs w:val="22"/>
        </w:rPr>
        <w:t xml:space="preserve">Stem cell function is inseparably linked to the specialized microenvironment of the stem cell niche: anatomically fixed compartments that provide the signals, contacts, and physical conditions required to maintain stem cell identity and regulated proliferation (Spradling et al., 2001; Jones and Wagers, 2008). Key niche components include stromal cells (fibroblasts, endothelial cells, smooth muscle cells, adipocytes, osteoblasts), the extracellular matrix (ECM), and soluble factors including cytokines, growth factors, and morphogens.</w:t>
      </w:r>
    </w:p>
    <w:p>
      <w:pPr>
        <w:spacing w:after="160" w:before="0" w:line="330"/>
        <w:jc w:val="both"/>
      </w:pPr>
      <w:r>
        <w:rPr>
          <w:rFonts w:ascii="Arial" w:cs="Arial" w:eastAsia="Arial" w:hAnsi="Arial"/>
          <w:color w:val="1E1E1E"/>
          <w:sz w:val="22"/>
          <w:szCs w:val="22"/>
        </w:rPr>
        <w:t xml:space="preserve">The physical properties of the ECM (stiffness, elasticity, fibronectin composition, collagen architecture) directly determine stem cell fate decisions through mechanotransduction. Engler and colleagues demonstrated that marrow-derived mesenchymal stem cells differentiate into lineage-specific progeny matching the stiffness of their culture substrate: soft matrices (0.1-1 kPa, matching brain) drive neurogenic differentiation; intermediate matrices (8-17 kPa, matching muscle) drive myogenic differentiation; stiff matrices (25-40 kPa, matching collagenous bone) drive osteogenic differentiation (Engler et al., Cell 2006). With aging, ECM stiffness increases due to collagen crosslinking and fibronectin fragmentation, perturbing these mechanotransductive signals and altering the differentiation landscape of resident stem cells.</w:t>
      </w:r>
    </w:p>
    <w:p>
      <w:pPr>
        <w:pStyle w:val="Heading2"/>
        <w:spacing w:after="120" w:before="280"/>
      </w:pPr>
      <w:r>
        <w:rPr>
          <w:rFonts w:ascii="Arial" w:cs="Arial" w:eastAsia="Arial" w:hAnsi="Arial"/>
          <w:b/>
          <w:bCs/>
          <w:color w:val="028090"/>
          <w:sz w:val="24"/>
          <w:szCs w:val="24"/>
        </w:rPr>
        <w:t xml:space="preserve">9.3  Intestinal Stem Cells: Resolution of Model Controversy</w:t>
      </w:r>
    </w:p>
    <w:p>
      <w:pPr>
        <w:spacing w:after="160" w:before="0" w:line="330"/>
        <w:jc w:val="both"/>
      </w:pPr>
      <w:r>
        <w:rPr>
          <w:rFonts w:ascii="Arial" w:cs="Arial" w:eastAsia="Arial" w:hAnsi="Arial"/>
          <w:color w:val="1E1E1E"/>
          <w:sz w:val="22"/>
          <w:szCs w:val="22"/>
        </w:rPr>
        <w:t xml:space="preserve">The intestinal stem cell field provides an instructive example of scientific controversy resolved by lineage tracing. Two competing models were proposed: the '+4 position' model, which placed quiescent stem cells just above the Paneth cell zone, and the 'stem cell zone' or 'crypt base columnar cell' model of Cheng and Leblond, which identified actively cycling cells interspersed between Paneth cells at the crypt base as the true stem cells. The identification of Lgr5 (a leucine-rich repeat G protein-coupled receptor) as a definitive intestinal stem cell marker by Barker and colleagues (Nature 2007), combined with Cre-lox lineage tracing demonstrating that Lgr5+ crypt base columnar cells give rise to all intestinal epithelial lineages, resolved this controversy in favor of the stem cell zone model. The +4 cell may represent a reserve or label-retaining population rather than the primary cycling stem cell. Organoid culture systems derived from single Lgr5+ cells have further confirmed that these cells possess the full developmental capacity to self-organize into functional intestinal epithelium, providing a powerful tool for studying stem cell biology and cancer stem cell properties in vitro.</w:t>
      </w:r>
    </w:p>
    <w:p>
      <w:pPr>
        <w:pStyle w:val="Heading2"/>
        <w:spacing w:after="120" w:before="280"/>
      </w:pPr>
      <w:r>
        <w:rPr>
          <w:rFonts w:ascii="Arial" w:cs="Arial" w:eastAsia="Arial" w:hAnsi="Arial"/>
          <w:b/>
          <w:bCs/>
          <w:color w:val="028090"/>
          <w:sz w:val="24"/>
          <w:szCs w:val="24"/>
        </w:rPr>
        <w:t xml:space="preserve">9.4  Stem Cell Exhaustion and Aging</w:t>
      </w:r>
    </w:p>
    <w:p>
      <w:pPr>
        <w:spacing w:after="160" w:before="0" w:line="330"/>
        <w:jc w:val="both"/>
      </w:pPr>
      <w:r>
        <w:rPr>
          <w:rFonts w:ascii="Arial" w:cs="Arial" w:eastAsia="Arial" w:hAnsi="Arial"/>
          <w:color w:val="1E1E1E"/>
          <w:sz w:val="22"/>
          <w:szCs w:val="22"/>
        </w:rPr>
        <w:t xml:space="preserve">Stem cell exhaustion (depletion or functional decline of tissue stem cell populations with age) is an integrative hallmark of aging that manifests across multiple organ systems. In skeletal muscle, aged satellite cells exhibit impaired activation and reduced regenerative capacity following injury, driven in part by failure of autophagy to clear damaged mitochondria and protein aggregates; restoration of autophagy flux in aged satellite cells rescues regenerative function (García-Prat et al., Nature 2016). In the hematopoietic system, aged HSCs show myeloid-biased differentiation at the expense of lymphoid output, loss of niche retention, increased replication stress, and accumulation of DNA damage. The age-related skewing of peripheral blood leukocyte populations toward myeloid cells and away from lymphocytes (a consistent clinical finding in elderly patients) reflects these intrinsic changes in HSC biology.</w:t>
      </w:r>
    </w:p>
    <w:p>
      <w:pPr>
        <w:pStyle w:val="Heading1"/>
        <w:spacing w:after="160" w:before="400"/>
      </w:pPr>
      <w:r>
        <w:rPr>
          <w:rFonts w:ascii="Georgia" w:cs="Georgia" w:eastAsia="Georgia" w:hAnsi="Georgia"/>
          <w:b/>
          <w:bCs/>
          <w:color w:val="0D2137"/>
          <w:sz w:val="28"/>
          <w:szCs w:val="28"/>
        </w:rPr>
        <w:t xml:space="preserve">10.  Clonal Hematopoiesis of Indeterminate Potential</w:t>
      </w:r>
    </w:p>
    <w:p>
      <w:pPr>
        <w:spacing w:after="160" w:before="0" w:line="330"/>
        <w:jc w:val="both"/>
      </w:pPr>
      <w:r>
        <w:rPr>
          <w:rFonts w:ascii="Arial" w:cs="Arial" w:eastAsia="Arial" w:hAnsi="Arial"/>
          <w:color w:val="1E1E1E"/>
          <w:sz w:val="22"/>
          <w:szCs w:val="22"/>
        </w:rPr>
        <w:t xml:space="preserve">Clonal hematopoiesis of indeterminate potential (CHIP) is among the most consequential discoveries in the intersection of aging and cancer biology of the past decade. CHIP is defined as the detection in peripheral blood of a somatic mutation in a gene associated with hematologic malignancy, present at a variant allele frequency (VAF) of ≥2%, in the absence of cytopenias meeting criteria for a hematologic neoplasm (Steensma et al., 2015). Its prevalence increases steeply with age: detectable in approximately 1-2% of individuals under 50, rising to 10-20% of those over 70 and more than 50% of individuals over 90 (Jaiswal et al., NEJM 2014; Genovese et al., NEJM 2014). When clonal mutations co-occur with unexplained cytopenias, the designation shifts to clonal cytopenia of undetermined significance (CCUS), which carries a substantially higher rate of malignant progression (approximately 10-15% over five years) and warrants expedited hematologic evaluation.</w:t>
      </w:r>
    </w:p>
    <w:p>
      <w:pPr>
        <w:pStyle w:val="Heading2"/>
        <w:spacing w:after="120" w:before="280"/>
      </w:pPr>
      <w:r>
        <w:rPr>
          <w:rFonts w:ascii="Arial" w:cs="Arial" w:eastAsia="Arial" w:hAnsi="Arial"/>
          <w:b/>
          <w:bCs/>
          <w:color w:val="028090"/>
          <w:sz w:val="24"/>
          <w:szCs w:val="24"/>
        </w:rPr>
        <w:t xml:space="preserve">10.1  Driver Genes and Gene-Specific Risk Profiles</w:t>
      </w:r>
    </w:p>
    <w:p>
      <w:pPr>
        <w:spacing w:after="160" w:before="0" w:line="330"/>
        <w:jc w:val="both"/>
      </w:pPr>
      <w:r>
        <w:rPr>
          <w:rFonts w:ascii="Arial" w:cs="Arial" w:eastAsia="Arial" w:hAnsi="Arial"/>
          <w:color w:val="1E1E1E"/>
          <w:sz w:val="22"/>
          <w:szCs w:val="22"/>
        </w:rPr>
        <w:t xml:space="preserve">The most commonly mutated genes in CHIP are DNMT3A (DNA methyltransferase 3 alpha), TET2 (tet methylcytosine dioxygenase 2), and ASXL1 (additional sex combs like 1) (all encoding epigenetic regulatory proteins. These three genes account for approximately 70% of CHIP cases, with a long tail of rarer mutations in JAK2, TP53, splicing factors, and IDH1/2. Their cardiovascular and malignancy risk profiles are not interchangeable. DNMT3A mutations are the most prevalent and confer real but modest cardiovascular risk through mechanisms less clearly tied to inflammasome biology. TET2 mutations, the second most common, carry the strongest cardiovascular signal: TET2-deficient macrophages exhibit hyperactivated NLRP3 inflammasome signaling with excessive IL-1β production, directly accelerating atherosclerotic plaque formation and, independently, myocardial fibrosis (Fuster et al., 2017; Sano et al., 2018). ASXL1 mutations are malignancy-dominant) carrying higher rates of progression to overt myeloid neoplasia: and require a different clinical prioritization toward hematologic surveillance. Clone size, measured by VAF, functions as a dose-response modifier across cardiovascular endpoints: mutations at VAF ≥10% confer substantially greater cardiovascular risk than smaller clones, and the association with coronary artery disease is driven predominantly by the high-VAF subgroup (Jaiswal et al., 2017).</w:t>
      </w:r>
    </w:p>
    <w:p>
      <w:pPr>
        <w:pStyle w:val="Heading2"/>
        <w:spacing w:after="120" w:before="280"/>
      </w:pPr>
      <w:r>
        <w:rPr>
          <w:rFonts w:ascii="Arial" w:cs="Arial" w:eastAsia="Arial" w:hAnsi="Arial"/>
          <w:b/>
          <w:bCs/>
          <w:color w:val="028090"/>
          <w:sz w:val="24"/>
          <w:szCs w:val="24"/>
        </w:rPr>
        <w:t xml:space="preserve">10.2  Cardiovascular Risk: Mechanisms and Clinical Evidence</w:t>
      </w:r>
    </w:p>
    <w:p>
      <w:pPr>
        <w:spacing w:after="160" w:before="0" w:line="330"/>
        <w:jc w:val="both"/>
      </w:pPr>
      <w:r>
        <w:rPr>
          <w:rFonts w:ascii="Arial" w:cs="Arial" w:eastAsia="Arial" w:hAnsi="Arial"/>
          <w:color w:val="1E1E1E"/>
          <w:sz w:val="22"/>
          <w:szCs w:val="22"/>
        </w:rPr>
        <w:t xml:space="preserve">CHIP carriers have approximately twice the risk of coronary artery disease and a markedly elevated risk of early-onset myocardial infarction (MI) compared with age-matched individuals without detected clonal mutations, independent of traditional cardiovascular risk factors (Jaiswal et al., 2017). The TET2-NLRP3-IL-1β pathway is the best-characterized mechanism: the same inflammasome cascade targeted by canakinumab in the CANTOS trial is constitutively hyperactivated in TET2-mutant macrophages within atherosclerotic plaques, providing a mechanistic rationale for precision anti-inflammatory therapy in this subgroup.</w:t>
      </w:r>
    </w:p>
    <w:p>
      <w:pPr>
        <w:spacing w:after="160" w:before="0" w:line="330"/>
        <w:jc w:val="both"/>
      </w:pPr>
      <w:r>
        <w:rPr>
          <w:rFonts w:ascii="Arial" w:cs="Arial" w:eastAsia="Arial" w:hAnsi="Arial"/>
          <w:color w:val="1E1E1E"/>
          <w:sz w:val="22"/>
          <w:szCs w:val="22"/>
        </w:rPr>
        <w:t xml:space="preserve">A critical advance is the recognition that the CHIP-cardiovascular relationship is bidirectional. Heyde and colleagues (Cell 2021) demonstrated that MI itself drives emergency hematopoiesis that selectively expands TET2-mutant HSC clones: establishing a reinforcing feedback loop in which cardiovascular disease and clonal hematopoiesis mutually amplify each other over time. This observation has direct implications for the aging-cancer nexus: aging-driven CHIP promotes cardiovascular disease, cardiovascular disease expands CHIP clones, and expanding clones further amplify the inflammaging milieu that accelerates both processes.</w:t>
      </w:r>
    </w:p>
    <w:p>
      <w:pPr>
        <w:spacing w:after="160" w:before="0" w:line="330"/>
        <w:jc w:val="both"/>
      </w:pPr>
      <w:r>
        <w:rPr>
          <w:rFonts w:ascii="Arial" w:cs="Arial" w:eastAsia="Arial" w:hAnsi="Arial"/>
          <w:color w:val="1E1E1E"/>
          <w:sz w:val="22"/>
          <w:szCs w:val="22"/>
        </w:rPr>
        <w:t xml:space="preserve">Beyond coronary artery disease, TET2-CHIP is now specifically associated with heart failure with preserved ejection fraction (HFpEF). Schuermans and colleagues (JAMA Netw Open, 2024) demonstrated across two large prospective cohorts that TET2-CHIP (but not DNMT3A-CHIP) was independently associated with incident HFpEF with a meta-analyzed hazard ratio of 2.35 (95% CI, 1.34-4.11), with the association strongest in participants with elevated C-reactive protein. Mechanistic studies in Tet2 knockout mouse models of HFpEF confirmed that TET2-deficient bone marrow drives diastolic dysfunction through NLRP3/IL-1β-mediated expansion of pro-inflammatory cardiac macrophage subsets: a mechanism absent in DNMT3A knockout animals, establishing TET2 specificity. These findings are of particular relevance to the aging-cancer nexus because HFpEF is predominantly a disease of older adults, its pathophysiology overlaps substantially with inflammaging, and its current lack of effective disease-modifying therapies makes mutation-guided anti-inflammatory intervention an urgent research priority.</w:t>
      </w:r>
    </w:p>
    <w:p>
      <w:pPr>
        <w:pStyle w:val="Heading2"/>
        <w:spacing w:after="120" w:before="280"/>
      </w:pPr>
      <w:r>
        <w:rPr>
          <w:rFonts w:ascii="Arial" w:cs="Arial" w:eastAsia="Arial" w:hAnsi="Arial"/>
          <w:b/>
          <w:bCs/>
          <w:color w:val="028090"/>
          <w:sz w:val="24"/>
          <w:szCs w:val="24"/>
        </w:rPr>
        <w:t xml:space="preserve">10.3  Environmental Modifiers of Clonal Selection</w:t>
      </w:r>
    </w:p>
    <w:p>
      <w:pPr>
        <w:spacing w:after="160" w:before="0" w:line="330"/>
        <w:jc w:val="both"/>
      </w:pPr>
      <w:r>
        <w:rPr>
          <w:rFonts w:ascii="Arial" w:cs="Arial" w:eastAsia="Arial" w:hAnsi="Arial"/>
          <w:color w:val="1E1E1E"/>
          <w:sz w:val="22"/>
          <w:szCs w:val="22"/>
        </w:rPr>
        <w:t xml:space="preserve">The clonal dynamics of CHIP are not determined solely by intrinsic HSC biology (they are substantially modified by environmental exposures that exert mutation-specific selective pressure. Florez and colleagues (Cell Stem Cell, 2022) established a foundational framework: inflammatory exposures preferentially expand TET2 and DNMT3A clones through immune-mediated bone marrow niche remodeling, while genotoxic stressors) cytotoxic chemotherapy, ionizing radiation (selectively amplify TP53, PPM1D, and CHEK2 mutations. Consistent with this, cigarette smoke exposure has been confirmed through Mendelian randomization and murine models to promote TET2 and JAK2-V617F clonal expansion through inflammatory pathway activation. Leiser and colleagues (Cancer Epidemiol Biomarkers Prev, 2023) provided the first direct evidence that ambient environmental exposure influences CHIP prevalence, demonstrating an association between long-term air pollution and CHIP detection in population data. The relationship between agricultural chemical exposures) organophosphates, herbicides, and other agents known to increase hematologic malignancy risk in occupationally exposed populations: and CHIP prevalence or driver gene distribution has not yet been characterized, representing a scientifically grounded and clinically accessible research gap.</w:t>
      </w:r>
    </w:p>
    <w:p>
      <w:pPr>
        <w:pStyle w:val="Heading2"/>
        <w:spacing w:after="120" w:before="280"/>
      </w:pPr>
      <w:r>
        <w:rPr>
          <w:rFonts w:ascii="Arial" w:cs="Arial" w:eastAsia="Arial" w:hAnsi="Arial"/>
          <w:b/>
          <w:bCs/>
          <w:color w:val="028090"/>
          <w:sz w:val="24"/>
          <w:szCs w:val="24"/>
        </w:rPr>
        <w:t xml:space="preserve">10.4  CHIP as Exemplar of Aging-Driven Pre-Malignant Clonal Evolution</w:t>
      </w:r>
    </w:p>
    <w:p>
      <w:pPr>
        <w:spacing w:after="160" w:before="0" w:line="330"/>
        <w:jc w:val="both"/>
      </w:pPr>
      <w:r>
        <w:rPr>
          <w:rFonts w:ascii="Arial" w:cs="Arial" w:eastAsia="Arial" w:hAnsi="Arial"/>
          <w:color w:val="1E1E1E"/>
          <w:sz w:val="22"/>
          <w:szCs w:val="22"/>
        </w:rPr>
        <w:t xml:space="preserve">CHIP directly exemplifies a core principle of aging-cancer biology: that stem cells are the most plausible cells of malignant origin because of their longevity and capacity to accumulate multiple somatic mutations over time. The demonstration that a single mutant HSC clone, carrying an epigenetic dysregulation mutation in DNMT3A, TET2, or ASXL1, can expand to represent a substantial fraction of total peripheral blood production over years to decades (without additional driver mutations) validates the multi-hit model of carcinogenesis while revealing that the pre-malignant clonal expansion phase is far more prevalent, earlier in life, and more biologically consequential than previously appreciated. Critically, the clinical consequences of this clonal expansion extend well beyond its eventual (and probabilistically uncommon) progression to leukemia: the expanded clone's inflammatory secretory program drives cardiovascular disease through mechanisms that now have an established pharmacological target, bringing the conceptual framework of aging-driven pre-malignancy into direct contact with precision cardiovascular therapeutics.</w:t>
      </w:r>
    </w:p>
    <w:p>
      <w:pPr>
        <w:pBdr>
          <w:bottom w:val="single" w:color="C8DFF0" w:sz="4" w:space="1"/>
        </w:pBdr>
        <w:spacing w:after="240" w:before="240"/>
      </w:pPr>
      <w:r>
        <w:t xml:space="preserve"/>
      </w:r>
    </w:p>
    <w:p>
      <w:pPr>
        <w:pStyle w:val="Heading2"/>
        <w:spacing w:after="120" w:before="280"/>
      </w:pPr>
      <w:r>
        <w:rPr>
          <w:rFonts w:ascii="Arial" w:cs="Arial" w:eastAsia="Arial" w:hAnsi="Arial"/>
          <w:b/>
          <w:bCs/>
          <w:color w:val="028090"/>
          <w:sz w:val="24"/>
          <w:szCs w:val="24"/>
        </w:rPr>
        <w:t xml:space="preserve">10.5  Thymic Involution and Clonal Hematopoiesis: Convergent Consequences of Hematopoietic Aging</w:t>
      </w:r>
    </w:p>
    <w:p>
      <w:pPr>
        <w:spacing w:after="160" w:before="0" w:line="330"/>
        <w:jc w:val="both"/>
      </w:pPr>
      <w:r>
        <w:rPr>
          <w:rFonts w:ascii="Arial" w:cs="Arial" w:eastAsia="Arial" w:hAnsi="Arial"/>
          <w:color w:val="1E1E1E"/>
          <w:sz w:val="22"/>
          <w:szCs w:val="22"/>
        </w:rPr>
        <w:t xml:space="preserve">The relationship between thymopoiesis and clonal hematopoiesis is not incidental: it is mechanistically convergent, originating from a shared cellular substrate and producing mutually reinforcing immune dysfunction through distinct but complementary pathways. Both represent consequences of aging in the hematopoietic stem cell compartment, constituting the lymphoid and myeloid arms, respectively, of a single overarching process of immune system senescence.</w:t>
      </w:r>
    </w:p>
    <w:p>
      <w:pPr>
        <w:spacing w:after="160" w:before="0" w:line="330"/>
        <w:jc w:val="both"/>
      </w:pPr>
      <w:r>
        <w:rPr>
          <w:rFonts w:ascii="Arial" w:cs="Arial" w:eastAsia="Arial" w:hAnsi="Arial"/>
          <w:color w:val="1E1E1E"/>
          <w:sz w:val="22"/>
          <w:szCs w:val="22"/>
        </w:rPr>
        <w:t xml:space="preserve">Thymic involution (the progressive fibrotic replacement of thymic parenchyma that begins after puberty and continues throughout adult life) reduces naive T cell output to a fraction of its youthful level by the sixth and seventh decades. The peripheral T cell pool in elderly individuals is consequently maintained almost entirely by homeostatic proliferation of pre-existing memory clones rather than thymic export of newly educated naive cells, with two consequences of direct relevance to CHIP biology. First, T cell receptor (TCR) repertoire diversity narrows as the naive compartment contracts, impairing the capacity for diverse, de novo immune recognition of aberrant cells including pre-malignant HSC clones. Second, the immune surveillance mechanisms that should eliminate expanding CHIP clones (principally cytotoxic CD8+ T cell and natural killer (NK) cell recognition of clonally expanded or genomically unstable hematopoietic cells) are progressively degraded by the same process of thymic failure and T cell senescence that characterizes immunosenescence broadly.</w:t>
      </w:r>
    </w:p>
    <w:p>
      <w:pPr>
        <w:spacing w:after="160" w:before="0" w:line="330"/>
        <w:jc w:val="both"/>
      </w:pPr>
      <w:r>
        <w:rPr>
          <w:rFonts w:ascii="Arial" w:cs="Arial" w:eastAsia="Arial" w:hAnsi="Arial"/>
          <w:color w:val="1E1E1E"/>
          <w:sz w:val="22"/>
          <w:szCs w:val="22"/>
        </w:rPr>
        <w:t xml:space="preserve">The CHIP driver genes are not passive passengers in T cell biology. DNMT3A and TET2, the two most prevalent CHIP drivers, have active and non-redundant roles in T cell differentiation and function. DNMT3A is required for appropriate de novo methylation during effector-to-memory T cell transition; DNMT3A-deficient T cells exhibit stem-like accumulation, impaired effector differentiation, and altered regulatory T cell (Treg) function. TET2 is highly expressed in Tregs and is essential for their suppressive transcriptional program; TET2-deficient Tregs exhibit impaired stability and suppressive capacity. When CHIP mutations arise in HSCs that retain lymphoid differentiation potential (as occurs in lymphoid clonal hematopoiesis (L-CHIP), formally distinguished from myeloid CHIP by Niroula and colleagues (Nature Medicine, 2021)) the resulting T cells carry epigenetic dysregulation that alters their functional properties, including their capacity to maintain self-tolerance and conduct immune surveillance.</w:t>
      </w:r>
    </w:p>
    <w:p>
      <w:pPr>
        <w:spacing w:after="160" w:before="0" w:line="330"/>
        <w:jc w:val="both"/>
      </w:pPr>
      <w:r>
        <w:rPr>
          <w:rFonts w:ascii="Arial" w:cs="Arial" w:eastAsia="Arial" w:hAnsi="Arial"/>
          <w:color w:val="1E1E1E"/>
          <w:sz w:val="22"/>
          <w:szCs w:val="22"/>
        </w:rPr>
        <w:t xml:space="preserve">The relationship is further characterized by a mutually reinforcing feedback dynamic. CHIP-driven myeloid cells generate an inflammatory secretory program (producing excess IL-1β, IL-6, and TNF-α through NLRP3 inflammasome activation and NF-κB signaling) that accelerates T cell exhaustion, promotes memory T cell senescence, and further impairs thymic function through inflammatory cytokine effects on thymic stromal cells. Declining thymic output, in turn, reduces the pool of naive T cells capable of recognizing and eliminating expanding CHIP clones. Neither process initiates the other, but each amplifies the other's consequences in a cycle that accelerates with age: thymic involution impairs CHIP immune surveillance, CHIP-driven inflammaging accelerates T cell exhaustion and thymic deterioration, and the resulting immunosenescence permits further clonal expansion.</w:t>
      </w:r>
    </w:p>
    <w:p>
      <w:pPr>
        <w:spacing w:after="160" w:before="0" w:line="330"/>
        <w:jc w:val="both"/>
      </w:pPr>
      <w:r>
        <w:rPr>
          <w:rFonts w:ascii="Arial" w:cs="Arial" w:eastAsia="Arial" w:hAnsi="Arial"/>
          <w:color w:val="1E1E1E"/>
          <w:sz w:val="22"/>
          <w:szCs w:val="22"/>
        </w:rPr>
        <w:t xml:space="preserve">This convergence has direct implications for the cancer-aging nexus. The loss of TCR diversity and naive T cell output resulting from thymic involution is one of the mechanisms by which aging tissues lose immune surveillance of nascent malignancies. The simultaneous accumulation of CHIP clones in the myeloid compartment generates a pro-inflammatory, immunosuppressive tumor microenvironment that promotes tumor immune evasion. These two aging-driven processes (one reducing the immune system's capacity to recognize cancer, the other creating the inflammatory milieu that allows it to grow) represent the lymphoid and myeloid dimensions of a shared immunological failure that makes cancer both more likely to arise and more difficult to eliminate in elderly individuals.</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11.  Senolytics and Senomorphics: Therapeutic Targeting of Senescence</w:t>
      </w:r>
    </w:p>
    <w:p>
      <w:pPr>
        <w:spacing w:after="160" w:before="0" w:line="330"/>
        <w:jc w:val="both"/>
      </w:pPr>
      <w:r>
        <w:rPr>
          <w:rFonts w:ascii="Arial" w:cs="Arial" w:eastAsia="Arial" w:hAnsi="Arial"/>
          <w:color w:val="1E1E1E"/>
          <w:sz w:val="22"/>
          <w:szCs w:val="22"/>
        </w:rPr>
        <w:t xml:space="preserve">The recognition that senescent cell accumulation drives aging-associated pathology has prompted the development of a new class of therapeutic agents: senolytics, which selectively induce apoptosis in senescent cells, and senomorphics, which suppress SASP output while leaving senescent cells viable. These two strategies reflect distinct goals (elimination versus modulation) with different safety profiles and therapeutic applications.</w:t>
      </w:r>
    </w:p>
    <w:p>
      <w:pPr>
        <w:pStyle w:val="Heading2"/>
        <w:spacing w:after="120" w:before="280"/>
      </w:pPr>
      <w:r>
        <w:rPr>
          <w:rFonts w:ascii="Arial" w:cs="Arial" w:eastAsia="Arial" w:hAnsi="Arial"/>
          <w:b/>
          <w:bCs/>
          <w:color w:val="028090"/>
          <w:sz w:val="24"/>
          <w:szCs w:val="24"/>
        </w:rPr>
        <w:t xml:space="preserve">11.1  Senescent Cell Anti-Apoptotic Pathways</w:t>
      </w:r>
    </w:p>
    <w:p>
      <w:pPr>
        <w:spacing w:after="160" w:before="0" w:line="330"/>
        <w:jc w:val="both"/>
      </w:pPr>
      <w:r>
        <w:rPr>
          <w:rFonts w:ascii="Arial" w:cs="Arial" w:eastAsia="Arial" w:hAnsi="Arial"/>
          <w:color w:val="1E1E1E"/>
          <w:sz w:val="22"/>
          <w:szCs w:val="22"/>
        </w:rPr>
        <w:t xml:space="preserve">The rational basis for senolytics is the observation that senescent cells upregulate a network of pro-survival pathways (Senescent Cell Anti-Apoptotic Pathways (SCAPs)) that allow them to resist the cytotoxic mediators they themselves secrete through SASP. SCAPs include BCL-2, BCL-XL, and BCL-W family members; PI3K/AKT; p21/PUMA/p53 interactions; HIF-1α; and serpine proteins (Zhu et al., Aging Cell 2015). These pathways create a cell-type and context-specific vulnerability that can be exploited by drugs capable of disabling SCAPs, as senescent cells (unlike most normal cells) have an unusually high dependency on multiple simultaneously active survival pathways.</w:t>
      </w:r>
    </w:p>
    <w:p>
      <w:pPr>
        <w:pStyle w:val="Heading2"/>
        <w:spacing w:after="120" w:before="280"/>
      </w:pPr>
      <w:r>
        <w:rPr>
          <w:rFonts w:ascii="Arial" w:cs="Arial" w:eastAsia="Arial" w:hAnsi="Arial"/>
          <w:b/>
          <w:bCs/>
          <w:color w:val="028090"/>
          <w:sz w:val="24"/>
          <w:szCs w:val="24"/>
        </w:rPr>
        <w:t xml:space="preserve">11.2  First-Generation Senolytics</w:t>
      </w:r>
    </w:p>
    <w:p>
      <w:pPr>
        <w:spacing w:after="160" w:before="0" w:line="330"/>
        <w:jc w:val="both"/>
      </w:pPr>
      <w:r>
        <w:rPr>
          <w:rFonts w:ascii="Arial" w:cs="Arial" w:eastAsia="Arial" w:hAnsi="Arial"/>
          <w:color w:val="1E1E1E"/>
          <w:sz w:val="22"/>
          <w:szCs w:val="22"/>
        </w:rPr>
        <w:t xml:space="preserve">The combination of dasatinib and quercetin (D+Q) was identified as the first senolytic combination through a hypothesis-driven screen of SCAP inhibitors. Dasatinib, a BCR-ABL/Src family kinase inhibitor developed for oncology, clears senescent pre-adipocytes and other mesenchymal cell types; quercetin, a naturally occurring flavonoid, targets senescent endothelial cells and certain epithelial populations. Together, they reduce senescent cell burden, attenuate frailty, improve physical function, and extend healthspan in aged and progeroid mice. An intermittent 'hit-and-run' dosing strategy (exploiting the weeks required for senescent cells to re-accumulate) reduces off-target toxicity and is the basis for clinical trial protocols (Kirkland et al., 2017).</w:t>
      </w:r>
    </w:p>
    <w:p>
      <w:pPr>
        <w:spacing w:after="160" w:before="0" w:line="330"/>
        <w:jc w:val="both"/>
      </w:pPr>
      <w:r>
        <w:rPr>
          <w:rFonts w:ascii="Arial" w:cs="Arial" w:eastAsia="Arial" w:hAnsi="Arial"/>
          <w:color w:val="1E1E1E"/>
          <w:sz w:val="22"/>
          <w:szCs w:val="22"/>
        </w:rPr>
        <w:t xml:space="preserve">Navitoclax (ABT-263), a BCL-2/BCL-XL inhibitor repurposed from hematologic oncology, clears senescent cells in hematopoietic, pulmonary, and muscle compartments with demonstrated healthspan benefits in aged mice. Dose-limiting thrombocytopenia (reflecting platelet dependence on BCL-XL) has driven development of more selective BCL-XL inhibitors. Fisetin, a naturally occurring flavone with senolytic activity demonstrated in multiple cell types and ex vivo human adipose tissue, has a more favorable toxicity profile. Second-generation approaches include senolytic CAR-T cells targeting the senescent cell surface marker uPAR, which selectively eliminated senescent cells and reversed age-related pathologies in mice (Amor et al., Nature 2020), and antibody-drug conjugates directed at senescent cell surface antigens including B2M.</w:t>
      </w:r>
    </w:p>
    <w:p>
      <w:pPr>
        <w:pStyle w:val="Heading2"/>
        <w:spacing w:after="120" w:before="280"/>
      </w:pPr>
      <w:r>
        <w:rPr>
          <w:rFonts w:ascii="Arial" w:cs="Arial" w:eastAsia="Arial" w:hAnsi="Arial"/>
          <w:b/>
          <w:bCs/>
          <w:color w:val="028090"/>
          <w:sz w:val="24"/>
          <w:szCs w:val="24"/>
        </w:rPr>
        <w:t xml:space="preserve">11.3  Clinical Translation</w:t>
      </w:r>
    </w:p>
    <w:p>
      <w:pPr>
        <w:spacing w:after="160" w:before="0" w:line="330"/>
        <w:jc w:val="both"/>
      </w:pPr>
      <w:r>
        <w:rPr>
          <w:rFonts w:ascii="Arial" w:cs="Arial" w:eastAsia="Arial" w:hAnsi="Arial"/>
          <w:color w:val="1E1E1E"/>
          <w:sz w:val="22"/>
          <w:szCs w:val="22"/>
        </w:rPr>
        <w:t xml:space="preserve">Approximately twenty clinical trials of senolytic agents are ongoing in humans as of 2025, evaluating D+Q and navitoclax in indications including idiopathic pulmonary fibrosis, Alzheimer's disease, chronic kidney disease, osteoarthritis, and frailty. The first randomized controlled trial of D+Q in humans (a Phase 2 trial in postmenopausal women (Farr et al., 2024)) demonstrated biological activity on bone resorption markers over 20 weeks. The field is actively developing biomarkers of senescent cell burden, including p16Ink4a expression in circulating T cells and a panel of plasma SASP factors, to enable patient stratification and response assessment. The broader 'geroscience hypothesis' (that targeting shared upstream aging mechanisms can simultaneously delay or prevent multiple age-related diseases) is under direct clinical evaluation for the first time.</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12.  Epigenetic Aging and Reprogramming</w:t>
      </w:r>
    </w:p>
    <w:p>
      <w:pPr>
        <w:spacing w:after="160" w:before="0" w:line="330"/>
        <w:jc w:val="both"/>
      </w:pPr>
      <w:r>
        <w:rPr>
          <w:rFonts w:ascii="Arial" w:cs="Arial" w:eastAsia="Arial" w:hAnsi="Arial"/>
          <w:color w:val="1E1E1E"/>
          <w:sz w:val="22"/>
          <w:szCs w:val="22"/>
        </w:rPr>
        <w:t xml:space="preserve">The aging epigenome is not merely passively deteriorating: it is regulated by epigenetic information that can, to a meaningful degree, be quantified and reset. This understanding has emerged from two convergent lines of evidence: the development of DNA methylation clocks that accurately measure biological age, and the demonstration that cellular reprogramming (which erases epigenetic age) can be decoupled from loss of cell identity.</w:t>
      </w:r>
    </w:p>
    <w:p>
      <w:pPr>
        <w:spacing w:after="160" w:before="0" w:line="330"/>
        <w:jc w:val="both"/>
      </w:pPr>
      <w:r>
        <w:rPr>
          <w:rFonts w:ascii="Arial" w:cs="Arial" w:eastAsia="Arial" w:hAnsi="Arial"/>
          <w:color w:val="1E1E1E"/>
          <w:sz w:val="22"/>
          <w:szCs w:val="22"/>
        </w:rPr>
        <w:t xml:space="preserve">The Horvath clock (2013) demonstrated that a multivariate model incorporating methylation at 353 CpG sites predicts chronological age across diverse tissues with a median absolute deviation of approximately 3.6 years (Horvath, Genome Biology 2013). Second-generation clocks trained on health outcomes rather than age (GrimAge, PhenoAge) predict mortality, frailty, and disease risk more powerfully. These clocks have established that biological aging is quantifiable, that it can diverge from chronological aging, and that interventions (including diet, exercise, rapamycin, and now partial reprogramming) can measurably reduce biological age.</w:t>
      </w:r>
    </w:p>
    <w:p>
      <w:pPr>
        <w:spacing w:after="160" w:before="0" w:line="330"/>
        <w:jc w:val="both"/>
      </w:pPr>
      <w:r>
        <w:rPr>
          <w:rFonts w:ascii="Arial" w:cs="Arial" w:eastAsia="Arial" w:hAnsi="Arial"/>
          <w:color w:val="1E1E1E"/>
          <w:sz w:val="22"/>
          <w:szCs w:val="22"/>
        </w:rPr>
        <w:t xml:space="preserve">Partial reprogramming refers to the transient expression of Yamanaka reprogramming factors (OCT4, SOX2, KLF4, and c-MYC (OSKM) for a duration sufficient to reset the epigenetic clock without inducing pluripotency or erasing cell identity. Ocampo and colleagues demonstrated that cyclic OSKM expression in progeroid mice ameliorated aging hallmarks and extended lifespan without teratoma formation (Ocampo et al., Cell 2016). Lu and colleagues used a c-MYC-free variant (OSK) to restore youthful epigenetic patterns and optic nerve regeneration in aged and glaucomatous mice, representing the first functional in vivo tissue rejuvenation via partial reprogramming (Lu et al., Nature 2020). Yang and colleagues (Cell 2023) formalized the 'information theory of aging,' proposing that aging reflects loss of epigenetic information rather than physical destruction of DNA, with partial reprogramming restoring the informational fidelity of the epigenome. The therapeutic implications of this framework) and its intersection with cancer biology, given that epigenetic reprogramming is also a mechanism of cancer cell plasticity: remain active areas of investigation.</w:t>
      </w:r>
    </w:p>
    <w:p>
      <w:pPr>
        <w:pBdr>
          <w:bottom w:val="single" w:color="C8DFF0" w:sz="4" w:space="1"/>
        </w:pBdr>
        <w:spacing w:after="240" w:before="240"/>
      </w:pPr>
      <w:r>
        <w:t xml:space="preserve"/>
      </w:r>
    </w:p>
    <w:p>
      <w:pPr>
        <w:pBdr>
          <w:bottom w:val="single" w:color="C8DFF0" w:sz="4" w:space="1"/>
        </w:pBdr>
        <w:spacing w:after="240" w:before="240"/>
      </w:pPr>
      <w:r>
        <w:t xml:space="preserve"/>
      </w:r>
    </w:p>
    <w:p>
      <w:pPr>
        <w:spacing w:after="160" w:before="0" w:line="330"/>
        <w:jc w:val="both"/>
      </w:pPr>
      <w:r>
        <w:rPr>
          <w:rFonts w:ascii="Arial" w:cs="Arial" w:eastAsia="Arial" w:hAnsi="Arial"/>
          <w:color w:val="1E1E1E"/>
          <w:sz w:val="22"/>
          <w:szCs w:val="22"/>
        </w:rPr>
        <w:t xml:space="preserve">The aging mechanisms described in the preceding sections (hallmarks, telomere biology, senescence, inflammaging, stem cell exhaustion, clonal hematopoiesis, and epigenetic drift) do not merely predispose to cancer through passive accumulation of risk: they actively shape the tissue microenvironment, immune landscape, and cellular state landscape in which cancer arises and progresses. The following sections examine cancer as the downstream clinical expression of these aging mechanisms, beginning with its epidemiology and molecular hallmarks and culminating in the cancer stem cell paradigm as the conceptual framework that integrates tumor biology with aging-driven tissue dysfunction.</w:t>
      </w:r>
    </w:p>
    <w:p>
      <w:pPr>
        <w:pStyle w:val="Heading1"/>
        <w:spacing w:after="160" w:before="400"/>
      </w:pPr>
      <w:r>
        <w:rPr>
          <w:rFonts w:ascii="Georgia" w:cs="Georgia" w:eastAsia="Georgia" w:hAnsi="Georgia"/>
          <w:b/>
          <w:bCs/>
          <w:color w:val="0D2137"/>
          <w:sz w:val="28"/>
          <w:szCs w:val="28"/>
        </w:rPr>
        <w:t xml:space="preserve">13.  Cancer: Epidemiology, Hallmarks, and Molecular Architecture</w:t>
      </w:r>
    </w:p>
    <w:p>
      <w:pPr>
        <w:spacing w:after="160" w:before="0" w:line="330"/>
        <w:jc w:val="both"/>
      </w:pPr>
      <w:r>
        <w:rPr>
          <w:rFonts w:ascii="Arial" w:cs="Arial" w:eastAsia="Arial" w:hAnsi="Arial"/>
          <w:color w:val="1E1E1E"/>
          <w:sz w:val="22"/>
          <w:szCs w:val="22"/>
        </w:rPr>
        <w:t xml:space="preserve">Cancer is a genetic disease arising from the sequential acquisition of somatic mutations in driver genes that confer selective growth advantage to affected clones. The age-dependent increase in cancer incidence across virtually all tumor types reflects the cumulative probability of acquiring the required number of driver mutations (estimated at an average of five to seven for solid tumors) over an individual's lifetime, combined with the age-associated deterioration of tumor immunosurveillance and tissue homeostasis (Hanahan and Weinberg, 2000; Jaiswal et al., Science 2019).</w:t>
      </w:r>
    </w:p>
    <w:p>
      <w:pPr>
        <w:spacing w:after="160" w:before="0" w:line="330"/>
        <w:jc w:val="both"/>
      </w:pPr>
      <w:r>
        <w:rPr>
          <w:rFonts w:ascii="Arial" w:cs="Arial" w:eastAsia="Arial" w:hAnsi="Arial"/>
          <w:color w:val="1E1E1E"/>
          <w:sz w:val="22"/>
          <w:szCs w:val="22"/>
        </w:rPr>
        <w:t xml:space="preserve">Approximately 60% of newly diagnosed cancers and 70% of cancer deaths occur in individuals over 65, directly reflecting the aging mechanisms described above. Despite transformative advances in immune checkpoint inhibitors, targeted therapies, and CAR-T cell therapies, systemic therapy for advanced solid tumors remains ineffective in the majority of patients (SEER, 2022).</w:t>
      </w:r>
    </w:p>
    <w:p>
      <w:pPr>
        <w:pStyle w:val="Heading2"/>
        <w:spacing w:after="120" w:before="280"/>
      </w:pPr>
      <w:r>
        <w:rPr>
          <w:rFonts w:ascii="Arial" w:cs="Arial" w:eastAsia="Arial" w:hAnsi="Arial"/>
          <w:b/>
          <w:bCs/>
          <w:color w:val="028090"/>
          <w:sz w:val="24"/>
          <w:szCs w:val="24"/>
        </w:rPr>
        <w:t xml:space="preserve">13.1  The Hallmarks of Cancer: Evolution of the Framework</w:t>
      </w:r>
    </w:p>
    <w:p>
      <w:pPr>
        <w:spacing w:after="160" w:before="0" w:line="330"/>
        <w:jc w:val="both"/>
      </w:pPr>
      <w:r>
        <w:rPr>
          <w:rFonts w:ascii="Arial" w:cs="Arial" w:eastAsia="Arial" w:hAnsi="Arial"/>
          <w:color w:val="1E1E1E"/>
          <w:sz w:val="22"/>
          <w:szCs w:val="22"/>
        </w:rPr>
        <w:t xml:space="preserve">Hanahan and Weinberg's original Hallmarks of Cancer (Cell 2000) defined six canonical capabilities acquired by malignant cells: sustained proliferative signaling, evasion of growth suppressors, resistance to apoptosis, replicative immortality, induction of angiogenesis, and activation of invasion and metastasis. Their 2011 update incorporated two additional hallmarks (reprogramming cellular metabolism and avoiding immune destruction) and two enabling characteristics (genomic instability and tumor-promoting inflammation) that facilitate hallmark acquisition (Hanahan and Weinberg, Cell 2011).</w:t>
      </w:r>
    </w:p>
    <w:p>
      <w:pPr>
        <w:spacing w:after="160" w:before="0" w:line="330"/>
        <w:jc w:val="both"/>
      </w:pPr>
      <w:r>
        <w:rPr>
          <w:rFonts w:ascii="Arial" w:cs="Arial" w:eastAsia="Arial" w:hAnsi="Arial"/>
          <w:color w:val="1E1E1E"/>
          <w:sz w:val="22"/>
          <w:szCs w:val="22"/>
        </w:rPr>
        <w:t xml:space="preserve">Hanahan's 2022 update (Cancer Discovery 2022) added four emerging hallmarks and enabling characteristics: unlocking phenotypic plasticity, representing the ability of cancer cells to reverse or redirect their differentiation state; nonmutational epigenetic reprogramming, through which cancer cells alter gene expression programs without DNA sequence mutation; polymorphic microbiomes, reflecting the modulating role of intratumoral and gut microbial communities on cancer progression and treatment response; and senescent cells, now formally recognized as tumor microenvironment components whose SASP promotes hallmark acquisition in neighboring cells. The most recent iteration (Hanahan, Cell 2026) expands the framework further to encompass systemic dimensions of cancer biology.</w:t>
      </w:r>
    </w:p>
    <w:p>
      <w:pPr>
        <w:pStyle w:val="Heading2"/>
        <w:spacing w:after="120" w:before="280"/>
      </w:pPr>
      <w:r>
        <w:rPr>
          <w:rFonts w:ascii="Arial" w:cs="Arial" w:eastAsia="Arial" w:hAnsi="Arial"/>
          <w:b/>
          <w:bCs/>
          <w:color w:val="028090"/>
          <w:sz w:val="24"/>
          <w:szCs w:val="24"/>
        </w:rPr>
        <w:t xml:space="preserve">13.2  Genetic Architecture of Cancer</w:t>
      </w:r>
    </w:p>
    <w:p>
      <w:pPr>
        <w:spacing w:after="160" w:before="0" w:line="330"/>
        <w:jc w:val="both"/>
      </w:pPr>
      <w:r>
        <w:rPr>
          <w:rFonts w:ascii="Arial" w:cs="Arial" w:eastAsia="Arial" w:hAnsi="Arial"/>
          <w:color w:val="1E1E1E"/>
          <w:sz w:val="22"/>
          <w:szCs w:val="22"/>
        </w:rPr>
        <w:t xml:space="preserve">Genetic alterations in cancer fall into four mechanistic categories: subtle sequence changes (point mutations, small insertions and deletions), alterations in chromosome number (aneuploidy), chromosomal translocations, and gene amplifications (Lengauer et al., 1998). The chromosomal content of cancer cells varies substantially by tumor type: while aggressive epithelial malignancies (lung, ovarian, esophageal) commonly display high-grade chromosomal instability with aneuploid karyotypes containing 60 or more chromosomes, many hematologic malignancies and some solid tumors maintain near-diploid karyotypes. The relationship between chromosomal instability and malignant behavior is complex and tumor type-dependent, not a universal feature of cancer.</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14.  The Cancer Stem Cell Paradigm: From Hierarchy to Plasticity</w:t>
      </w:r>
    </w:p>
    <w:p>
      <w:pPr>
        <w:spacing w:after="160" w:before="0" w:line="330"/>
        <w:jc w:val="both"/>
      </w:pPr>
      <w:r>
        <w:rPr>
          <w:rFonts w:ascii="Arial" w:cs="Arial" w:eastAsia="Arial" w:hAnsi="Arial"/>
          <w:color w:val="1E1E1E"/>
          <w:sz w:val="22"/>
          <w:szCs w:val="22"/>
        </w:rPr>
        <w:t xml:space="preserve">The cancer stem cell (CSC) hypothesis proposes that tumor growth is sustained by a subpopulation of cells with stem-like properties (self-renewal, differentiation capacity, and tumor-initiating ability) and that the bulk of the tumor is composed of more differentiated, proliferatively active but ultimately non-self-renewing cells incapable of long-term tumor propagation. Originally articulated in the context of acute myeloid leukemia (Bonnet and Dick, Nature Medicine 1997) and subsequently identified in breast cancer (Al-Hajj et al., PNAS 2003), this model offered a compelling explanation for the clinical observation that tumors recur after apparently successful treatment: attributing recurrence to the survival and regrowth of therapy-resistant CSCs.</w:t>
      </w:r>
    </w:p>
    <w:p>
      <w:pPr>
        <w:pStyle w:val="Heading2"/>
        <w:spacing w:after="120" w:before="280"/>
      </w:pPr>
      <w:r>
        <w:rPr>
          <w:rFonts w:ascii="Arial" w:cs="Arial" w:eastAsia="Arial" w:hAnsi="Arial"/>
          <w:b/>
          <w:bCs/>
          <w:color w:val="028090"/>
          <w:sz w:val="24"/>
          <w:szCs w:val="24"/>
        </w:rPr>
        <w:t xml:space="preserve">14.1  Evidence for the CSC Model</w:t>
      </w:r>
    </w:p>
    <w:p>
      <w:pPr>
        <w:spacing w:after="160" w:before="0" w:line="330"/>
        <w:jc w:val="both"/>
      </w:pPr>
      <w:r>
        <w:rPr>
          <w:rFonts w:ascii="Arial" w:cs="Arial" w:eastAsia="Arial" w:hAnsi="Arial"/>
          <w:color w:val="1E1E1E"/>
          <w:sz w:val="22"/>
          <w:szCs w:val="22"/>
        </w:rPr>
        <w:t xml:space="preserve">The experimental foundation of the CSC model rests on xenotransplantation assays in which defined subpopulations of tumor cells are isolated by surface marker expression and tested for tumor-initiating capacity upon serial transplantation into immunocompromised mice. The hierarchical model predicts that only a rare stem-like subpopulation should efficiently reconstitute tumors, while the bulk non-stem population should fail to do so. This prediction was initially supported by studies in multiple tumor types, and the molecular parallels between cancer stem cells and their normal tissue counterparts (shared surface markers, signaling pathway dependencies, and resistance mechanisms) provide compelling biological plausibility.</w:t>
      </w:r>
    </w:p>
    <w:p>
      <w:pPr>
        <w:pStyle w:val="Heading2"/>
        <w:spacing w:after="120" w:before="280"/>
      </w:pPr>
      <w:r>
        <w:rPr>
          <w:rFonts w:ascii="Arial" w:cs="Arial" w:eastAsia="Arial" w:hAnsi="Arial"/>
          <w:b/>
          <w:bCs/>
          <w:color w:val="028090"/>
          <w:sz w:val="24"/>
          <w:szCs w:val="24"/>
        </w:rPr>
        <w:t xml:space="preserve">14.2  Challenges to the Strict Hierarchy: The Plasticity Revision</w:t>
      </w:r>
    </w:p>
    <w:p>
      <w:pPr>
        <w:spacing w:after="160" w:before="0" w:line="330"/>
        <w:jc w:val="both"/>
      </w:pPr>
      <w:r>
        <w:rPr>
          <w:rFonts w:ascii="Arial" w:cs="Arial" w:eastAsia="Arial" w:hAnsi="Arial"/>
          <w:color w:val="1E1E1E"/>
          <w:sz w:val="22"/>
          <w:szCs w:val="22"/>
        </w:rPr>
        <w:t xml:space="preserve">A critical reassessment of the strict CSC hierarchy came from Quintana and colleagues (Nature 2008), who demonstrated that the frequency of tumor-initiating cells in human melanoma is profoundly sensitive to assay conditions. Using highly immunocompromised NOD/SCID IL-2Rγ-null (NSG) mice (which lack NK cell activity in addition to T and B cells) they found that approximately 25% of unselected melanoma cells could initiate tumor formation, far higher than the rare CSC predicted by the strict hierarchical model. This result is not interpretable as evidence against CSC biology per se; rather, it demonstrates that the frequency of tumor-initiating cells measured in xenotransplantation assays reflects both intrinsic tumor biology and assay conditions: particularly the immunological status of the host.</w:t>
      </w:r>
    </w:p>
    <w:p>
      <w:pPr>
        <w:spacing w:after="160" w:before="0" w:line="330"/>
        <w:jc w:val="both"/>
      </w:pPr>
      <w:r>
        <w:rPr>
          <w:rFonts w:ascii="Arial" w:cs="Arial" w:eastAsia="Arial" w:hAnsi="Arial"/>
          <w:color w:val="1E1E1E"/>
          <w:sz w:val="22"/>
          <w:szCs w:val="22"/>
        </w:rPr>
        <w:t xml:space="preserve">More broadly, subsequent research has established that CSC identity is not a fixed, heritable clonal property but a dynamic cell state governed by microenvironmental signals. Chaffer and colleagues (PNAS 2011) demonstrated that non-stem breast cancer cells could spontaneously revert to a stem-like state at low but measurable frequency: a phenomenon fundamentally incompatible with strict unidirectional hierarchy but consistent with a thermodynamic model of cell state equilibrium. Subsequent work has identified multiple microenvironmental signals capable of inducing CSC state acquisition in non-CSC tumor cells, including hypoxia, inflammatory cytokines, ECM stiffness, and paracrine SASP.</w:t>
      </w:r>
    </w:p>
    <w:p>
      <w:pPr>
        <w:spacing w:after="160" w:before="0" w:line="330"/>
        <w:jc w:val="both"/>
      </w:pPr>
      <w:r>
        <w:rPr>
          <w:rFonts w:ascii="Arial" w:cs="Arial" w:eastAsia="Arial" w:hAnsi="Arial"/>
          <w:color w:val="1E1E1E"/>
          <w:sz w:val="22"/>
          <w:szCs w:val="22"/>
        </w:rPr>
        <w:t xml:space="preserve">The revised CSC model (sometimes termed 'CSC 2.0') frames CSC identity as a reversible cellular state positioned along a continuum of differentiation, rather than a discrete apex of an irreversible hierarchy. This state is governed by transcriptional networks that overlap substantially with normal stem cell programs (Wnt/β-catenin, Notch, Hedgehog, STAT3, NF-κB), is reinforced by specific ECM interactions and paracrine signals, and can be acquired or lost in response to environmental pressures including therapeutic stress.</w:t>
      </w:r>
    </w:p>
    <w:p>
      <w:pPr>
        <w:pStyle w:val="Heading2"/>
        <w:spacing w:after="120" w:before="280"/>
      </w:pPr>
      <w:r>
        <w:rPr>
          <w:rFonts w:ascii="Arial" w:cs="Arial" w:eastAsia="Arial" w:hAnsi="Arial"/>
          <w:b/>
          <w:bCs/>
          <w:color w:val="028090"/>
          <w:sz w:val="24"/>
          <w:szCs w:val="24"/>
        </w:rPr>
        <w:t xml:space="preserve">14.3  Epithelial-Mesenchymal Transition and CSC State</w:t>
      </w:r>
    </w:p>
    <w:p>
      <w:pPr>
        <w:spacing w:after="160" w:before="0" w:line="330"/>
        <w:jc w:val="both"/>
      </w:pPr>
      <w:r>
        <w:rPr>
          <w:rFonts w:ascii="Arial" w:cs="Arial" w:eastAsia="Arial" w:hAnsi="Arial"/>
          <w:color w:val="1E1E1E"/>
          <w:sz w:val="22"/>
          <w:szCs w:val="22"/>
        </w:rPr>
        <w:t xml:space="preserve">Epithelial-mesenchymal transition (EMT) (the developmental program through which epithelial cells acquire mesenchymal, migratory characteristics) is now recognized as a major mechanism of CSC state induction in carcinomas. EMT transcription factors (SNAI1, SNAI2, ZEB1, ZEB2, TWIST1, TWIST2) simultaneously repress epithelial identity genes and activate mesenchymal and stemness programs, generating cells with enhanced invasion and metastasis capacity combined with CSC properties including tumor-initiating ability and therapy resistance. Critically, partial or hybrid EMT states (in which cells co-express epithelial and mesenchymal markers) appear particularly aggressive, combining collective invasion capacity with CSC functional properties.</w:t>
      </w:r>
    </w:p>
    <w:p>
      <w:pPr>
        <w:pStyle w:val="Heading2"/>
        <w:spacing w:after="120" w:before="280"/>
      </w:pPr>
      <w:r>
        <w:rPr>
          <w:rFonts w:ascii="Arial" w:cs="Arial" w:eastAsia="Arial" w:hAnsi="Arial"/>
          <w:b/>
          <w:bCs/>
          <w:color w:val="028090"/>
          <w:sz w:val="24"/>
          <w:szCs w:val="24"/>
        </w:rPr>
        <w:t xml:space="preserve">14.4  Single-Cell Resolution of CSC Heterogeneity</w:t>
      </w:r>
    </w:p>
    <w:p>
      <w:pPr>
        <w:spacing w:after="160" w:before="0" w:line="330"/>
        <w:jc w:val="both"/>
      </w:pPr>
      <w:r>
        <w:rPr>
          <w:rFonts w:ascii="Arial" w:cs="Arial" w:eastAsia="Arial" w:hAnsi="Arial"/>
          <w:color w:val="1E1E1E"/>
          <w:sz w:val="22"/>
          <w:szCs w:val="22"/>
        </w:rPr>
        <w:t xml:space="preserve">Single-cell RNA sequencing (scRNA-seq) has revealed that CSC-enriched populations exist as a transcriptomic continuum of cell states rather than a discrete population, and that multiple CSC subpopulations with distinct functional properties can coexist within a single tumor. Spatial transcriptomics further demonstrates that CSC states are geographically organized: CSC-enriched niches tend to localize to tumor-vasculature interfaces, regions of ECM remodeling, and hypoxic tumor cores: consistent with the niche-dependence model and reflecting the same microenvironmental sensitivity that regulates normal tissue stem cells.</w:t>
      </w:r>
    </w:p>
    <w:p>
      <w:pPr>
        <w:pStyle w:val="Heading2"/>
        <w:spacing w:after="120" w:before="280"/>
      </w:pPr>
      <w:r>
        <w:rPr>
          <w:rFonts w:ascii="Arial" w:cs="Arial" w:eastAsia="Arial" w:hAnsi="Arial"/>
          <w:b/>
          <w:bCs/>
          <w:color w:val="028090"/>
          <w:sz w:val="24"/>
          <w:szCs w:val="24"/>
        </w:rPr>
        <w:t xml:space="preserve">14.5  Metabolic Plasticity of CSCs</w:t>
      </w:r>
    </w:p>
    <w:p>
      <w:pPr>
        <w:spacing w:after="160" w:before="0" w:line="330"/>
        <w:jc w:val="both"/>
      </w:pPr>
      <w:r>
        <w:rPr>
          <w:rFonts w:ascii="Arial" w:cs="Arial" w:eastAsia="Arial" w:hAnsi="Arial"/>
          <w:color w:val="1E1E1E"/>
          <w:sz w:val="22"/>
          <w:szCs w:val="22"/>
        </w:rPr>
        <w:t xml:space="preserve">Cancer stem cells exhibit metabolic plasticity that contributes substantially to their therapeutic resistance. The CSC state is associated with low steady-state reactive oxygen species levels, maintained through upregulated antioxidant capacity (glutathione, thioredoxin, SOD2) that also confers resistance to radiation-induced oxidative damage. CSCs adaptively utilize oxidative phosphorylation, glycolysis, and fatty acid oxidation depending on nutrient availability and microenvironmental conditions, making metabolic targeting strategies difficult to implement without simultaneously providing selective pressure for metabolic reprogramming.</w:t>
      </w:r>
    </w:p>
    <w:p>
      <w:pPr>
        <w:pStyle w:val="Heading2"/>
        <w:spacing w:after="120" w:before="280"/>
      </w:pPr>
      <w:r>
        <w:rPr>
          <w:rFonts w:ascii="Arial" w:cs="Arial" w:eastAsia="Arial" w:hAnsi="Arial"/>
          <w:b/>
          <w:bCs/>
          <w:color w:val="028090"/>
          <w:sz w:val="24"/>
          <w:szCs w:val="24"/>
        </w:rPr>
        <w:t xml:space="preserve">14.6  Hallmarks of Cancer Stemness</w:t>
      </w:r>
    </w:p>
    <w:p>
      <w:pPr>
        <w:spacing w:after="160" w:before="0" w:line="330"/>
        <w:jc w:val="both"/>
      </w:pPr>
      <w:r>
        <w:rPr>
          <w:rFonts w:ascii="Arial" w:cs="Arial" w:eastAsia="Arial" w:hAnsi="Arial"/>
          <w:color w:val="1E1E1E"/>
          <w:sz w:val="22"/>
          <w:szCs w:val="22"/>
        </w:rPr>
        <w:t xml:space="preserve">Loh and Ma (Cell Stem Cell 2024) proposed a formal Hallmarks of Cancer Stemness framework in direct analogy to the Hallmarks of Cancer: self-renewal, phenotypic plasticity, immune evasion, metabolic adaptation, ECM remodeling and niche construction, therapy resistance, dormancy and reactivation capacity, and metastatic competence. This framework provides a structured vocabulary for CSC-targeted therapeutic development and explicitly incorporates the plasticity model: acknowledging that stemness is a functional state achievable by multiple cell populations rather than the exclusive property of a predefined hierarchical subpopulation.</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15.  Senescence, the Tumor Microenvironment, and Therapeutic Implications</w:t>
      </w:r>
    </w:p>
    <w:p>
      <w:pPr>
        <w:spacing w:after="160" w:before="0" w:line="330"/>
        <w:jc w:val="both"/>
      </w:pPr>
      <w:r>
        <w:rPr>
          <w:rFonts w:ascii="Arial" w:cs="Arial" w:eastAsia="Arial" w:hAnsi="Arial"/>
          <w:color w:val="1E1E1E"/>
          <w:sz w:val="22"/>
          <w:szCs w:val="22"/>
        </w:rPr>
        <w:t xml:space="preserve">The relationship between cellular senescence and cancer is bidirectional, phase-dependent, and mechanistically complex. Therapy-induced senescence (TIS) (triggered by chemotherapy, radiation, CDK4/6 inhibitors, and other genotoxic treatments) can be both tumor-suppressive (by arresting residual cancer cells) and tumor-promoting (through SASP of the arrested cells). Senescent cancer cells that survive initial therapy and enter a stable SASP-producing state may promote the expansion of residual CSCs through paracrine signaling, providing a mechanism for treatment-induced cancer stem cell enrichment and subsequent relapse.</w:t>
      </w:r>
    </w:p>
    <w:p>
      <w:pPr>
        <w:spacing w:after="160" w:before="0" w:line="330"/>
        <w:jc w:val="both"/>
      </w:pPr>
      <w:r>
        <w:rPr>
          <w:rFonts w:ascii="Arial" w:cs="Arial" w:eastAsia="Arial" w:hAnsi="Arial"/>
          <w:color w:val="1E1E1E"/>
          <w:sz w:val="22"/>
          <w:szCs w:val="22"/>
        </w:rPr>
        <w:t xml:space="preserve">Senescent stromal cells in the tumor microenvironment (particularly cancer-associated fibroblasts exhibiting a SASP program) remodel the ECM through MMP secretion, generate pro-angiogenic signals through VEGF and FGF production, suppress anti-tumor immunity through TGF-β and IL-10 secretion, and promote EMT in tumor cells through IL-6 and IL-8. These functions constitute the mechanistic basis for the formal recognition of senescent cells as an enabling characteristic within the Hallmarks of Cancer framework (Hanahan, 2022): senescent tumor microenvironment cells are active promoters of tumor progression, not passive bystanders.</w:t>
      </w:r>
    </w:p>
    <w:p>
      <w:pPr>
        <w:spacing w:after="160" w:before="0" w:line="330"/>
        <w:jc w:val="both"/>
      </w:pPr>
      <w:r>
        <w:rPr>
          <w:rFonts w:ascii="Arial" w:cs="Arial" w:eastAsia="Arial" w:hAnsi="Arial"/>
          <w:color w:val="1E1E1E"/>
          <w:sz w:val="22"/>
          <w:szCs w:val="22"/>
        </w:rPr>
        <w:t xml:space="preserve">The therapeutic implications of this understanding are significant. Senolytic therapy administered after conventional cancer treatment (to eliminate therapy-induced senescent tumor cells and senescent stromal cells before their SASP can promote relapse) represents a rational combinatorial strategy under preclinical investigation. Conversely, in cancers where TIS is a desired therapeutic endpoint (e.g., CDK4/6 inhibitor-induced senescence in hormone receptor-positive breast cancer), senomorphic strategies that suppress harmful SASP while preserving growth arrest may be preferable to senolytics that would eliminate the arrested cells. The optimal strategy is tumor type-, treatment-, and context-specific.</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16.  Synthesis: The Aging-Cancer Nexus</w:t>
      </w:r>
    </w:p>
    <w:p>
      <w:pPr>
        <w:spacing w:after="160" w:before="0" w:line="330"/>
        <w:jc w:val="both"/>
      </w:pPr>
      <w:r>
        <w:rPr>
          <w:rFonts w:ascii="Arial" w:cs="Arial" w:eastAsia="Arial" w:hAnsi="Arial"/>
          <w:color w:val="1E1E1E"/>
          <w:sz w:val="22"/>
          <w:szCs w:val="22"/>
        </w:rPr>
        <w:t xml:space="preserve">The molecular mechanisms of aging and cancer are not parallel tracks that occasionally intersect; they are deeply intertwined processes sharing common molecular substrates, mutually reinforcing their respective progression. Telomere attrition drives both replicative senescence in normal tissues and the genomic instability that initiates malignant transformation. Senescent cells provide tumor-suppressive barriers through cell cycle arrest while simultaneously generating the inflammatory, matrix-remodeling, and growth factor milieu that promotes tumor progression and metastasis. Stem cell exhaustion depletes the tissue regenerative reserve while clonal selection within aging stem cell compartments generates pre-malignant clones (exemplified by CHIP) poised for malignant transformation. Epigenetic drift with aging creates a permissive landscape for aberrant gene expression programs, including those that confer cancer stem cell properties, through nonmutational mechanisms.</w:t>
      </w:r>
    </w:p>
    <w:p>
      <w:pPr>
        <w:spacing w:after="160" w:before="0" w:line="330"/>
        <w:jc w:val="both"/>
      </w:pPr>
      <w:r>
        <w:rPr>
          <w:rFonts w:ascii="Arial" w:cs="Arial" w:eastAsia="Arial" w:hAnsi="Arial"/>
          <w:color w:val="1E1E1E"/>
          <w:sz w:val="22"/>
          <w:szCs w:val="22"/>
        </w:rPr>
        <w:t xml:space="preserve">The cancer stem cell model, properly understood in its revised plasticity formulation, integrates naturally into this framework. CSC states are not created de novo by oncogenic mutation alone but emerge from the intersection of genetic alterations and a microenvironmental context (shaped in large part by aging-associated changes in ECM composition, inflammaging, senescent stromal cell SASP, and impaired immune surveillance) that renders CSC state acquisition and maintenance favorable. This is why older patients tend not merely to develop cancer more frequently but to develop cancers with more aggressive biological behavior and worse treatment responses: the aged tissue microenvironment actively selects for and sustains the most aggressive CSC phenotypes.</w:t>
      </w:r>
    </w:p>
    <w:p>
      <w:pPr>
        <w:spacing w:after="160" w:before="0" w:line="330"/>
        <w:jc w:val="both"/>
      </w:pPr>
      <w:r>
        <w:rPr>
          <w:rFonts w:ascii="Arial" w:cs="Arial" w:eastAsia="Arial" w:hAnsi="Arial"/>
          <w:color w:val="1E1E1E"/>
          <w:sz w:val="22"/>
          <w:szCs w:val="22"/>
        </w:rPr>
        <w:t xml:space="preserve">The emergence of senolytics, partial reprogramming strategies, and CHIP surveillance represents the translation of this mechanistic understanding into clinical action. Targeting the shared upstream biology of aging (rather than treating each age-associated disease independently after it manifests) is the central proposition of geroscience, and the evidence base for this proposition has advanced from theoretical to experimentally validated over the past decade. The coming decade of clinical translation will determine how much of this mechanistic insight can be converted into therapeutics that genuinely extend the healthy years of human life.</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17.  Conclusions</w:t>
      </w:r>
    </w:p>
    <w:p>
      <w:pPr>
        <w:spacing w:after="160" w:before="0" w:line="330"/>
        <w:jc w:val="both"/>
      </w:pPr>
      <w:r>
        <w:rPr>
          <w:rFonts w:ascii="Arial" w:cs="Arial" w:eastAsia="Arial" w:hAnsi="Arial"/>
          <w:color w:val="1E1E1E"/>
          <w:sz w:val="22"/>
          <w:szCs w:val="22"/>
        </w:rPr>
        <w:t xml:space="preserve">The mechanisms linking cellular aging to malignant transformation constitute one of the most richly developed intersections in biomedical science. The Hallmarks of Aging framework provides a unified vocabulary and experimental agenda for a field previously fragmented by organ system and specialty. The mechanistic characterization of the SASP (regulated by the cGAS-STING pathway as well as by NF-κB) has clarified how aging tissues become tumor-permissive. CHIP has demonstrated that aging-driven pre-malignant clonal evolution is common, detectable, and consequential, with implications extending well beyond hematology into cardiovascular medicine. The revision of the CSC hierarchy model to a plasticity framework has resolved a genuine scientific controversy and provided more therapeutically actionable biology. Senolytics have moved from concept to clinical trial. And the partial reversibility of epigenetic aging has opened new experimental and therapeutic territory.</w:t>
      </w:r>
    </w:p>
    <w:p>
      <w:pPr>
        <w:spacing w:after="160" w:before="0" w:line="330"/>
        <w:jc w:val="both"/>
      </w:pPr>
      <w:r>
        <w:rPr>
          <w:rFonts w:ascii="Arial" w:cs="Arial" w:eastAsia="Arial" w:hAnsi="Arial"/>
          <w:color w:val="1E1E1E"/>
          <w:sz w:val="22"/>
          <w:szCs w:val="22"/>
        </w:rPr>
        <w:t xml:space="preserve">What unifies these developments is a shift in the field's fundamental orientation: from characterizing aging as an inevitable accumulation of cellular damage toward understanding it as a regulated biological process susceptible to targeted intervention. The mechanisms of aging are not a background condition of oncogenesis but an active driver: shaping the tissue microenvironment, the immune landscape, the epigenetic state, and the clonal architecture in ways that determine when, where, and how aggressively cancer arises. Addressing aging biology directly is therefore not peripheral to cancer medicine but central to it.</w:t>
      </w:r>
    </w:p>
    <w:p>
      <w:r>
        <w:br w:type="page"/>
      </w:r>
    </w:p>
    <w:p>
      <w:pPr>
        <w:pStyle w:val="Heading1"/>
        <w:spacing w:after="160" w:before="400"/>
      </w:pPr>
      <w:r>
        <w:rPr>
          <w:rFonts w:ascii="Georgia" w:cs="Georgia" w:eastAsia="Georgia" w:hAnsi="Georgia"/>
          <w:b/>
          <w:bCs/>
          <w:color w:val="0D2137"/>
          <w:sz w:val="28"/>
          <w:szCs w:val="28"/>
        </w:rPr>
        <w:t xml:space="preserve">References</w:t>
      </w:r>
    </w:p>
    <w:p>
      <w:pPr>
        <w:spacing w:after="100" w:before="0" w:line="290"/>
        <w:ind w:left="720" w:hanging="720"/>
      </w:pPr>
      <w:r>
        <w:rPr>
          <w:rFonts w:ascii="Arial" w:cs="Arial" w:eastAsia="Arial" w:hAnsi="Arial"/>
          <w:color w:val="666666"/>
          <w:sz w:val="20"/>
          <w:szCs w:val="20"/>
        </w:rPr>
        <w:t xml:space="preserve">Al-Hajj M, Wicha MS, Benito-Hernandez A, Morrison SJ, Clarke MF. Prospective identification of tumorigenic breast cancer cells. Proc Natl Acad Sci USA. 2003;100(7):3983-3988.</w:t>
      </w:r>
    </w:p>
    <w:p>
      <w:pPr>
        <w:spacing w:after="100" w:before="0" w:line="290"/>
        <w:ind w:left="720" w:hanging="720"/>
      </w:pPr>
      <w:r>
        <w:rPr>
          <w:rFonts w:ascii="Arial" w:cs="Arial" w:eastAsia="Arial" w:hAnsi="Arial"/>
          <w:color w:val="666666"/>
          <w:sz w:val="20"/>
          <w:szCs w:val="20"/>
        </w:rPr>
        <w:t xml:space="preserve">Amor C, Feucht J, Leibold J, et al. Senolytic CAR T cells reverse senescence-associated pathologies. Nature. 2020;583(7814):127-132.</w:t>
      </w:r>
    </w:p>
    <w:p>
      <w:pPr>
        <w:spacing w:after="100" w:before="0" w:line="290"/>
        <w:ind w:left="720" w:hanging="720"/>
      </w:pPr>
      <w:r>
        <w:rPr>
          <w:rFonts w:ascii="Arial" w:cs="Arial" w:eastAsia="Arial" w:hAnsi="Arial"/>
          <w:color w:val="666666"/>
          <w:sz w:val="20"/>
          <w:szCs w:val="20"/>
        </w:rPr>
        <w:t xml:space="preserve">Barker N, van Es JH, Kuipers J, et al. Identification of stem cells in small intestine and colon by marker gene Lgr5. Nature. 2007;449(7165):1003-1007.</w:t>
      </w:r>
    </w:p>
    <w:p>
      <w:pPr>
        <w:spacing w:after="100" w:before="0" w:line="290"/>
        <w:ind w:left="720" w:hanging="720"/>
      </w:pPr>
      <w:r>
        <w:rPr>
          <w:rFonts w:ascii="Arial" w:cs="Arial" w:eastAsia="Arial" w:hAnsi="Arial"/>
          <w:color w:val="666666"/>
          <w:sz w:val="20"/>
          <w:szCs w:val="20"/>
        </w:rPr>
        <w:t xml:space="preserve">Blackburn EH, Szostak JW. The molecular structure of centromeres and telomeres. Annu Rev Biochem. 1984;53:163-194.</w:t>
      </w:r>
    </w:p>
    <w:p>
      <w:pPr>
        <w:spacing w:after="100" w:before="0" w:line="290"/>
        <w:ind w:left="720" w:hanging="720"/>
      </w:pPr>
      <w:r>
        <w:rPr>
          <w:rFonts w:ascii="Arial" w:cs="Arial" w:eastAsia="Arial" w:hAnsi="Arial"/>
          <w:color w:val="666666"/>
          <w:sz w:val="20"/>
          <w:szCs w:val="20"/>
        </w:rPr>
        <w:t xml:space="preserve">Blackburn EH. Structure and function of telomeres. Nature. 1991;350(6319):569-573.</w:t>
      </w:r>
    </w:p>
    <w:p>
      <w:pPr>
        <w:spacing w:after="100" w:before="0" w:line="290"/>
        <w:ind w:left="720" w:hanging="720"/>
      </w:pPr>
      <w:r>
        <w:rPr>
          <w:rFonts w:ascii="Arial" w:cs="Arial" w:eastAsia="Arial" w:hAnsi="Arial"/>
          <w:color w:val="666666"/>
          <w:sz w:val="20"/>
          <w:szCs w:val="20"/>
        </w:rPr>
        <w:t xml:space="preserve">Blasco MA. Telomeres and human disease: ageing, cancer and beyond. Nat Rev Genet. 2005;6(8):611-622.</w:t>
      </w:r>
    </w:p>
    <w:p>
      <w:pPr>
        <w:spacing w:after="100" w:before="0" w:line="290"/>
        <w:ind w:left="720" w:hanging="720"/>
      </w:pPr>
      <w:r>
        <w:rPr>
          <w:rFonts w:ascii="Arial" w:cs="Arial" w:eastAsia="Arial" w:hAnsi="Arial"/>
          <w:color w:val="666666"/>
          <w:sz w:val="20"/>
          <w:szCs w:val="20"/>
        </w:rPr>
        <w:t xml:space="preserve">Bonnet D, Dick JE. Human acute myeloid leukemia is organized as a hierarchy that originates from a primitive hematopoietic cell. Nat Med. 1997;3(7):730-737.</w:t>
      </w:r>
    </w:p>
    <w:p>
      <w:pPr>
        <w:spacing w:after="100" w:before="0" w:line="290"/>
        <w:ind w:left="720" w:hanging="720"/>
      </w:pPr>
      <w:r>
        <w:rPr>
          <w:rFonts w:ascii="Arial" w:cs="Arial" w:eastAsia="Arial" w:hAnsi="Arial"/>
          <w:color w:val="666666"/>
          <w:sz w:val="20"/>
          <w:szCs w:val="20"/>
        </w:rPr>
        <w:t xml:space="preserve">Campisi J. Senescent cells, tumor suppression, and organismal aging: good citizens, bad neighbors. Cell. 2005;120(4):513-522.</w:t>
      </w:r>
    </w:p>
    <w:p>
      <w:pPr>
        <w:spacing w:after="100" w:before="0" w:line="290"/>
        <w:ind w:left="720" w:hanging="720"/>
      </w:pPr>
      <w:r>
        <w:rPr>
          <w:rFonts w:ascii="Arial" w:cs="Arial" w:eastAsia="Arial" w:hAnsi="Arial"/>
          <w:color w:val="666666"/>
          <w:sz w:val="20"/>
          <w:szCs w:val="20"/>
        </w:rPr>
        <w:t xml:space="preserve">Chaffer CL, Brueckmann I, Scheel C, et al. Normal and neoplastic nonstem cells can spontaneously convert to a stem-like state. Proc Natl Acad Sci USA. 2011;108(19):7950-7955.</w:t>
      </w:r>
    </w:p>
    <w:p>
      <w:pPr>
        <w:spacing w:after="100" w:before="0" w:line="290"/>
        <w:ind w:left="720" w:hanging="720"/>
      </w:pPr>
      <w:r>
        <w:rPr>
          <w:rFonts w:ascii="Arial" w:cs="Arial" w:eastAsia="Arial" w:hAnsi="Arial"/>
          <w:color w:val="666666"/>
          <w:sz w:val="20"/>
          <w:szCs w:val="20"/>
        </w:rPr>
        <w:t xml:space="preserve">Cohen SB, Graham ME, Lovrecz GO, Bache N, Robinson PJ, Reddel RR. Protein composition of catalytically active human telomerase from immortal cells. Science. 2007;315(5820):1850-1853.</w:t>
      </w:r>
    </w:p>
    <w:p>
      <w:pPr>
        <w:spacing w:after="100" w:before="0" w:line="290"/>
        <w:ind w:left="720" w:hanging="720"/>
      </w:pPr>
      <w:r>
        <w:rPr>
          <w:rFonts w:ascii="Arial" w:cs="Arial" w:eastAsia="Arial" w:hAnsi="Arial"/>
          <w:color w:val="666666"/>
          <w:sz w:val="20"/>
          <w:szCs w:val="20"/>
        </w:rPr>
        <w:t xml:space="preserve">Coppé JP, Desprez PY, Krtolica A, Campisi J. The senescence-associated secretory phenotype: the dark side of tumor suppression. Annu Rev Pathol. 2010;5:99-118.</w:t>
      </w:r>
    </w:p>
    <w:p>
      <w:pPr>
        <w:spacing w:after="100" w:before="0" w:line="290"/>
        <w:ind w:left="720" w:hanging="720"/>
      </w:pPr>
      <w:r>
        <w:rPr>
          <w:rFonts w:ascii="Arial" w:cs="Arial" w:eastAsia="Arial" w:hAnsi="Arial"/>
          <w:color w:val="666666"/>
          <w:sz w:val="20"/>
          <w:szCs w:val="20"/>
        </w:rPr>
        <w:t xml:space="preserve">Coppé JP, Patil CK, Rodier F, et al. Senescence-associated secretory phenotypes reveal cell-nonautonomous functions of oncogenic Ras and the p53 tumor suppressor. PLoS Biol. 2008;6(12):e301.</w:t>
      </w:r>
    </w:p>
    <w:p>
      <w:pPr>
        <w:spacing w:after="100" w:before="0" w:line="290"/>
        <w:ind w:left="720" w:hanging="720"/>
      </w:pPr>
      <w:r>
        <w:rPr>
          <w:rFonts w:ascii="Arial" w:cs="Arial" w:eastAsia="Arial" w:hAnsi="Arial"/>
          <w:color w:val="666666"/>
          <w:sz w:val="20"/>
          <w:szCs w:val="20"/>
        </w:rPr>
        <w:t xml:space="preserve">d'Adda di Fagagna F. Living on a break: cellular senescence as a DNA-damage response. Nat Rev Cancer. 2008;8(7):512-522.</w:t>
      </w:r>
    </w:p>
    <w:p>
      <w:pPr>
        <w:spacing w:after="100" w:before="0" w:line="290"/>
        <w:ind w:left="720" w:hanging="720"/>
      </w:pPr>
      <w:r>
        <w:rPr>
          <w:rFonts w:ascii="Arial" w:cs="Arial" w:eastAsia="Arial" w:hAnsi="Arial"/>
          <w:color w:val="666666"/>
          <w:sz w:val="20"/>
          <w:szCs w:val="20"/>
        </w:rPr>
        <w:t xml:space="preserve">Davoli T, Denchi EL, de Lange T. Persistent telomere damage induces bypass of mitosis and tetraploidy. Cell. 2010;141(1):81-93.</w:t>
      </w:r>
    </w:p>
    <w:p>
      <w:pPr>
        <w:spacing w:after="100" w:before="0" w:line="290"/>
        <w:ind w:left="720" w:hanging="720"/>
      </w:pPr>
      <w:r>
        <w:rPr>
          <w:rFonts w:ascii="Arial" w:cs="Arial" w:eastAsia="Arial" w:hAnsi="Arial"/>
          <w:color w:val="666666"/>
          <w:sz w:val="20"/>
          <w:szCs w:val="20"/>
        </w:rPr>
        <w:t xml:space="preserve">de Lange T. Shelterin: the protein complex that shapes and safeguards human telomeres. Genes Dev. 2005;19(18):2100-2110.</w:t>
      </w:r>
    </w:p>
    <w:p>
      <w:pPr>
        <w:spacing w:after="100" w:before="0" w:line="290"/>
        <w:ind w:left="720" w:hanging="720"/>
      </w:pPr>
      <w:r>
        <w:rPr>
          <w:rFonts w:ascii="Arial" w:cs="Arial" w:eastAsia="Arial" w:hAnsi="Arial"/>
          <w:color w:val="666666"/>
          <w:sz w:val="20"/>
          <w:szCs w:val="20"/>
        </w:rPr>
        <w:t xml:space="preserve">Dou Z, Ghosh K, Vizioli MG, et al. Cytoplasmic chromatin triggers inflammation in senescence and cancer. Nature. 2017;550(7676):402-406.</w:t>
      </w:r>
    </w:p>
    <w:p>
      <w:pPr>
        <w:spacing w:after="100" w:before="0" w:line="290"/>
        <w:ind w:left="720" w:hanging="720"/>
      </w:pPr>
      <w:r>
        <w:rPr>
          <w:rFonts w:ascii="Arial" w:cs="Arial" w:eastAsia="Arial" w:hAnsi="Arial"/>
          <w:color w:val="666666"/>
          <w:sz w:val="20"/>
          <w:szCs w:val="20"/>
        </w:rPr>
        <w:t xml:space="preserve">Engler AJ, Sen S, Sweeney HL, Discher DE. Matrix elasticity directs stem cell lineage specification. Cell. 2006;126(4):677-689.</w:t>
      </w:r>
    </w:p>
    <w:p>
      <w:pPr>
        <w:spacing w:after="100" w:before="0" w:line="290"/>
        <w:ind w:left="720" w:hanging="720"/>
      </w:pPr>
      <w:r>
        <w:rPr>
          <w:rFonts w:ascii="Arial" w:cs="Arial" w:eastAsia="Arial" w:hAnsi="Arial"/>
          <w:color w:val="666666"/>
          <w:sz w:val="20"/>
          <w:szCs w:val="20"/>
        </w:rPr>
        <w:t xml:space="preserve">Farr JN, Atkinson EJ, Achenbach SJ, et al. Effects of intermittent senolytic therapy on bone metabolism in postmenopausal women: a phase 2 randomized controlled trial. Nat Med. 2024;30:2605-2612.</w:t>
      </w:r>
    </w:p>
    <w:p>
      <w:pPr>
        <w:spacing w:after="100" w:before="0" w:line="290"/>
        <w:ind w:left="720" w:hanging="720"/>
      </w:pPr>
      <w:r>
        <w:rPr>
          <w:rFonts w:ascii="Arial" w:cs="Arial" w:eastAsia="Arial" w:hAnsi="Arial"/>
          <w:color w:val="666666"/>
          <w:sz w:val="20"/>
          <w:szCs w:val="20"/>
        </w:rPr>
        <w:t xml:space="preserve">Florez MA, Tran BT, Wathan TK, et al. Clonal hematopoiesis: mutation-specific adaptation to environmental change. Cell Stem Cell. 2022;29(6):882-904.</w:t>
      </w:r>
    </w:p>
    <w:p>
      <w:pPr>
        <w:spacing w:after="100" w:before="0" w:line="290"/>
        <w:ind w:left="720" w:hanging="720"/>
      </w:pPr>
      <w:r>
        <w:rPr>
          <w:rFonts w:ascii="Arial" w:cs="Arial" w:eastAsia="Arial" w:hAnsi="Arial"/>
          <w:color w:val="666666"/>
          <w:sz w:val="20"/>
          <w:szCs w:val="20"/>
        </w:rPr>
        <w:t xml:space="preserve">Franceschi C, Bonafè M, Valensin S, et al. Inflamm-aging: an evolutionary perspective on immunosenescence. Ann N Y Acad Sci. 2000;908:244-254.</w:t>
      </w:r>
    </w:p>
    <w:p>
      <w:pPr>
        <w:spacing w:after="100" w:before="0" w:line="290"/>
        <w:ind w:left="720" w:hanging="720"/>
      </w:pP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100" w:before="0" w:line="290"/>
        <w:ind w:left="720" w:hanging="720"/>
      </w:pPr>
      <w:r>
        <w:rPr>
          <w:rFonts w:ascii="Arial" w:cs="Arial" w:eastAsia="Arial" w:hAnsi="Arial"/>
          <w:color w:val="666666"/>
          <w:sz w:val="20"/>
          <w:szCs w:val="20"/>
        </w:rPr>
        <w:t xml:space="preserve">García-Prat L, Martínez-Vicente M, Perdiguero E, et al. Autophagy maintains stemness by preventing senescence. Nature. 2016;529(7584):37-42.</w:t>
      </w:r>
    </w:p>
    <w:p>
      <w:pPr>
        <w:spacing w:after="100" w:before="0" w:line="290"/>
        <w:ind w:left="720" w:hanging="720"/>
      </w:pPr>
      <w:r>
        <w:rPr>
          <w:rFonts w:ascii="Arial" w:cs="Arial" w:eastAsia="Arial" w:hAnsi="Arial"/>
          <w:color w:val="666666"/>
          <w:sz w:val="20"/>
          <w:szCs w:val="20"/>
        </w:rPr>
        <w:t xml:space="preserve">Genovese G, Kähler AK, Handsaker RE, et al. Clonal hematopoiesis and blood-cancer risk inferred from blood DNA sequence. N Engl J Med. 2014;371(26):2477-2487.</w:t>
      </w:r>
    </w:p>
    <w:p>
      <w:pPr>
        <w:spacing w:after="100" w:before="0" w:line="290"/>
        <w:ind w:left="720" w:hanging="720"/>
      </w:pPr>
      <w:r>
        <w:rPr>
          <w:rFonts w:ascii="Arial" w:cs="Arial" w:eastAsia="Arial" w:hAnsi="Arial"/>
          <w:color w:val="666666"/>
          <w:sz w:val="20"/>
          <w:szCs w:val="20"/>
        </w:rPr>
        <w:t xml:space="preserve">Glück S, Guey B, Gulen MF, et al. Innate immune sensing of cytosolic chromatin fragments through cGAS promotes senescence. Nat Cell Biol. 2017;19(9):1061-1070.</w:t>
      </w:r>
    </w:p>
    <w:p>
      <w:pPr>
        <w:spacing w:after="100" w:before="0" w:line="290"/>
        <w:ind w:left="720" w:hanging="720"/>
      </w:pPr>
      <w:r>
        <w:rPr>
          <w:rFonts w:ascii="Arial" w:cs="Arial" w:eastAsia="Arial" w:hAnsi="Arial"/>
          <w:color w:val="666666"/>
          <w:sz w:val="20"/>
          <w:szCs w:val="20"/>
        </w:rPr>
        <w:t xml:space="preserve">Griffith JD, Comeau L, Rosenfield S, et al. Mammalian telomeres end in a large duplex loop. Cell. 1999;97(4):503-514.</w:t>
      </w:r>
    </w:p>
    <w:p>
      <w:pPr>
        <w:spacing w:after="100" w:before="0" w:line="290"/>
        <w:ind w:left="720" w:hanging="720"/>
      </w:pPr>
      <w:r>
        <w:rPr>
          <w:rFonts w:ascii="Arial" w:cs="Arial" w:eastAsia="Arial" w:hAnsi="Arial"/>
          <w:color w:val="666666"/>
          <w:sz w:val="20"/>
          <w:szCs w:val="20"/>
        </w:rPr>
        <w:t xml:space="preserve">Hanahan D. Hallmarks of cancer: new dimensions. Cancer Discov. 2022;12(1):31-46.</w:t>
      </w:r>
    </w:p>
    <w:p>
      <w:pPr>
        <w:spacing w:after="100" w:before="0" w:line="290"/>
        <w:ind w:left="720" w:hanging="720"/>
      </w:pPr>
      <w:r>
        <w:rPr>
          <w:rFonts w:ascii="Arial" w:cs="Arial" w:eastAsia="Arial" w:hAnsi="Arial"/>
          <w:color w:val="666666"/>
          <w:sz w:val="20"/>
          <w:szCs w:val="20"/>
        </w:rPr>
        <w:t xml:space="preserve">Hanahan D, Weinberg RA. The hallmarks of cancer. Cell. 2000;100(1):57-70.</w:t>
      </w:r>
    </w:p>
    <w:p>
      <w:pPr>
        <w:spacing w:after="100" w:before="0" w:line="290"/>
        <w:ind w:left="720" w:hanging="720"/>
      </w:pPr>
      <w:r>
        <w:rPr>
          <w:rFonts w:ascii="Arial" w:cs="Arial" w:eastAsia="Arial" w:hAnsi="Arial"/>
          <w:color w:val="666666"/>
          <w:sz w:val="20"/>
          <w:szCs w:val="20"/>
        </w:rPr>
        <w:t xml:space="preserve">Hanahan D, Weinberg RA. Hallmarks of cancer: the next generation. Cell. 2011;144(5):646-674.</w:t>
      </w:r>
    </w:p>
    <w:p>
      <w:pPr>
        <w:spacing w:after="100" w:before="0" w:line="290"/>
        <w:ind w:left="720" w:hanging="720"/>
      </w:pPr>
      <w:r>
        <w:rPr>
          <w:rFonts w:ascii="Arial" w:cs="Arial" w:eastAsia="Arial" w:hAnsi="Arial"/>
          <w:color w:val="666666"/>
          <w:sz w:val="20"/>
          <w:szCs w:val="20"/>
        </w:rPr>
        <w:t xml:space="preserve">Harman D. Aging: a theory based on free radical and radiation chemistry. J Gerontol. 1956;11(3):298-300.</w:t>
      </w:r>
    </w:p>
    <w:p>
      <w:pPr>
        <w:spacing w:after="100" w:before="0" w:line="290"/>
        <w:ind w:left="720" w:hanging="720"/>
      </w:pPr>
      <w:r>
        <w:rPr>
          <w:rFonts w:ascii="Arial" w:cs="Arial" w:eastAsia="Arial" w:hAnsi="Arial"/>
          <w:color w:val="666666"/>
          <w:sz w:val="20"/>
          <w:szCs w:val="20"/>
        </w:rPr>
        <w:t xml:space="preserve">Hayflick L, Moorhead PS. The serial cultivation of human diploid cell strains. Exp Cell Res. 1961;25(3):585-621.</w:t>
      </w:r>
    </w:p>
    <w:p>
      <w:pPr>
        <w:spacing w:after="100" w:before="0" w:line="290"/>
        <w:ind w:left="720" w:hanging="720"/>
      </w:pPr>
      <w:r>
        <w:rPr>
          <w:rFonts w:ascii="Arial" w:cs="Arial" w:eastAsia="Arial" w:hAnsi="Arial"/>
          <w:color w:val="666666"/>
          <w:sz w:val="20"/>
          <w:szCs w:val="20"/>
        </w:rPr>
        <w:t xml:space="preserve">Heyde A, Rohde D, McAlpine CS, et al. Increased stem cell proliferation in atherosclerosis accelerates clonal hematopoiesis. Cell. 2021;184(5):1348-1361.e22.</w:t>
      </w:r>
    </w:p>
    <w:p>
      <w:pPr>
        <w:spacing w:after="100" w:before="0" w:line="290"/>
        <w:ind w:left="720" w:hanging="720"/>
      </w:pPr>
      <w:r>
        <w:rPr>
          <w:rFonts w:ascii="Arial" w:cs="Arial" w:eastAsia="Arial" w:hAnsi="Arial"/>
          <w:color w:val="666666"/>
          <w:sz w:val="20"/>
          <w:szCs w:val="20"/>
        </w:rPr>
        <w:t xml:space="preserve">Horvath S. DNA methylation age of human tissues and cell types. Genome Biol. 2013;14(10):R115.</w:t>
      </w:r>
    </w:p>
    <w:p>
      <w:pPr>
        <w:spacing w:after="100" w:before="0" w:line="290"/>
        <w:ind w:left="720" w:hanging="720"/>
      </w:pP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100" w:before="0" w:line="290"/>
        <w:ind w:left="720" w:hanging="720"/>
      </w:pP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100" w:before="0" w:line="290"/>
        <w:ind w:left="720" w:hanging="720"/>
      </w:pPr>
      <w:r>
        <w:rPr>
          <w:rFonts w:ascii="Arial" w:cs="Arial" w:eastAsia="Arial" w:hAnsi="Arial"/>
          <w:color w:val="666666"/>
          <w:sz w:val="20"/>
          <w:szCs w:val="20"/>
        </w:rPr>
        <w:t xml:space="preserve">Jones DL, Wagers AJ. No place like home: anatomy and function of the stem cell niche. Nat Rev Mol Cell Biol. 2008;9(1):11-21.</w:t>
      </w:r>
    </w:p>
    <w:p>
      <w:pPr>
        <w:spacing w:after="100" w:before="0" w:line="290"/>
        <w:ind w:left="720" w:hanging="720"/>
      </w:pPr>
      <w:r>
        <w:rPr>
          <w:rFonts w:ascii="Arial" w:cs="Arial" w:eastAsia="Arial" w:hAnsi="Arial"/>
          <w:color w:val="666666"/>
          <w:sz w:val="20"/>
          <w:szCs w:val="20"/>
        </w:rPr>
        <w:t xml:space="preserve">Kirkland JL, Tchkonia T, Zhu Y, Niedernhofer LJ, Robbins PD. The clinical potential of senolytic drugs. J Am Geriatr Soc. 2017;65(10):2297-2301.</w:t>
      </w:r>
    </w:p>
    <w:p>
      <w:pPr>
        <w:spacing w:after="100" w:before="0" w:line="290"/>
        <w:ind w:left="720" w:hanging="720"/>
      </w:pPr>
      <w:r>
        <w:rPr>
          <w:rFonts w:ascii="Arial" w:cs="Arial" w:eastAsia="Arial" w:hAnsi="Arial"/>
          <w:color w:val="666666"/>
          <w:sz w:val="20"/>
          <w:szCs w:val="20"/>
        </w:rPr>
        <w:t xml:space="preserve">Krtolica A, Parrinello S, Lockett S, Desprez PY, Campisi J. Senescent fibroblasts promote epithelial cell growth and tumorigenesis: a link between cancer and aging. Proc Natl Acad Sci USA. 2001;98(21):12072-12077.</w:t>
      </w:r>
    </w:p>
    <w:p>
      <w:pPr>
        <w:spacing w:after="100" w:before="0" w:line="290"/>
        <w:ind w:left="720" w:hanging="720"/>
      </w:pPr>
      <w:r>
        <w:rPr>
          <w:rFonts w:ascii="Arial" w:cs="Arial" w:eastAsia="Arial" w:hAnsi="Arial"/>
          <w:color w:val="666666"/>
          <w:sz w:val="20"/>
          <w:szCs w:val="20"/>
        </w:rPr>
        <w:t xml:space="preserve">Kuilman T, Michaloglou C, Mooi WJ, Peeper DS. The essence of senescence. Genes Dev. 2010;24(22):2463-2479.</w:t>
      </w:r>
    </w:p>
    <w:p>
      <w:pPr>
        <w:spacing w:after="100" w:before="0" w:line="290"/>
        <w:ind w:left="720" w:hanging="720"/>
      </w:pPr>
      <w:r>
        <w:rPr>
          <w:rFonts w:ascii="Arial" w:cs="Arial" w:eastAsia="Arial" w:hAnsi="Arial"/>
          <w:color w:val="666666"/>
          <w:sz w:val="20"/>
          <w:szCs w:val="20"/>
        </w:rPr>
        <w:t xml:space="preserve">Lengauer C, Kinzler KW, Vogelstein B. Genetic instabilities in human cancers. Nature. 1998;396(6712):643-649.</w:t>
      </w:r>
    </w:p>
    <w:p>
      <w:pPr>
        <w:spacing w:after="100" w:before="0" w:line="290"/>
        <w:ind w:left="720" w:hanging="720"/>
      </w:pPr>
      <w:r>
        <w:rPr>
          <w:rFonts w:ascii="Arial" w:cs="Arial" w:eastAsia="Arial" w:hAnsi="Arial"/>
          <w:color w:val="666666"/>
          <w:sz w:val="20"/>
          <w:szCs w:val="20"/>
        </w:rPr>
        <w:t xml:space="preserve">Leiser CL, Hanson HA, Huang H, et al. Associations between ambient air pollutants and clonal hematopoiesis of indeterminate potential. Cancer Epidemiol Biomarkers Prev. 2023;32(10):1470-1473.</w:t>
      </w:r>
    </w:p>
    <w:p>
      <w:pPr>
        <w:spacing w:after="100" w:before="0" w:line="290"/>
        <w:ind w:left="720" w:hanging="720"/>
      </w:pPr>
      <w:r>
        <w:rPr>
          <w:rFonts w:ascii="Arial" w:cs="Arial" w:eastAsia="Arial" w:hAnsi="Arial"/>
          <w:color w:val="666666"/>
          <w:sz w:val="20"/>
          <w:szCs w:val="20"/>
        </w:rPr>
        <w:t xml:space="preserve">Liu L, Rando TA. Manifestations and mechanisms of stem cell aging. J Cell Biol. 2011;193(2):257-266.</w:t>
      </w:r>
    </w:p>
    <w:p>
      <w:pPr>
        <w:spacing w:after="100" w:before="0" w:line="290"/>
        <w:ind w:left="720" w:hanging="720"/>
      </w:pPr>
      <w:r>
        <w:rPr>
          <w:rFonts w:ascii="Arial" w:cs="Arial" w:eastAsia="Arial" w:hAnsi="Arial"/>
          <w:color w:val="666666"/>
          <w:sz w:val="20"/>
          <w:szCs w:val="20"/>
        </w:rPr>
        <w:t xml:space="preserve">Loh JJ, Ma S. Hallmarks of cancer stemness. Cell Stem Cell. 2024;31(5):617-639.</w:t>
      </w:r>
    </w:p>
    <w:p>
      <w:pPr>
        <w:spacing w:after="100" w:before="0" w:line="290"/>
        <w:ind w:left="720" w:hanging="720"/>
      </w:pPr>
      <w:r>
        <w:rPr>
          <w:rFonts w:ascii="Arial" w:cs="Arial" w:eastAsia="Arial" w:hAnsi="Arial"/>
          <w:color w:val="666666"/>
          <w:sz w:val="20"/>
          <w:szCs w:val="20"/>
        </w:rPr>
        <w:t xml:space="preserve">Niroula A, Sekar A, Murakami MA, et al. Distinction of lymphoid and myeloid clonal hematopoiesis. Nat Med. 2021;27(11):1921-1927.</w:t>
      </w:r>
    </w:p>
    <w:p>
      <w:pPr>
        <w:spacing w:after="100" w:before="0" w:line="290"/>
        <w:ind w:left="720" w:hanging="720"/>
      </w:pPr>
      <w:r>
        <w:rPr>
          <w:rFonts w:ascii="Arial" w:cs="Arial" w:eastAsia="Arial" w:hAnsi="Arial"/>
          <w:color w:val="666666"/>
          <w:sz w:val="20"/>
          <w:szCs w:val="20"/>
        </w:rPr>
        <w:t xml:space="preserve">López-Otín C, Blasco MA, Partridge L, Serrano M, Kroemer G. The hallmarks of aging. Cell. 2013;153(6):1194-1217.</w:t>
      </w:r>
    </w:p>
    <w:p>
      <w:pPr>
        <w:spacing w:after="100" w:before="0" w:line="290"/>
        <w:ind w:left="720" w:hanging="720"/>
      </w:pPr>
      <w:r>
        <w:rPr>
          <w:rFonts w:ascii="Arial" w:cs="Arial" w:eastAsia="Arial" w:hAnsi="Arial"/>
          <w:color w:val="666666"/>
          <w:sz w:val="20"/>
          <w:szCs w:val="20"/>
        </w:rPr>
        <w:t xml:space="preserve">López-Otín C, Blasco MA, Partridge L, Serrano M, Kroemer G. Hallmarks of aging: an expanding universe. Cell. 2023;186(2):243-278.</w:t>
      </w:r>
    </w:p>
    <w:p>
      <w:pPr>
        <w:spacing w:after="100" w:before="0" w:line="290"/>
        <w:ind w:left="720" w:hanging="720"/>
      </w:pPr>
      <w:r>
        <w:rPr>
          <w:rFonts w:ascii="Arial" w:cs="Arial" w:eastAsia="Arial" w:hAnsi="Arial"/>
          <w:color w:val="666666"/>
          <w:sz w:val="20"/>
          <w:szCs w:val="20"/>
        </w:rPr>
        <w:t xml:space="preserve">Lu Y, Brommer B, Tian X, et al. Reprogramming to recover youthful epigenetic information and restore vision. Nature. 2020;588(7836):124-129.</w:t>
      </w:r>
    </w:p>
    <w:p>
      <w:pPr>
        <w:spacing w:after="100" w:before="0" w:line="290"/>
        <w:ind w:left="720" w:hanging="720"/>
      </w:pPr>
      <w:r>
        <w:rPr>
          <w:rFonts w:ascii="Arial" w:cs="Arial" w:eastAsia="Arial" w:hAnsi="Arial"/>
          <w:color w:val="666666"/>
          <w:sz w:val="20"/>
          <w:szCs w:val="20"/>
        </w:rPr>
        <w:t xml:space="preserve">Ocampo A, Reddy P, Martinez-Redondo P, et al. In vivo amelioration of age-associated hallmarks by partial reprogramming. Cell. 2016;167(7):1719-1733.e12.</w:t>
      </w:r>
    </w:p>
    <w:p>
      <w:pPr>
        <w:spacing w:after="100" w:before="0" w:line="290"/>
        <w:ind w:left="720" w:hanging="720"/>
      </w:pPr>
      <w:r>
        <w:rPr>
          <w:rFonts w:ascii="Arial" w:cs="Arial" w:eastAsia="Arial" w:hAnsi="Arial"/>
          <w:color w:val="666666"/>
          <w:sz w:val="20"/>
          <w:szCs w:val="20"/>
        </w:rPr>
        <w:t xml:space="preserve">Pandey A, Thomas T, Ji Y, et al. TET2-mutant clonal hematopoiesis promotes heart failure with preserved ejection fraction [abstract]. Circulation. 2024;150(suppl 1):Abstract 4144372.</w:t>
      </w:r>
    </w:p>
    <w:p>
      <w:pPr>
        <w:spacing w:after="100" w:before="0" w:line="290"/>
        <w:ind w:left="720" w:hanging="720"/>
      </w:pPr>
      <w:r>
        <w:rPr>
          <w:rFonts w:ascii="Arial" w:cs="Arial" w:eastAsia="Arial" w:hAnsi="Arial"/>
          <w:color w:val="666666"/>
          <w:sz w:val="20"/>
          <w:szCs w:val="20"/>
        </w:rPr>
        <w:t xml:space="preserve">Olovnikov AM. A theory of marginotomy: the incomplete copying of template margin in enzymic synthesis of polynucleotides and biological significance of the phenomenon. J Theor Biol. 1973;41(1):181-190.</w:t>
      </w:r>
    </w:p>
    <w:p>
      <w:pPr>
        <w:spacing w:after="100" w:before="0" w:line="290"/>
        <w:ind w:left="720" w:hanging="720"/>
      </w:pPr>
      <w:r>
        <w:rPr>
          <w:rFonts w:ascii="Arial" w:cs="Arial" w:eastAsia="Arial" w:hAnsi="Arial"/>
          <w:color w:val="666666"/>
          <w:sz w:val="20"/>
          <w:szCs w:val="20"/>
        </w:rPr>
        <w:t xml:space="preserve">Quintana E, Shackleton M, Sabel MS, Fullen DR, Johnson TM, Morrison SJ. Efficient tumour formation by single human melanoma cells. Nature. 2008;456(7222):593-598.</w:t>
      </w:r>
    </w:p>
    <w:p>
      <w:pPr>
        <w:spacing w:after="100" w:before="0" w:line="290"/>
        <w:ind w:left="720" w:hanging="720"/>
      </w:pPr>
      <w:r>
        <w:rPr>
          <w:rFonts w:ascii="Arial" w:cs="Arial" w:eastAsia="Arial" w:hAnsi="Arial"/>
          <w:color w:val="666666"/>
          <w:sz w:val="20"/>
          <w:szCs w:val="20"/>
        </w:rPr>
        <w:t xml:space="preserve">Ramalho-Santos M, Yoon S, Matsuzaki Y, Mulligan RC, Melton DA. 'Stemness': transcriptional profiling of embryonic and adult stem cells. Science. 2002;298(5593):597-600.</w:t>
      </w:r>
    </w:p>
    <w:p>
      <w:pPr>
        <w:spacing w:after="100" w:before="0" w:line="290"/>
        <w:ind w:left="720" w:hanging="720"/>
      </w:pPr>
      <w:r>
        <w:rPr>
          <w:rFonts w:ascii="Arial" w:cs="Arial" w:eastAsia="Arial" w:hAnsi="Arial"/>
          <w:color w:val="666666"/>
          <w:sz w:val="20"/>
          <w:szCs w:val="20"/>
        </w:rPr>
        <w:t xml:space="preserve">Rando TA. Stem cells, ageing and the quest for immortality. Nature. 2006;441(7097):1080-1086.</w:t>
      </w:r>
    </w:p>
    <w:p>
      <w:pPr>
        <w:spacing w:after="100" w:before="0" w:line="290"/>
        <w:ind w:left="720" w:hanging="720"/>
      </w:pPr>
      <w:r>
        <w:rPr>
          <w:rFonts w:ascii="Arial" w:cs="Arial" w:eastAsia="Arial" w:hAnsi="Arial"/>
          <w:color w:val="666666"/>
          <w:sz w:val="20"/>
          <w:szCs w:val="20"/>
        </w:rPr>
        <w:t xml:space="preserve">Ridker PM, Everett BM, Thuren T, et al. Antiinflammatory therapy with canakinumab for atherosclerotic disease. N Engl J Med. 2017;377(12):1119-1131.</w:t>
      </w:r>
    </w:p>
    <w:p>
      <w:pPr>
        <w:spacing w:after="100" w:before="0" w:line="290"/>
        <w:ind w:left="720" w:hanging="720"/>
      </w:pPr>
      <w:r>
        <w:rPr>
          <w:rFonts w:ascii="Arial" w:cs="Arial" w:eastAsia="Arial" w:hAnsi="Arial"/>
          <w:color w:val="666666"/>
          <w:sz w:val="20"/>
          <w:szCs w:val="20"/>
        </w:rPr>
        <w:t xml:space="preserve">Robin JD, Ludlow AT, Batten K, et al. Telomere position effect: regulation of gene expression with progressive telomere shortening over long distances. Genes Dev. 2014;28(22):2464-2476.</w:t>
      </w:r>
    </w:p>
    <w:p>
      <w:pPr>
        <w:spacing w:after="100" w:before="0" w:line="290"/>
        <w:ind w:left="720" w:hanging="720"/>
      </w:pPr>
      <w:r>
        <w:rPr>
          <w:rFonts w:ascii="Arial" w:cs="Arial" w:eastAsia="Arial" w:hAnsi="Arial"/>
          <w:color w:val="666666"/>
          <w:sz w:val="20"/>
          <w:szCs w:val="20"/>
        </w:rPr>
        <w:t xml:space="preserve">Sano S, Oshima K, Wang Y, et al. Tet2-mediated clonal hematopoiesis accelerates heart failure through a mechanism involving the IL-1β/NLRP3 inflammasome. J Am Coll Cardiol. 2018;71(8):875-886.</w:t>
      </w:r>
    </w:p>
    <w:p>
      <w:pPr>
        <w:spacing w:after="100" w:before="0" w:line="290"/>
        <w:ind w:left="720" w:hanging="720"/>
      </w:pP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100" w:before="0" w:line="290"/>
        <w:ind w:left="720" w:hanging="720"/>
      </w:pPr>
      <w:r>
        <w:rPr>
          <w:rFonts w:ascii="Arial" w:cs="Arial" w:eastAsia="Arial" w:hAnsi="Arial"/>
          <w:color w:val="666666"/>
          <w:sz w:val="20"/>
          <w:szCs w:val="20"/>
        </w:rPr>
        <w:t xml:space="preserve">Spradling A, Drummond-Barbosa D, Kai T. Stem cells find their niche. Nature. 2001;414(6859):98-104.</w:t>
      </w:r>
    </w:p>
    <w:p>
      <w:pPr>
        <w:spacing w:after="100" w:before="0" w:line="290"/>
        <w:ind w:left="720" w:hanging="720"/>
      </w:pPr>
      <w:r>
        <w:rPr>
          <w:rFonts w:ascii="Arial" w:cs="Arial" w:eastAsia="Arial" w:hAnsi="Arial"/>
          <w:color w:val="666666"/>
          <w:sz w:val="20"/>
          <w:szCs w:val="20"/>
        </w:rPr>
        <w:t xml:space="preserve">Stadtman ER. Protein oxidation in aging and age-related diseases. Ann N Y Acad Sci. 2001;928:22-38.</w:t>
      </w:r>
    </w:p>
    <w:p>
      <w:pPr>
        <w:spacing w:after="100" w:before="0" w:line="290"/>
        <w:ind w:left="720" w:hanging="720"/>
      </w:pP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100" w:before="0" w:line="290"/>
        <w:ind w:left="720" w:hanging="720"/>
      </w:pP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100" w:before="0" w:line="290"/>
        <w:ind w:left="720" w:hanging="720"/>
      </w:pPr>
      <w:r>
        <w:rPr>
          <w:rFonts w:ascii="Arial" w:cs="Arial" w:eastAsia="Arial" w:hAnsi="Arial"/>
          <w:color w:val="666666"/>
          <w:sz w:val="20"/>
          <w:szCs w:val="20"/>
        </w:rPr>
        <w:t xml:space="preserve">Storer M, Mas A, Robert-Moreno A, et al. Senescence is a developmental mechanism that contributes to embryonic growth and patterning. Cell. 2013;155(5):1119-1130.</w:t>
      </w:r>
    </w:p>
    <w:p>
      <w:pPr>
        <w:spacing w:after="100" w:before="0" w:line="290"/>
        <w:ind w:left="720" w:hanging="720"/>
      </w:pPr>
      <w:r>
        <w:rPr>
          <w:rFonts w:ascii="Arial" w:cs="Arial" w:eastAsia="Arial" w:hAnsi="Arial"/>
          <w:color w:val="666666"/>
          <w:sz w:val="20"/>
          <w:szCs w:val="20"/>
        </w:rPr>
        <w:t xml:space="preserve">Wang C, Jurk D, Maddick M, Nelson G, Martin-Ruiz C, von Zglinicki T. DNA damage response and cellular senescence in tissues of aging mice. Aging Cell. 2009;8(3):311-323.</w:t>
      </w:r>
    </w:p>
    <w:p>
      <w:pPr>
        <w:spacing w:after="100" w:before="0" w:line="290"/>
        <w:ind w:left="720" w:hanging="720"/>
      </w:pPr>
      <w:r>
        <w:rPr>
          <w:rFonts w:ascii="Arial" w:cs="Arial" w:eastAsia="Arial" w:hAnsi="Arial"/>
          <w:color w:val="666666"/>
          <w:sz w:val="20"/>
          <w:szCs w:val="20"/>
        </w:rPr>
        <w:t xml:space="preserve">Yang JH, Hayashi T, Bhanu NV, et al. Loss of epigenetic information as a cause of mammalian aging. Cell. 2023;186(2):305-326.e27.</w:t>
      </w:r>
    </w:p>
    <w:p>
      <w:pPr>
        <w:spacing w:after="100" w:before="0" w:line="290"/>
        <w:ind w:left="720" w:hanging="720"/>
      </w:pPr>
      <w:r>
        <w:rPr>
          <w:rFonts w:ascii="Arial" w:cs="Arial" w:eastAsia="Arial" w:hAnsi="Arial"/>
          <w:color w:val="666666"/>
          <w:sz w:val="20"/>
          <w:szCs w:val="20"/>
        </w:rPr>
        <w:t xml:space="preserve">Zhu Y, Tchkonia T, Pirtskhalava T, et al. The Achilles' heel of senescent cells: from transcriptome to senolytic drugs. Aging Cell. 2015;14(4):644-658.</w:t>
      </w:r>
    </w:p>
    <w:p>
      <w:pPr>
        <w:spacing w:after="80" w:before="0"/>
      </w:pPr>
      <w:r>
        <w:t xml:space="preserve"/>
      </w:r>
    </w:p>
    <w:p>
      <w:pPr>
        <w:pBdr>
          <w:top w:val="single" w:color="C8DFF0" w:sz="4" w:space="4"/>
        </w:pBdr>
        <w:spacing w:after="0" w:before="240"/>
      </w:pPr>
      <w:r>
        <w:rPr>
          <w:rFonts w:ascii="Arial" w:cs="Arial" w:eastAsia="Arial" w:hAnsi="Arial"/>
          <w:color w:val="666666"/>
          <w:sz w:val="18"/>
          <w:szCs w:val="18"/>
        </w:rPr>
        <w:t xml:space="preserve">David Comstock, MD  ·  Department of Internal Medicine, Guthrie Lourdes Hospital  ·  2026</w:t>
      </w:r>
    </w:p>
    <w:sectPr>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Comstock: Aging, Stem Cells &amp; the Cancer Stem Cell Paradigm (2026)   |   p.</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0D2137"/>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2809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9B23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2026-05-20T00:21:39.736Z</dcterms:created>
  <dcterms:modified xsi:type="dcterms:W3CDTF">2026-05-20T00:21:39.750Z</dcterms:modified>
</cp:coreProperties>
</file>

<file path=docProps/custom.xml><?xml version="1.0" encoding="utf-8"?>
<Properties xmlns="http://schemas.openxmlformats.org/officeDocument/2006/custom-properties" xmlns:vt="http://schemas.openxmlformats.org/officeDocument/2006/docPropsVTypes"/>
</file>