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666666"/>
          <w:sz w:val="18"/>
          <w:szCs w:val="18"/>
        </w:rPr>
        <w:t xml:space="preserve">PAMED HOUSE OF DELEGATES  |  RESEARCH POSTER SUBMISSION</w:t>
      </w:r>
    </w:p>
    <w:p>
      <w:pPr>
        <w:pBdr>
          <w:bottom w:val="thick" w:color="028090" w:sz="12" w:space="6"/>
        </w:pBdr>
        <w:spacing w:after="100" w:before="0"/>
      </w:pPr>
      <w:r>
        <w:rPr>
          <w:rFonts w:ascii="Georgia" w:cs="Georgia" w:eastAsia="Georgia" w:hAnsi="Georgia"/>
          <w:b/>
          <w:bCs/>
          <w:color w:val="0D2137"/>
          <w:sz w:val="28"/>
          <w:szCs w:val="28"/>
        </w:rPr>
        <w:t xml:space="preserve">Unrecognized Hematologic and Cardiovascular Risk in Rural Elderly Patients: A Care Gap Analysis of Clonal Hematopoiesis Phenotypes in the Guthrie Health System</w:t>
      </w:r>
    </w:p>
    <w:p>
      <w:pPr>
        <w:spacing w:after="80" w:before="0"/>
      </w:pPr>
      <w:r>
        <w:t xml:space="preserve"/>
      </w:r>
    </w:p>
    <w:p>
      <w:pPr>
        <w:pBdr>
          <w:top w:val="single" w:color="028090" w:sz="4" w:space="4"/>
          <w:bottom w:val="single" w:color="028090" w:sz="4" w:space="4"/>
          <w:left w:val="thick" w:color="028090" w:sz="16" w:space="8"/>
          <w:right w:val="single" w:color="028090" w:sz="4" w:space="4"/>
        </w:pBdr>
        <w:spacing w:after="120" w:before="120" w:line="300"/>
        <w:ind w:left="360" w:right="360"/>
      </w:pPr>
      <w:r>
        <w:rPr>
          <w:rFonts w:ascii="Arial" w:cs="Arial" w:eastAsia="Arial" w:hAnsi="Arial"/>
          <w:color w:val="028090"/>
          <w:sz w:val="20"/>
          <w:szCs w:val="20"/>
        </w:rPr>
        <w:t xml:space="preserve">SUBMISSION DEADLINE: Friday, June 12, 2026 at 4:00 PM  |  Notification of acceptance: July 27 - August 7, 2026  |  Presentation: October 23-25, 2026, The Hershey Lodge, Hershey, PA</w:t>
      </w:r>
    </w:p>
    <w:p>
      <w:pPr>
        <w:pBdr>
          <w:top w:val="single" w:color="7D5A00" w:sz="4" w:space="4"/>
          <w:bottom w:val="single" w:color="7D5A00" w:sz="4" w:space="4"/>
          <w:left w:val="thick" w:color="7D5A00" w:sz="16" w:space="8"/>
          <w:right w:val="single" w:color="7D5A00" w:sz="4" w:space="4"/>
        </w:pBdr>
        <w:spacing w:after="120" w:before="120" w:line="300"/>
        <w:ind w:left="360" w:right="360"/>
      </w:pPr>
      <w:r>
        <w:rPr>
          <w:rFonts w:ascii="Arial" w:cs="Arial" w:eastAsia="Arial" w:hAnsi="Arial"/>
          <w:color w:val="7D5A00"/>
          <w:sz w:val="20"/>
          <w:szCs w:val="20"/>
        </w:rPr>
        <w:t xml:space="preserve">REQUIRED BEFORE SUBMISSION: LIS feasibility query data must be in hand. Replace all amber placeholder text with actual values before uploading to the PAMED online portal. Word count must remain at or below 400 (title, authors, and affiliations not counted).</w:t>
      </w:r>
    </w:p>
    <w:p>
      <w:pPr>
        <w:spacing w:after="80" w:before="0"/>
      </w:pPr>
      <w:r>
        <w:t xml:space="preserve"/>
      </w:r>
    </w:p>
    <w:p>
      <w:pPr>
        <w:pBdr>
          <w:bottom w:val="single" w:color="C8DFF0" w:sz="4" w:space="1"/>
        </w:pBdr>
        <w:spacing w:after="160" w:before="160"/>
      </w:pPr>
      <w:r>
        <w:t xml:space="preserve"/>
      </w:r>
    </w:p>
    <w:p>
      <w:pPr>
        <w:keepNext/>
        <w:spacing w:after="60" w:before="180"/>
      </w:pPr>
      <w:r>
        <w:rPr>
          <w:rFonts w:ascii="Arial" w:cs="Arial" w:eastAsia="Arial" w:hAnsi="Arial"/>
          <w:b/>
          <w:bCs/>
          <w:color w:val="028090"/>
          <w:sz w:val="20"/>
          <w:szCs w:val="20"/>
        </w:rPr>
        <w:t xml:space="preserve">SUBMISSION FIELDS</w:t>
      </w:r>
    </w:p>
    <w:p>
      <w:pPr>
        <w:spacing w:after="60" w:before="40" w:line="300"/>
      </w:pPr>
      <w:r>
        <w:rPr>
          <w:rFonts w:ascii="Arial" w:cs="Arial" w:eastAsia="Arial" w:hAnsi="Arial"/>
          <w:b/>
          <w:bCs/>
          <w:color w:val="0D2137"/>
          <w:sz w:val="21"/>
          <w:szCs w:val="21"/>
        </w:rPr>
        <w:t xml:space="preserve">Abstract Title:  </w:t>
      </w:r>
      <w:r>
        <w:rPr>
          <w:rFonts w:ascii="Arial" w:cs="Arial" w:eastAsia="Arial" w:hAnsi="Arial"/>
          <w:color w:val="1E1E1E"/>
          <w:sz w:val="21"/>
          <w:szCs w:val="21"/>
        </w:rPr>
        <w:t xml:space="preserve">Unrecognized Hematologic and Cardiovascular Risk in Rural Elderly Patients: A Care Gap Analysis of Clonal Hematopoiesis Phenotypes in the Guthrie Health System</w:t>
      </w:r>
    </w:p>
    <w:p>
      <w:pPr>
        <w:spacing w:after="80" w:before="0"/>
      </w:pPr>
      <w:r>
        <w:t xml:space="preserve"/>
      </w:r>
    </w:p>
    <w:p>
      <w:pPr>
        <w:spacing w:after="60" w:before="40" w:line="300"/>
      </w:pPr>
      <w:r>
        <w:rPr>
          <w:rFonts w:ascii="Arial" w:cs="Arial" w:eastAsia="Arial" w:hAnsi="Arial"/>
          <w:b/>
          <w:bCs/>
          <w:color w:val="0D2137"/>
          <w:sz w:val="21"/>
          <w:szCs w:val="21"/>
        </w:rPr>
        <w:t xml:space="preserve">Submitting Author:  </w:t>
      </w:r>
      <w:r>
        <w:rPr>
          <w:rFonts w:ascii="Arial" w:cs="Arial" w:eastAsia="Arial" w:hAnsi="Arial"/>
          <w:color w:val="1E1E1E"/>
          <w:sz w:val="21"/>
          <w:szCs w:val="21"/>
        </w:rPr>
        <w:t xml:space="preserve">David Comstock, MD</w:t>
      </w:r>
    </w:p>
    <w:p>
      <w:pPr>
        <w:spacing w:after="60" w:before="40" w:line="300"/>
      </w:pPr>
      <w:r>
        <w:rPr>
          <w:rFonts w:ascii="Arial" w:cs="Arial" w:eastAsia="Arial" w:hAnsi="Arial"/>
          <w:b/>
          <w:bCs/>
          <w:color w:val="0D2137"/>
          <w:sz w:val="21"/>
          <w:szCs w:val="21"/>
        </w:rPr>
        <w:t xml:space="preserve">Institution:  </w:t>
      </w:r>
      <w:r>
        <w:rPr>
          <w:rFonts w:ascii="Arial" w:cs="Arial" w:eastAsia="Arial" w:hAnsi="Arial"/>
          <w:color w:val="1E1E1E"/>
          <w:sz w:val="21"/>
          <w:szCs w:val="21"/>
        </w:rPr>
        <w:t xml:space="preserve">Department of Internal Medicine, Guthrie Lourdes Hospital, Binghamton, New York</w:t>
      </w:r>
    </w:p>
    <w:p>
      <w:pPr>
        <w:spacing w:after="60" w:before="40" w:line="300"/>
      </w:pPr>
      <w:r>
        <w:rPr>
          <w:rFonts w:ascii="Arial" w:cs="Arial" w:eastAsia="Arial" w:hAnsi="Arial"/>
          <w:b/>
          <w:bCs/>
          <w:color w:val="0D2137"/>
          <w:sz w:val="21"/>
          <w:szCs w:val="21"/>
        </w:rPr>
        <w:t xml:space="preserve">Email:  </w:t>
      </w:r>
      <w:r>
        <w:rPr>
          <w:rFonts w:ascii="Arial" w:cs="Arial" w:eastAsia="Arial" w:hAnsi="Arial"/>
          <w:color w:val="1E1E1E"/>
          <w:sz w:val="21"/>
          <w:szCs w:val="21"/>
        </w:rPr>
        <w:t xml:space="preserve">david.comstock@guthrie.org</w:t>
      </w:r>
    </w:p>
    <w:p>
      <w:pPr>
        <w:spacing w:after="60" w:before="40" w:line="300"/>
      </w:pPr>
      <w:r>
        <w:rPr>
          <w:rFonts w:ascii="Arial" w:cs="Arial" w:eastAsia="Arial" w:hAnsi="Arial"/>
          <w:b/>
          <w:bCs/>
          <w:color w:val="0D2137"/>
          <w:sz w:val="21"/>
          <w:szCs w:val="21"/>
        </w:rPr>
        <w:t xml:space="preserve">PAMED Member:  </w:t>
      </w:r>
      <w:r>
        <w:rPr>
          <w:rFonts w:ascii="Arial" w:cs="Arial" w:eastAsia="Arial" w:hAnsi="Arial"/>
          <w:color w:val="1E1E1E"/>
          <w:sz w:val="21"/>
          <w:szCs w:val="21"/>
        </w:rPr>
        <w:t xml:space="preserve">Yes</w:t>
      </w:r>
    </w:p>
    <w:p>
      <w:pPr>
        <w:spacing w:after="80" w:before="0"/>
      </w:pPr>
      <w:r>
        <w:t xml:space="preserve"/>
      </w:r>
    </w:p>
    <w:p>
      <w:pPr>
        <w:spacing w:after="60" w:before="40" w:line="300"/>
      </w:pPr>
      <w:r>
        <w:rPr>
          <w:rFonts w:ascii="Arial" w:cs="Arial" w:eastAsia="Arial" w:hAnsi="Arial"/>
          <w:b/>
          <w:bCs/>
          <w:color w:val="0D2137"/>
          <w:sz w:val="21"/>
          <w:szCs w:val="21"/>
        </w:rPr>
        <w:t xml:space="preserve">Co-Author 1:  </w:t>
      </w:r>
      <w:r>
        <w:rPr>
          <w:rFonts w:ascii="Arial" w:cs="Arial" w:eastAsia="Arial" w:hAnsi="Arial"/>
          <w:color w:val="1E1E1E"/>
          <w:sz w:val="21"/>
          <w:szCs w:val="21"/>
        </w:rPr>
        <w:t xml:space="preserve">Beka Aroshidze, MD  |  Hematology/Oncology, Guthrie Lourdes Hospital  |  [email]</w:t>
      </w:r>
    </w:p>
    <w:p>
      <w:pPr>
        <w:spacing w:after="80" w:before="0"/>
      </w:pPr>
      <w:r>
        <w:t xml:space="preserve"/>
      </w:r>
    </w:p>
    <w:p>
      <w:pPr>
        <w:spacing w:after="60" w:before="40" w:line="300"/>
      </w:pPr>
      <w:r>
        <w:rPr>
          <w:rFonts w:ascii="Arial" w:cs="Arial" w:eastAsia="Arial" w:hAnsi="Arial"/>
          <w:b/>
          <w:bCs/>
          <w:color w:val="0D2137"/>
          <w:sz w:val="21"/>
          <w:szCs w:val="21"/>
        </w:rPr>
        <w:t xml:space="preserve">Educational Goal (select one):  </w:t>
      </w:r>
      <w:r>
        <w:rPr>
          <w:rFonts w:ascii="Arial" w:cs="Arial" w:eastAsia="Arial" w:hAnsi="Arial"/>
          <w:color w:val="1E1E1E"/>
          <w:sz w:val="21"/>
          <w:szCs w:val="21"/>
        </w:rPr>
        <w:t xml:space="preserve">Identify new avenues of research occurring in Pennsylvania  AND  Implement clinical and scientific strategies designed to improve the quality of care in Pennsylvania</w:t>
      </w:r>
    </w:p>
    <w:p>
      <w:pPr>
        <w:pBdr>
          <w:bottom w:val="single" w:color="C8DFF0" w:sz="4" w:space="1"/>
        </w:pBdr>
        <w:spacing w:after="160" w:before="160"/>
      </w:pPr>
      <w:r>
        <w:t xml:space="preserve"/>
      </w:r>
    </w:p>
    <w:p>
      <w:pPr>
        <w:keepNext/>
        <w:spacing w:after="60" w:before="180"/>
      </w:pPr>
      <w:r>
        <w:rPr>
          <w:rFonts w:ascii="Arial" w:cs="Arial" w:eastAsia="Arial" w:hAnsi="Arial"/>
          <w:b/>
          <w:bCs/>
          <w:color w:val="028090"/>
          <w:sz w:val="20"/>
          <w:szCs w:val="20"/>
        </w:rPr>
        <w:t xml:space="preserve">ABSTRACT TEXT</w:t>
      </w:r>
    </w:p>
    <w:p>
      <w:pPr>
        <w:spacing w:after="80" w:before="0"/>
      </w:pPr>
      <w:r>
        <w:rPr>
          <w:rFonts w:ascii="Arial" w:cs="Arial" w:eastAsia="Arial" w:hAnsi="Arial"/>
          <w:b/>
          <w:bCs/>
          <w:color w:val="666666"/>
          <w:sz w:val="20"/>
          <w:szCs w:val="20"/>
        </w:rPr>
        <w:t xml:space="preserve">Word count: </w:t>
      </w:r>
      <w:r>
        <w:rPr>
          <w:rFonts w:ascii="Arial" w:cs="Arial" w:eastAsia="Arial" w:hAnsi="Arial"/>
          <w:color w:val="7D5A00"/>
          <w:sz w:val="20"/>
          <w:szCs w:val="20"/>
        </w:rPr>
        <w:t xml:space="preserve">[update before submission: replace placeholders first, then recount]</w:t>
      </w:r>
      <w:r>
        <w:rPr>
          <w:rFonts w:ascii="Arial" w:cs="Arial" w:eastAsia="Arial" w:hAnsi="Arial"/>
          <w:color w:val="666666"/>
          <w:sz w:val="20"/>
          <w:szCs w:val="20"/>
        </w:rPr>
        <w:t xml:space="preserve">  |  Maximum: 400 words  |  Title, authors, and affiliations excluded from count</w:t>
      </w:r>
    </w:p>
    <w:p>
      <w:pPr>
        <w:spacing w:after="80" w:before="0"/>
      </w:pPr>
      <w:r>
        <w:t xml:space="preserve"/>
      </w:r>
    </w:p>
    <w:p>
      <w:pPr>
        <w:keepNext/>
        <w:spacing w:after="60" w:before="160"/>
      </w:pPr>
      <w:r>
        <w:rPr>
          <w:rFonts w:ascii="Arial" w:cs="Arial" w:eastAsia="Arial" w:hAnsi="Arial"/>
          <w:b/>
          <w:bCs/>
          <w:color w:val="0D2137"/>
          <w:sz w:val="21"/>
          <w:szCs w:val="21"/>
        </w:rPr>
        <w:t xml:space="preserve">Background</w:t>
      </w:r>
    </w:p>
    <w:p>
      <w:pPr>
        <w:spacing w:after="160" w:before="0" w:line="310"/>
        <w:jc w:val="both"/>
      </w:pPr>
      <w:r>
        <w:rPr>
          <w:rFonts w:ascii="Arial" w:cs="Arial" w:eastAsia="Arial" w:hAnsi="Arial"/>
          <w:color w:val="1E1E1E"/>
          <w:sz w:val="21"/>
          <w:szCs w:val="21"/>
        </w:rPr>
        <w:t xml:space="preserve">Clonal hematopoiesis of indeterminate potential (CHIP) affects approximately 9.5% of adults aged 70-79 and confers a nearly 2-fold increase in coronary artery disease risk independent of traditional cardiovascular risk factors. When CHIP co-occurs with unexplained cytopenias, a condition termed clonal cytopenia of undetermined significance (CCUS), the 5-year risk of hematologic malignancy exceeds 10%. Despite this dual burden, no published study has quantified the rate of unrecognized CHIP and CCUS in community or rural practice. Rural elderly agricultural workers may carry elevated hematologic risk from occupational chemical exposure and are underrepresented in published CHIP epidemiology.</w:t>
      </w:r>
    </w:p>
    <w:p>
      <w:pPr>
        <w:keepNext/>
        <w:spacing w:after="60" w:before="160"/>
      </w:pPr>
      <w:r>
        <w:rPr>
          <w:rFonts w:ascii="Arial" w:cs="Arial" w:eastAsia="Arial" w:hAnsi="Arial"/>
          <w:b/>
          <w:bCs/>
          <w:color w:val="0D2137"/>
          <w:sz w:val="21"/>
          <w:szCs w:val="21"/>
        </w:rPr>
        <w:t xml:space="preserve">Objective</w:t>
      </w:r>
    </w:p>
    <w:p>
      <w:pPr>
        <w:spacing w:after="160" w:before="0" w:line="310"/>
        <w:jc w:val="both"/>
      </w:pPr>
      <w:r>
        <w:rPr>
          <w:rFonts w:ascii="Arial" w:cs="Arial" w:eastAsia="Arial" w:hAnsi="Arial"/>
          <w:color w:val="1E1E1E"/>
          <w:sz w:val="21"/>
          <w:szCs w:val="21"/>
        </w:rPr>
        <w:t xml:space="preserve">To characterize the care gap in CHIP and CCUS recognition in a rural community hospital population using existing laboratory data, and to describe the CBC phenotypic distribution of unrecognized hematologic abnormality across three pre-specified macrocytosis phenotypes.</w:t>
      </w:r>
    </w:p>
    <w:p>
      <w:pPr>
        <w:keepNext/>
        <w:spacing w:after="60" w:before="160"/>
      </w:pPr>
      <w:r>
        <w:rPr>
          <w:rFonts w:ascii="Arial" w:cs="Arial" w:eastAsia="Arial" w:hAnsi="Arial"/>
          <w:b/>
          <w:bCs/>
          <w:color w:val="0D2137"/>
          <w:sz w:val="21"/>
          <w:szCs w:val="21"/>
        </w:rPr>
        <w:t xml:space="preserve">Methods</w:t>
      </w:r>
    </w:p>
    <w:p>
      <w:pPr>
        <w:spacing w:after="160" w:before="0" w:line="310"/>
        <w:jc w:val="both"/>
      </w:pPr>
      <w:r>
        <w:rPr>
          <w:rFonts w:ascii="Arial" w:cs="Arial" w:eastAsia="Arial" w:hAnsi="Arial"/>
          <w:color w:val="1E1E1E"/>
          <w:sz w:val="21"/>
          <w:szCs w:val="21"/>
        </w:rPr>
        <w:t xml:space="preserve">Retrospective cohort identification via laboratory information system (LIS) query of the Robert Packer Hospital and Guthrie Clinic system. All patients aged 65 years and older with unexplained macrocytosis (MCV 95 fL or greater) over a 36-month lookback window were identified and stratified by age 65-69 versus 70 and older. Three pre-specified phenotypic arms were captured simultaneously: (1) CCUS-pattern (macrocytosis plus hemoglobin below sex-specific threshold with normal B12 and folate; primary arm); (2) erythrocytosis-pattern (macrocytosis plus hematocrit above sex-specific threshold); and (3) isolated macrocytosis (MCV elevated with normal hemoglobin and hematocrit, reversible causes excluded). Primary outcome: proportion of CCUS-pattern patients with no documented hematologic workup. Secondary outcomes: care gap characterization in the erythrocytosis and isolated macrocytosis arms; inflammaging composite score (neutrophil-to-lymphocyte ratio, albumin, hsCRP, ferritin) from existing chart data.</w:t>
      </w:r>
    </w:p>
    <w:p>
      <w:pPr>
        <w:keepNext/>
        <w:spacing w:after="60" w:before="160"/>
      </w:pPr>
      <w:r>
        <w:rPr>
          <w:rFonts w:ascii="Arial" w:cs="Arial" w:eastAsia="Arial" w:hAnsi="Arial"/>
          <w:b/>
          <w:bCs/>
          <w:color w:val="0D2137"/>
          <w:sz w:val="21"/>
          <w:szCs w:val="21"/>
        </w:rPr>
        <w:t xml:space="preserve">Results</w:t>
      </w:r>
    </w:p>
    <w:p>
      <w:pPr>
        <w:spacing w:after="160" w:before="0" w:line="310"/>
        <w:jc w:val="both"/>
      </w:pPr>
      <w:r>
        <w:rPr>
          <w:rFonts w:ascii="Arial" w:cs="Arial" w:eastAsia="Arial" w:hAnsi="Arial"/>
          <w:color w:val="7D5A00"/>
          <w:sz w:val="21"/>
          <w:szCs w:val="21"/>
        </w:rPr>
        <w:t xml:space="preserve">[N] patients aged 65 and older met inclusion criteria over the 36-month lookback period. Of [N] meeting CCUS-pattern criteria, [X%] had no documented hematologic workup, no hematology referral, and no CHIP-specific next-generation sequencing ordered (the care gap). The care gap was [larger/similar/smaller] in the 65-69 stratum versus the 70-plus stratum ([X%] vs [X%]). [N] patients met erythrocytosis-pattern criteria; [X%] had no JAK2 testing or hematology referral. [N] patients had isolated unexplained macrocytosis with no documented workup.</w:t>
      </w:r>
    </w:p>
    <w:p>
      <w:pPr>
        <w:keepNext/>
        <w:spacing w:after="60" w:before="160"/>
      </w:pPr>
      <w:r>
        <w:rPr>
          <w:rFonts w:ascii="Arial" w:cs="Arial" w:eastAsia="Arial" w:hAnsi="Arial"/>
          <w:b/>
          <w:bCs/>
          <w:color w:val="0D2137"/>
          <w:sz w:val="21"/>
          <w:szCs w:val="21"/>
        </w:rPr>
        <w:t xml:space="preserve">Conclusions</w:t>
      </w:r>
    </w:p>
    <w:p>
      <w:pPr>
        <w:spacing w:after="160" w:before="0" w:line="310"/>
        <w:jc w:val="both"/>
      </w:pPr>
      <w:r>
        <w:rPr>
          <w:rFonts w:ascii="Arial" w:cs="Arial" w:eastAsia="Arial" w:hAnsi="Arial"/>
          <w:color w:val="1E1E1E"/>
          <w:sz w:val="21"/>
          <w:szCs w:val="21"/>
        </w:rPr>
        <w:t xml:space="preserve">A substantial proportion of elderly rural patients meeting CBC criteria for CCUS and related macrocytosis phenotypes receive no further hematologic evaluation in this community hospital system, constituting a measurable and clinically actionable care gap. These findings support systematic CHIP recognition pathway development for rural primary care and provide the preliminary data foundation for a prospective cohort study of CHIP prevalence and inflammaging phenotype in the Guthrie rural agricultural population.</w:t>
      </w:r>
    </w:p>
    <w:p>
      <w:pPr>
        <w:pBdr>
          <w:bottom w:val="single" w:color="C8DFF0" w:sz="4" w:space="1"/>
        </w:pBdr>
        <w:spacing w:after="160" w:before="160"/>
      </w:pPr>
      <w:r>
        <w:t xml:space="preserve"/>
      </w:r>
    </w:p>
    <w:p>
      <w:pPr>
        <w:keepNext/>
        <w:spacing w:after="60" w:before="180"/>
      </w:pPr>
      <w:r>
        <w:rPr>
          <w:rFonts w:ascii="Arial" w:cs="Arial" w:eastAsia="Arial" w:hAnsi="Arial"/>
          <w:b/>
          <w:bCs/>
          <w:color w:val="028090"/>
          <w:sz w:val="20"/>
          <w:szCs w:val="20"/>
        </w:rPr>
        <w:t xml:space="preserve">PRE-SUBMISSION CHECKLIST</w:t>
      </w:r>
    </w:p>
    <w:p>
      <w:pPr>
        <w:spacing w:after="40" w:before="40" w:line="300"/>
        <w:ind w:left="400" w:hanging="240"/>
      </w:pPr>
      <w:r>
        <w:rPr>
          <w:rFonts w:ascii="Arial" w:cs="Arial" w:eastAsia="Arial" w:hAnsi="Arial"/>
          <w:color w:val="1E1E1E"/>
          <w:sz w:val="21"/>
          <w:szCs w:val="21"/>
        </w:rPr>
        <w:t xml:space="preserve">□  LIS feasibility query completed and data received</w:t>
      </w:r>
    </w:p>
    <w:p>
      <w:pPr>
        <w:spacing w:after="40" w:before="40" w:line="300"/>
        <w:ind w:left="400" w:hanging="240"/>
      </w:pPr>
      <w:r>
        <w:rPr>
          <w:rFonts w:ascii="Arial" w:cs="Arial" w:eastAsia="Arial" w:hAnsi="Arial"/>
          <w:color w:val="1E1E1E"/>
          <w:sz w:val="21"/>
          <w:szCs w:val="21"/>
        </w:rPr>
        <w:t xml:space="preserve">□  All amber placeholder text replaced with actual values in Results section</w:t>
      </w:r>
    </w:p>
    <w:p>
      <w:pPr>
        <w:spacing w:after="40" w:before="40" w:line="300"/>
        <w:ind w:left="400" w:hanging="240"/>
      </w:pPr>
      <w:r>
        <w:rPr>
          <w:rFonts w:ascii="Arial" w:cs="Arial" w:eastAsia="Arial" w:hAnsi="Arial"/>
          <w:color w:val="1E1E1E"/>
          <w:sz w:val="21"/>
          <w:szCs w:val="21"/>
        </w:rPr>
        <w:t xml:space="preserve">□  Word count verified at or below 400 after placeholder replacement</w:t>
      </w:r>
    </w:p>
    <w:p>
      <w:pPr>
        <w:spacing w:after="40" w:before="40" w:line="300"/>
        <w:ind w:left="400" w:hanging="240"/>
      </w:pPr>
      <w:r>
        <w:rPr>
          <w:rFonts w:ascii="Arial" w:cs="Arial" w:eastAsia="Arial" w:hAnsi="Arial"/>
          <w:color w:val="1E1E1E"/>
          <w:sz w:val="21"/>
          <w:szCs w:val="21"/>
        </w:rPr>
        <w:t xml:space="preserve">□  Dr. Aroshidze confirmed as co-author and email address obtained</w:t>
      </w:r>
    </w:p>
    <w:p>
      <w:pPr>
        <w:spacing w:after="40" w:before="40" w:line="300"/>
        <w:ind w:left="400" w:hanging="240"/>
      </w:pPr>
      <w:r>
        <w:rPr>
          <w:rFonts w:ascii="Arial" w:cs="Arial" w:eastAsia="Arial" w:hAnsi="Arial"/>
          <w:color w:val="1E1E1E"/>
          <w:sz w:val="21"/>
          <w:szCs w:val="21"/>
        </w:rPr>
        <w:t xml:space="preserve">□  PAMED membership active (required for submission)</w:t>
      </w:r>
    </w:p>
    <w:p>
      <w:pPr>
        <w:spacing w:after="40" w:before="40" w:line="300"/>
        <w:ind w:left="400" w:hanging="240"/>
      </w:pPr>
      <w:r>
        <w:rPr>
          <w:rFonts w:ascii="Arial" w:cs="Arial" w:eastAsia="Arial" w:hAnsi="Arial"/>
          <w:color w:val="1E1E1E"/>
          <w:sz w:val="21"/>
          <w:szCs w:val="21"/>
        </w:rPr>
        <w:t xml:space="preserve">□  Submitted online via PAMED portal before June 12, 2026 at 4:00 PM</w:t>
      </w:r>
    </w:p>
    <w:p>
      <w:pPr>
        <w:spacing w:after="40" w:before="40" w:line="300"/>
        <w:ind w:left="400" w:hanging="240"/>
      </w:pPr>
      <w:r>
        <w:rPr>
          <w:rFonts w:ascii="Arial" w:cs="Arial" w:eastAsia="Arial" w:hAnsi="Arial"/>
          <w:color w:val="1E1E1E"/>
          <w:sz w:val="21"/>
          <w:szCs w:val="21"/>
        </w:rPr>
        <w:t xml:space="preserve">□  Availability to present confirmed for October 23-25, 2026, Hershey PA</w:t>
      </w:r>
    </w:p>
    <w:p>
      <w:pPr>
        <w:spacing w:after="80" w:before="0"/>
      </w:pPr>
      <w:r>
        <w:t xml:space="preserve"/>
      </w:r>
    </w:p>
    <w:p>
      <w:pPr>
        <w:pBdr>
          <w:top w:val="single" w:color="C8DFF0" w:sz="4" w:space="4"/>
        </w:pBdr>
        <w:spacing w:after="0" w:before="120"/>
      </w:pPr>
      <w:r>
        <w:rPr>
          <w:rFonts w:ascii="Arial" w:cs="Arial" w:eastAsia="Arial" w:hAnsi="Arial"/>
          <w:color w:val="999999"/>
          <w:sz w:val="17"/>
          <w:szCs w:val="17"/>
        </w:rPr>
        <w:t xml:space="preserve">David Comstock, MD  |  Guthrie Lourdes Hospital  |  david.comstock@guthrie.org  |  Prepared May 2026</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7"/>
        <w:szCs w:val="17"/>
      </w:rPr>
      <w:t xml:space="preserve">Comstock | PAMED HOD Abstract |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2026-05-20T00:11:14.243Z</dcterms:created>
  <dcterms:modified xsi:type="dcterms:W3CDTF">2026-05-20T00:11:14.244Z</dcterms:modified>
</cp:coreProperties>
</file>

<file path=docProps/custom.xml><?xml version="1.0" encoding="utf-8"?>
<Properties xmlns="http://schemas.openxmlformats.org/officeDocument/2006/custom-properties" xmlns:vt="http://schemas.openxmlformats.org/officeDocument/2006/docPropsVTypes"/>
</file>