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jc w:val="center"/>
      </w:pPr>
      <w:r>
        <w:rPr>
          <w:rFonts w:ascii="Arial" w:cs="Arial" w:eastAsia="Arial" w:hAnsi="Arial"/>
          <w:b/>
          <w:bCs/>
          <w:sz w:val="28"/>
          <w:szCs w:val="28"/>
        </w:rPr>
        <w:t xml:space="preserve">Recurrent </w:t>
      </w:r>
      <w:r>
        <w:rPr>
          <w:rFonts w:ascii="Arial" w:cs="Arial" w:eastAsia="Arial" w:hAnsi="Arial"/>
          <w:b/>
          <w:bCs/>
          <w:i/>
          <w:iCs/>
          <w:sz w:val="28"/>
          <w:szCs w:val="28"/>
        </w:rPr>
        <w:t xml:space="preserve">Mycoplasma genitalium</w:t>
      </w:r>
      <w:r>
        <w:rPr>
          <w:rFonts w:ascii="Arial" w:cs="Arial" w:eastAsia="Arial" w:hAnsi="Arial"/>
          <w:b/>
          <w:bCs/>
          <w:sz w:val="28"/>
          <w:szCs w:val="28"/>
        </w:rPr>
        <w:t xml:space="preserve"> Urethritis with Sequential Treatment Failures: Macrolide Resistance and Fluoroquinolone–Mineral Chelation as Compounding Barriers to Cure</w:t>
      </w:r>
    </w:p>
    <w:p>
      <w:pPr>
        <w:spacing w:after="180" w:before="0"/>
        <w:jc w:val="center"/>
      </w:pPr>
      <w:r>
        <w:rPr>
          <w:rFonts w:ascii="Arial" w:cs="Arial" w:eastAsia="Arial" w:hAnsi="Arial"/>
          <w:b/>
          <w:bCs/>
          <w:sz w:val="24"/>
          <w:szCs w:val="24"/>
        </w:rPr>
        <w:t xml:space="preserve">Comstock D, MD</w:t>
      </w:r>
      <w:r>
        <w:rPr>
          <w:rFonts w:ascii="Arial" w:cs="Arial" w:eastAsia="Arial" w:hAnsi="Arial"/>
          <w:b/>
          <w:bCs/>
          <w:sz w:val="16"/>
          <w:szCs w:val="16"/>
          <w:vertAlign w:val="superscript"/>
        </w:rPr>
        <w:t xml:space="preserve">1</w:t>
      </w:r>
      <w:r>
        <w:rPr>
          <w:rFonts w:ascii="Arial" w:cs="Arial" w:eastAsia="Arial" w:hAnsi="Arial"/>
          <w:b/>
          <w:bCs/>
          <w:sz w:val="24"/>
          <w:szCs w:val="24"/>
        </w:rPr>
        <w:t xml:space="preserve">;  Gareca MG, MD, FIDSA, FACP</w:t>
      </w:r>
      <w:r>
        <w:rPr>
          <w:rFonts w:ascii="Arial" w:cs="Arial" w:eastAsia="Arial" w:hAnsi="Arial"/>
          <w:b/>
          <w:bCs/>
          <w:sz w:val="16"/>
          <w:szCs w:val="16"/>
          <w:vertAlign w:val="superscript"/>
        </w:rPr>
        <w:t xml:space="preserve">2</w:t>
      </w:r>
    </w:p>
    <w:p>
      <w:pPr>
        <w:spacing w:after="60" w:before="0"/>
        <w:jc w:val="center"/>
      </w:pPr>
      <w:r>
        <w:rPr>
          <w:rFonts w:ascii="Arial" w:cs="Arial" w:eastAsia="Arial" w:hAnsi="Arial"/>
          <w:sz w:val="18"/>
          <w:szCs w:val="18"/>
          <w:vertAlign w:val="superscript"/>
        </w:rPr>
        <w:t xml:space="preserve">1</w:t>
      </w:r>
      <w:r>
        <w:rPr>
          <w:rFonts w:ascii="Arial" w:cs="Arial" w:eastAsia="Arial" w:hAnsi="Arial"/>
          <w:sz w:val="18"/>
          <w:szCs w:val="18"/>
        </w:rPr>
        <w:t xml:space="preserve"> Department of Internal Medicine, Guthrie Lourdes Hospital, Binghamton, NY</w:t>
      </w:r>
    </w:p>
    <w:p>
      <w:pPr>
        <w:spacing w:after="180" w:before="0"/>
        <w:jc w:val="center"/>
      </w:pPr>
      <w:r>
        <w:rPr>
          <w:rFonts w:ascii="Arial" w:cs="Arial" w:eastAsia="Arial" w:hAnsi="Arial"/>
          <w:sz w:val="18"/>
          <w:szCs w:val="18"/>
          <w:vertAlign w:val="superscript"/>
        </w:rPr>
        <w:t xml:space="preserve">2</w:t>
      </w:r>
      <w:r>
        <w:rPr>
          <w:rFonts w:ascii="Arial" w:cs="Arial" w:eastAsia="Arial" w:hAnsi="Arial"/>
          <w:sz w:val="18"/>
          <w:szCs w:val="18"/>
        </w:rPr>
        <w:t xml:space="preserve"> Guthrie Corning Hospital · Guthrie Lourdes Hospital · Robert Packer Hospital · Guthrie Cortland Medical Center</w:t>
      </w:r>
    </w:p>
    <w:p>
      <w:pPr>
        <w:spacing w:after="180" w:before="0"/>
        <w:jc w:val="center"/>
      </w:pPr>
      <w:r>
        <w:rPr>
          <w:rFonts w:ascii="Arial" w:cs="Arial" w:eastAsia="Arial" w:hAnsi="Arial"/>
          <w:b/>
          <w:bCs/>
          <w:sz w:val="20"/>
          <w:szCs w:val="20"/>
        </w:rPr>
        <w:t xml:space="preserve">Corresponding author: </w:t>
      </w:r>
      <w:r>
        <w:rPr>
          <w:rFonts w:ascii="Arial" w:cs="Arial" w:eastAsia="Arial" w:hAnsi="Arial"/>
          <w:sz w:val="20"/>
          <w:szCs w:val="20"/>
        </w:rPr>
        <w:t xml:space="preserve">D. Comstock, MD</w:t>
      </w:r>
      <w:r>
        <w:rPr>
          <w:rFonts w:ascii="Arial" w:cs="Arial" w:eastAsia="Arial" w:hAnsi="Arial"/>
          <w:sz w:val="20"/>
          <w:szCs w:val="20"/>
        </w:rPr>
        <w:t xml:space="preserve">
Department of Internal Medicine, Guthrie Lourdes Hospital, 169 Riverside Drive, Binghamton, NY 13905</w:t>
      </w:r>
      <w:r>
        <w:rPr>
          <w:rFonts w:ascii="Arial" w:cs="Arial" w:eastAsia="Arial" w:hAnsi="Arial"/>
          <w:sz w:val="20"/>
          <w:szCs w:val="20"/>
        </w:rPr>
        <w:t xml:space="preserve">
david.comstock@guthrie.org</w:t>
      </w:r>
    </w:p>
    <w:p>
      <w:pPr>
        <w:spacing w:after="80" w:before="0"/>
        <w:jc w:val="center"/>
      </w:pPr>
      <w:r>
        <w:rPr>
          <w:rFonts w:ascii="Arial" w:cs="Arial" w:eastAsia="Arial" w:hAnsi="Arial"/>
          <w:i/>
          <w:iCs/>
          <w:sz w:val="20"/>
          <w:szCs w:val="20"/>
        </w:rPr>
        <w:t xml:space="preserve">Running title: Chelation-Mediated Fluoroquinolone Failure in M. genitalium Urethritis</w:t>
      </w:r>
    </w:p>
    <w:p>
      <w:pPr>
        <w:spacing w:after="80" w:before="0"/>
        <w:jc w:val="center"/>
      </w:pPr>
      <w:r>
        <w:rPr>
          <w:rFonts w:ascii="Arial" w:cs="Arial" w:eastAsia="Arial" w:hAnsi="Arial"/>
          <w:sz w:val="20"/>
          <w:szCs w:val="20"/>
        </w:rPr>
        <w:t xml:space="preserve">Word count (body, excluding abstract and references): ~3,480</w:t>
      </w:r>
    </w:p>
    <w:p>
      <w:pPr>
        <w:spacing w:after="180" w:before="0"/>
        <w:jc w:val="center"/>
      </w:pPr>
      <w:r>
        <w:rPr>
          <w:rFonts w:ascii="Arial" w:cs="Arial" w:eastAsia="Arial" w:hAnsi="Arial"/>
          <w:sz w:val="20"/>
          <w:szCs w:val="20"/>
        </w:rPr>
        <w:t xml:space="preserve">Article type: Novel ID Cases</w:t>
      </w:r>
    </w:p>
    <w:p>
      <w:pPr>
        <w:pBdr>
          <w:bottom w:val="single" w:color="AAAAAA" w:sz="2" w:space="4"/>
        </w:pBdr>
        <w:spacing w:after="80" w:before="0"/>
      </w:pPr>
      <w:r>
        <w:rPr>
          <w:rFonts w:ascii="Arial" w:cs="Arial" w:eastAsia="Arial" w:hAnsi="Arial"/>
          <w:b/>
          <w:bCs/>
          <w:color w:val="1F4E79"/>
          <w:sz w:val="22"/>
          <w:szCs w:val="22"/>
        </w:rPr>
        <w:t xml:space="preserve">Key Points (for title page)</w:t>
      </w:r>
    </w:p>
    <w:p>
      <w:pPr>
        <w:spacing w:after="100" w:before="0"/>
        <w:ind w:left="360"/>
      </w:pPr>
      <w:r>
        <w:rPr>
          <w:rFonts w:ascii="Times New Roman" w:cs="Times New Roman" w:eastAsia="Times New Roman" w:hAnsi="Times New Roman"/>
          <w:sz w:val="22"/>
          <w:szCs w:val="22"/>
        </w:rPr>
        <w:t xml:space="preserve">• Mineral supplements reduce moxifloxacin AUC by ~39% and Cmax by ~59% via chelation, causing pharmacokinetic treatment failure that is clinically indistinguishable from microbiological resistance.</w:t>
      </w:r>
    </w:p>
    <w:p>
      <w:pPr>
        <w:spacing w:after="100" w:before="0"/>
        <w:ind w:left="360"/>
      </w:pPr>
      <w:r>
        <w:rPr>
          <w:rFonts w:ascii="Times New Roman" w:cs="Times New Roman" w:eastAsia="Times New Roman" w:hAnsi="Times New Roman"/>
          <w:sz w:val="22"/>
          <w:szCs w:val="22"/>
        </w:rPr>
        <w:t xml:space="preserve">• A systematic supplement history should precede every fluoroquinolone prescription; patients must receive explicit written counseling to avoid all mineral-containing products during therapy.</w:t>
      </w:r>
    </w:p>
    <w:p>
      <w:pPr>
        <w:spacing w:after="100" w:before="0"/>
        <w:ind w:left="360"/>
      </w:pPr>
      <w:r>
        <w:rPr>
          <w:rFonts w:ascii="Times New Roman" w:cs="Times New Roman" w:eastAsia="Times New Roman" w:hAnsi="Times New Roman"/>
          <w:sz w:val="22"/>
          <w:szCs w:val="22"/>
        </w:rPr>
        <w:t xml:space="preserve">• Tests of cure for M. genitalium should not be obtained before 3 weeks post-treatment; premature negative results reflect DNA clearance kinetics, not cure.</w:t>
      </w:r>
    </w:p>
    <w:p>
      <w:pPr>
        <w:spacing w:after="0" w:before="0"/>
      </w:pPr>
      <w:r>
        <w:t xml:space="preserve"/>
      </w:r>
    </w:p>
    <w:p>
      <w:pPr>
        <w:spacing w:after="80" w:before="0"/>
        <w:jc w:val="center"/>
      </w:pPr>
      <w:r>
        <w:rPr>
          <w:rFonts w:ascii="Arial" w:cs="Arial" w:eastAsia="Arial" w:hAnsi="Arial"/>
          <w:b/>
          <w:bCs/>
          <w:sz w:val="20"/>
          <w:szCs w:val="20"/>
        </w:rPr>
        <w:t xml:space="preserve">Conflicts of interest: </w:t>
      </w:r>
      <w:r>
        <w:rPr>
          <w:rFonts w:ascii="Arial" w:cs="Arial" w:eastAsia="Arial" w:hAnsi="Arial"/>
          <w:sz w:val="20"/>
          <w:szCs w:val="20"/>
        </w:rPr>
        <w:t xml:space="preserve">None declared.</w:t>
      </w:r>
    </w:p>
    <w:p>
      <w:pPr>
        <w:spacing w:after="80" w:before="0"/>
        <w:jc w:val="center"/>
      </w:pPr>
      <w:r>
        <w:rPr>
          <w:rFonts w:ascii="Arial" w:cs="Arial" w:eastAsia="Arial" w:hAnsi="Arial"/>
          <w:b/>
          <w:bCs/>
          <w:sz w:val="20"/>
          <w:szCs w:val="20"/>
        </w:rPr>
        <w:t xml:space="preserve">Funding: </w:t>
      </w:r>
      <w:r>
        <w:rPr>
          <w:rFonts w:ascii="Arial" w:cs="Arial" w:eastAsia="Arial" w:hAnsi="Arial"/>
          <w:sz w:val="20"/>
          <w:szCs w:val="20"/>
        </w:rPr>
        <w:t xml:space="preserve">No funding was received for this work.</w:t>
      </w:r>
    </w:p>
    <w:p>
      <w:pPr>
        <w:spacing w:after="0" w:before="0"/>
        <w:jc w:val="center"/>
      </w:pPr>
      <w:r>
        <w:rPr>
          <w:rFonts w:ascii="Arial" w:cs="Arial" w:eastAsia="Arial" w:hAnsi="Arial"/>
          <w:b/>
          <w:bCs/>
          <w:sz w:val="20"/>
          <w:szCs w:val="20"/>
        </w:rPr>
        <w:t xml:space="preserve">Keywords: </w:t>
      </w:r>
      <w:r>
        <w:rPr>
          <w:rFonts w:ascii="Arial" w:cs="Arial" w:eastAsia="Arial" w:hAnsi="Arial"/>
          <w:i/>
          <w:iCs/>
          <w:sz w:val="20"/>
          <w:szCs w:val="20"/>
        </w:rPr>
        <w:t xml:space="preserve">Mycoplasma genitalium</w:t>
      </w:r>
      <w:r>
        <w:rPr>
          <w:rFonts w:ascii="Arial" w:cs="Arial" w:eastAsia="Arial" w:hAnsi="Arial"/>
          <w:sz w:val="20"/>
          <w:szCs w:val="20"/>
        </w:rPr>
        <w:t xml:space="preserve">; urethritis; moxifloxacin; chelation; drug–mineral interaction; macrolide resistance; test of cure; antimicrobial stewardship</w:t>
      </w:r>
    </w:p>
    <w:p>
      <w:pPr>
        <w:spacing w:after="0" w:before="0"/>
      </w:pPr>
      <w:r>
        <w:br w:type="page"/>
      </w:r>
    </w:p>
    <w:p>
      <w:pPr>
        <w:pStyle w:val="Heading1"/>
        <w:pBdr>
          <w:bottom w:val="single" w:color="1F4E79" w:sz="4" w:space="4"/>
        </w:pBdr>
        <w:spacing w:after="160" w:before="360"/>
      </w:pPr>
      <w:r>
        <w:rPr>
          <w:rFonts w:ascii="Arial" w:cs="Arial" w:eastAsia="Arial" w:hAnsi="Arial"/>
          <w:b/>
          <w:bCs/>
          <w:color w:val="1F4E79"/>
          <w:sz w:val="28"/>
          <w:szCs w:val="28"/>
        </w:rPr>
        <w:t xml:space="preserve">Abstract</w:t>
      </w:r>
    </w:p>
    <w:p>
      <w:pPr>
        <w:spacing w:after="100" w:before="240"/>
      </w:pPr>
      <w:r>
        <w:rPr>
          <w:rFonts w:ascii="Arial" w:cs="Arial" w:eastAsia="Arial" w:hAnsi="Arial"/>
          <w:b/>
          <w:bCs/>
          <w:color w:val="2E75B6"/>
          <w:sz w:val="24"/>
          <w:szCs w:val="24"/>
        </w:rPr>
        <w:t xml:space="preserve">Background</w:t>
      </w:r>
    </w:p>
    <w:p>
      <w:pPr>
        <w:spacing w:after="140" w:before="0" w:line="360" w:lineRule="auto"/>
        <w:jc w:val="both"/>
      </w:pPr>
      <w:r>
        <w:rPr>
          <w:rFonts w:ascii="Times New Roman" w:cs="Times New Roman" w:eastAsia="Times New Roman" w:hAnsi="Times New Roman"/>
          <w:b w:val="false"/>
          <w:bCs w:val="false"/>
          <w:i/>
          <w:iCs/>
          <w:sz w:val="24"/>
          <w:szCs w:val="24"/>
        </w:rPr>
        <w:t xml:space="preserve">Mycoplasma genitalium</w:t>
      </w:r>
      <w:r>
        <w:rPr>
          <w:rFonts w:ascii="Times New Roman" w:cs="Times New Roman" w:eastAsia="Times New Roman" w:hAnsi="Times New Roman"/>
          <w:b w:val="false"/>
          <w:bCs w:val="false"/>
          <w:i w:val="false"/>
          <w:iCs w:val="false"/>
          <w:sz w:val="24"/>
          <w:szCs w:val="24"/>
        </w:rPr>
        <w:t xml:space="preserve"> is the second most common bacterial sexually transmitted infection in the United States, with macrolide resistance present in up to 64% of isolates. Moxifloxacin is the standard salvage therapy, but co-ingestion with polyvalent mineral supplements causes chelation-mediated pharmacokinetic failure that is clinically indistinguishable from microbiological resistance. This mechanism is largely unrecognized in clinical practice and is not addressed in current US treatment guidelines.</w:t>
      </w:r>
    </w:p>
    <w:p>
      <w:pPr>
        <w:spacing w:after="100" w:before="240"/>
      </w:pPr>
      <w:r>
        <w:rPr>
          <w:rFonts w:ascii="Arial" w:cs="Arial" w:eastAsia="Arial" w:hAnsi="Arial"/>
          <w:b/>
          <w:bCs/>
          <w:color w:val="2E75B6"/>
          <w:sz w:val="24"/>
          <w:szCs w:val="24"/>
        </w:rPr>
        <w:t xml:space="preserve">Case Presentation</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A person in their mid-30s with no significant medical history presented with recurrent urethritis after urethral instrumentation. </w:t>
      </w:r>
      <w:r>
        <w:rPr>
          <w:rFonts w:ascii="Times New Roman" w:cs="Times New Roman" w:eastAsia="Times New Roman" w:hAnsi="Times New Roman"/>
          <w:b w:val="false"/>
          <w:bCs w:val="false"/>
          <w:i/>
          <w:iCs/>
          <w:sz w:val="24"/>
          <w:szCs w:val="24"/>
        </w:rPr>
        <w:t xml:space="preserve">Mycoplasma genitalium</w:t>
      </w:r>
      <w:r>
        <w:rPr>
          <w:rFonts w:ascii="Times New Roman" w:cs="Times New Roman" w:eastAsia="Times New Roman" w:hAnsi="Times New Roman"/>
          <w:b w:val="false"/>
          <w:bCs w:val="false"/>
          <w:i w:val="false"/>
          <w:iCs w:val="false"/>
          <w:sz w:val="24"/>
          <w:szCs w:val="24"/>
        </w:rPr>
        <w:t xml:space="preserve"> NAAT was positive at all five encounters across five months (October 2025–February 2026); gonorrhea, chlamydia, and trichomonas testing was consistently negative. Sequential antibiotic courses — doxycycline, azithromycin, and three moxifloxacin-containing regimens — each failed to achieve clinical or microbiological cure. Cystourethroscopy demonstrated a normal urethra with no stricture. The pivotal observation was the patient’s voluntary discontinuation of a daily multivitamin (containing iron 18 mg, zinc 11 mg, calcium 200 mg, and magnesium 100 mg) on January 28, 2026; urethral symptoms resolved within 24 hours. Microbiological cure was confirmed on February 27, 2026, twenty-four days after moxifloxacin completion. Fluoroquinolone–mineral chelation reduces moxifloxacin area under the curve by approximately 39% and peak concentration by 59%, producing subtherapeutic drug exposure.</w:t>
      </w:r>
    </w:p>
    <w:p>
      <w:pPr>
        <w:spacing w:after="100" w:before="240"/>
      </w:pPr>
      <w:r>
        <w:rPr>
          <w:rFonts w:ascii="Arial" w:cs="Arial" w:eastAsia="Arial" w:hAnsi="Arial"/>
          <w:b/>
          <w:bCs/>
          <w:color w:val="2E75B6"/>
          <w:sz w:val="24"/>
          <w:szCs w:val="24"/>
        </w:rPr>
        <w:t xml:space="preserve">Conclusions</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Mineral supplementation during fluoroquinolone therapy for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infection can cause pharmacokinetic treatment failure indistinguishable from resistance. Supplement history must be elicited before prescribing moxifloxacin, and patients require explicit counseling to discontinue all mineral-containing products for the duration of treatment. Tests of cure should not be obtained before 3 weeks post-treatment, consistent with international guidelines.</w:t>
      </w:r>
    </w:p>
    <w:p>
      <w:pPr>
        <w:spacing w:after="0" w:before="0"/>
      </w:pPr>
      <w:r>
        <w:t xml:space="preserve"/>
      </w:r>
    </w:p>
    <w:p>
      <w:pPr>
        <w:spacing w:after="0" w:before="0"/>
      </w:pPr>
      <w:r>
        <w:br w:type="page"/>
      </w:r>
    </w:p>
    <w:p>
      <w:pPr>
        <w:pStyle w:val="Heading1"/>
        <w:pBdr>
          <w:bottom w:val="single" w:color="1F4E79" w:sz="4" w:space="4"/>
        </w:pBdr>
        <w:spacing w:after="160" w:before="360"/>
      </w:pPr>
      <w:r>
        <w:rPr>
          <w:rFonts w:ascii="Arial" w:cs="Arial" w:eastAsia="Arial" w:hAnsi="Arial"/>
          <w:b/>
          <w:bCs/>
          <w:color w:val="1F4E79"/>
          <w:sz w:val="28"/>
          <w:szCs w:val="28"/>
        </w:rPr>
        <w:t xml:space="preserve">Introduction</w:t>
      </w:r>
    </w:p>
    <w:p>
      <w:pPr>
        <w:spacing w:after="140" w:before="0" w:line="360" w:lineRule="auto"/>
        <w:jc w:val="both"/>
      </w:pPr>
      <w:r>
        <w:rPr>
          <w:rFonts w:ascii="Times New Roman" w:cs="Times New Roman" w:eastAsia="Times New Roman" w:hAnsi="Times New Roman"/>
          <w:b w:val="false"/>
          <w:bCs w:val="false"/>
          <w:i/>
          <w:iCs/>
          <w:sz w:val="24"/>
          <w:szCs w:val="24"/>
        </w:rPr>
        <w:t xml:space="preserve">Mycoplasma genitalium</w:t>
      </w:r>
      <w:r>
        <w:rPr>
          <w:rFonts w:ascii="Times New Roman" w:cs="Times New Roman" w:eastAsia="Times New Roman" w:hAnsi="Times New Roman"/>
          <w:b w:val="false"/>
          <w:bCs w:val="false"/>
          <w:i w:val="false"/>
          <w:iCs w:val="false"/>
          <w:sz w:val="24"/>
          <w:szCs w:val="24"/>
        </w:rPr>
        <w:t xml:space="preserve"> is the second most prevalent bacterial sexually transmitted infection (STI) in the United States, with a general population prevalence of approximately 1–2% and rates of 15–25% among persons with nongonococcal urethritis (NGU) and up to 40% in recurrent or persistent NGU presentations.1,2 Despite this burden,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is not reportable to any US state health department, cannot be cultured in standard clinical laboratories, and lacks an FDA-approved resistance testing platform.3 These structural gaps combine with widespread clinician unfamiliarity to create a pattern of delayed diagnosis and empiric treatment in the absence of susceptibility data.</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Macrolide resistance, mediated by mutations at positions A2058G and A2059G in the organism’s single-copy 23S rRNA gene, is present in up to 64% of US isolates and rises with each azithromycin exposure.4,9 Moxifloxacin — the standard salvage agent — is susceptible to a pharmacokinetic interaction that has received little attention in the STI literature: co-ingestion with polyvalent metal cations (iron, zinc, calcium, magnesium) forms insoluble chelate complexes in the gastrointestinal tract prior to absorption, reducing the area under the curve (AUC) by approximately 39% and peak serum concentration (C</w:t>
      </w:r>
      <w:r>
        <w:rPr>
          <w:rFonts w:ascii="Times New Roman" w:cs="Times New Roman" w:eastAsia="Times New Roman" w:hAnsi="Times New Roman"/>
          <w:b w:val="false"/>
          <w:bCs w:val="false"/>
          <w:i/>
          <w:iCs/>
          <w:sz w:val="24"/>
          <w:szCs w:val="24"/>
        </w:rPr>
        <w:t xml:space="preserve">max</w:t>
      </w:r>
      <w:r>
        <w:rPr>
          <w:rFonts w:ascii="Times New Roman" w:cs="Times New Roman" w:eastAsia="Times New Roman" w:hAnsi="Times New Roman"/>
          <w:b w:val="false"/>
          <w:bCs w:val="false"/>
          <w:i w:val="false"/>
          <w:iCs w:val="false"/>
          <w:sz w:val="24"/>
          <w:szCs w:val="24"/>
        </w:rPr>
        <w:t xml:space="preserve">) by approximately 59%.5 Because moxifloxacin exerts concentration-dependent bactericidal activity through its AUC/MIC ratio, this degree of exposure reduction is sufficient to produce treatment failure even in a susceptible organism — and to generate the sub-inhibitory drug exposure most conducive to emergent fluoroquinolone resistance.</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We report a case in which undisclosed daily mineral supplementation during two sequential moxifloxacin-containing courses produced pharmacokinetic treatment failure compounding presumed macrolide resistance, resulting in five antibiotic courses over five months before the interaction was identified. The case illustrates the convergence of diagnostic gaps, macrolide resistance, and a correctable pharmacokinetic mechanism that together define the current clinical challenge of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in the United States.</w:t>
      </w:r>
    </w:p>
    <w:p>
      <w:pPr>
        <w:spacing w:after="0" w:before="0"/>
      </w:pPr>
      <w:r>
        <w:t xml:space="preserve"/>
      </w:r>
    </w:p>
    <w:p>
      <w:pPr>
        <w:pStyle w:val="Heading1"/>
        <w:pBdr>
          <w:bottom w:val="single" w:color="1F4E79" w:sz="4" w:space="4"/>
        </w:pBdr>
        <w:spacing w:after="160" w:before="360"/>
      </w:pPr>
      <w:r>
        <w:rPr>
          <w:rFonts w:ascii="Arial" w:cs="Arial" w:eastAsia="Arial" w:hAnsi="Arial"/>
          <w:b/>
          <w:bCs/>
          <w:color w:val="1F4E79"/>
          <w:sz w:val="28"/>
          <w:szCs w:val="28"/>
        </w:rPr>
        <w:t xml:space="preserve">Case Presentation</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A person in their mid-30s with no significant medical history (elevated fasting glucose, no medications) presented to a local health department in early October 2025 with urethral discharge and dysuria. The patient reported one female partner from October 2025, with no sexual activity thereafter. Baseline serologies for HIV, hepatitis C, and syphilis were negative. The onset of urethritis followed an episode of urethral instrumentation (sounding with a silicone catheter as a sexual practice).</w:t>
      </w:r>
    </w:p>
    <w:p>
      <w:pPr>
        <w:spacing w:after="140" w:before="0" w:line="360" w:lineRule="auto"/>
        <w:jc w:val="both"/>
      </w:pP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NAAT was positive at initial presentation; concurrent gonorrhea, chlamydia, and trichomonas NAATs were negative and remained negative throughout the clinical course. Table 1 presents the complete clinical chronology. In summary, five sequential antibiotic courses over five months each failed to achieve sustained clinical or microbiological cure:</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Course 1 (doxycycline 100 mg BID × 7 days) resulted in apparent initial improvement with recurrent symptoms and a positive NAAT at 21 days. Course 2 (doxycycline plus azithromycin 1 g) was administered with empiric macrolide resistance presumed; symptoms recurred within days of completing the subsequent moxifloxacin 400 mg × 7-day course (Course 3). Course 4 (doxycycline followed by azithromycin) similarly failed. At infectious diseases (ID) consultation in November 2025, ID-supervised sequential therapy with doxycycline 14 days followed by moxifloxacin 400 mg × 14 days was initiated as Course 5.</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Cystourethroscopy performed in December 2025 during active infection demonstrated a completely normal urethra with no stricture, mucosal lesions, or scarring; post-void residual was 6 mL. Urinalysis in January 2026 revealed 26–50 WBCs per high-power field. Two complete blood counts obtained during the prolonged treatment course showed mild leukopenia (WBC 3.23 and 3.12 × 10³/µL, respectively), without clinical consequence.</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The pivotal clinical observation emerged on January 28, 2026. The patient independently discontinued a daily commercial multivitamin that had been taken consistently since the fall of 2025. The supplement contained iron 18 mg, zinc 11 mg, calcium 200 mg, and magnesium 100 mg — encompassing all four cation classes responsible for fluoroquinolone chelation. Urethral symptoms resolved the following day (January 29, 2026), while Course 5 antibiotics continued. The antibiotic course was completed February 3, 2026.</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At the ID follow-up visit on February 5, 2026, the temporal correlation between supplement discontinuation and symptom resolution — abrupt improvement within 24 hours of removing all chelating agents — was documented as the probable mechanism of pharmacokinetic treatment failure across Courses 3 and 5.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NAAT obtained February 9, 2026 (6 days post-moxifloxacin) was negative but was designated premature per guideline-based requirements for ≥3 weeks post-treatment to allow DNA clearance from non-viable organisms. Confirmatory test of cure on February 27, 2026 — 24 days post-moxifloxacin, without mineral supplementation — was negative, documenting microbiological cure.</w:t>
      </w:r>
    </w:p>
    <w:p>
      <w:pPr>
        <w:spacing w:after="0" w:before="0"/>
      </w:pPr>
      <w:r>
        <w:t xml:space="preserve"/>
      </w:r>
    </w:p>
    <w:p>
      <w:pPr>
        <w:spacing w:after="80" w:before="160"/>
      </w:pPr>
      <w:r>
        <w:rPr>
          <w:rFonts w:ascii="Arial" w:cs="Arial" w:eastAsia="Arial" w:hAnsi="Arial"/>
          <w:b/>
          <w:bCs/>
          <w:sz w:val="22"/>
          <w:szCs w:val="22"/>
        </w:rPr>
        <w:t xml:space="preserve">Table 1. Clinical Chronology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top"/>
          </w:tcPr>
          <w:p>
            <w:pPr>
              <w:spacing w:after="0" w:before="0"/>
            </w:pPr>
            <w:r>
              <w:rPr>
                <w:rFonts w:ascii="Arial" w:cs="Arial" w:eastAsia="Arial" w:hAnsi="Arial"/>
                <w:b/>
                <w:bCs/>
                <w:color w:val="FFFFFF"/>
                <w:sz w:val="19"/>
                <w:szCs w:val="19"/>
              </w:rPr>
              <w:t xml:space="preserve">Date</w:t>
            </w:r>
          </w:p>
        </w:tc>
        <w:tc>
          <w:tcPr>
            <w:tcW w:type="dxa" w:w="4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top"/>
          </w:tcPr>
          <w:p>
            <w:pPr>
              <w:spacing w:after="0" w:before="0"/>
            </w:pPr>
            <w:r>
              <w:rPr>
                <w:rFonts w:ascii="Arial" w:cs="Arial" w:eastAsia="Arial" w:hAnsi="Arial"/>
                <w:b/>
                <w:bCs/>
                <w:color w:val="FFFFFF"/>
                <w:sz w:val="19"/>
                <w:szCs w:val="19"/>
              </w:rPr>
              <w:t xml:space="preserve">Event / Finding</w:t>
            </w:r>
          </w:p>
        </w:tc>
        <w:tc>
          <w:tcPr>
            <w:tcW w:type="dxa" w:w="3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top"/>
          </w:tcPr>
          <w:p>
            <w:pPr>
              <w:spacing w:after="0" w:before="0"/>
            </w:pPr>
            <w:r>
              <w:rPr>
                <w:rFonts w:ascii="Arial" w:cs="Arial" w:eastAsia="Arial" w:hAnsi="Arial"/>
                <w:b/>
                <w:bCs/>
                <w:color w:val="FFFFFF"/>
                <w:sz w:val="19"/>
                <w:szCs w:val="19"/>
              </w:rPr>
              <w:t xml:space="preserve">Intervention</w:t>
            </w:r>
          </w:p>
        </w:tc>
      </w:tr>
      <w:tr>
        <w:trPr>
          <w:tblHeader w:val="false"/>
        </w:trP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Oct 2025 (early)</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Urethritis after urethral instrumentation. M. gen NAAT+; GC/CT/TV negative. HIV/HCV/syphilis negative.</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Doxycycline 100 mg BID × 7d (Course 1)</w:t>
            </w:r>
          </w:p>
        </w:tc>
      </w:tr>
      <w:tr>
        <w:trPr>
          <w:tblHeader w:val="false"/>
        </w:trPr>
        <w:tc>
          <w:tcPr>
            <w:tcW w:type="dxa" w:w="13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Oct 21, 2025</w:t>
            </w:r>
          </w:p>
        </w:tc>
        <w:tc>
          <w:tcPr>
            <w:tcW w:type="dxa" w:w="4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Recurrent symptoms. M. gen NAAT+. Macrolide resistance suspected.</w:t>
            </w:r>
          </w:p>
        </w:tc>
        <w:tc>
          <w:tcPr>
            <w:tcW w:type="dxa" w:w="38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Doxycycline + Azithromycin 1 g (Course 2)</w:t>
            </w:r>
          </w:p>
        </w:tc>
      </w:tr>
      <w:tr>
        <w:trPr>
          <w:tblHeader w:val="false"/>
        </w:trP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Oct–Nov 2025</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Symptoms recurred 3–4 days post-moxifloxacin; recurred again ~2 days post-Course 4.</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Moxifloxacin × 7d (Course 3); doxycycline + azithromycin (Course 4)</w:t>
            </w:r>
          </w:p>
        </w:tc>
      </w:tr>
      <w:tr>
        <w:trPr>
          <w:tblHeader w:val="false"/>
        </w:trPr>
        <w:tc>
          <w:tcPr>
            <w:tcW w:type="dxa" w:w="13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Dec 4, 2025</w:t>
            </w:r>
          </w:p>
        </w:tc>
        <w:tc>
          <w:tcPr>
            <w:tcW w:type="dxa" w:w="4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ID consultation. Cystourethroscopy: normal urethra, no stricture, PVR 6 mL. M. gen NAAT+.</w:t>
            </w:r>
          </w:p>
        </w:tc>
        <w:tc>
          <w:tcPr>
            <w:tcW w:type="dxa" w:w="38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Sequential doxycycline + moxifloxacin initiated (Course 5)</w:t>
            </w:r>
          </w:p>
        </w:tc>
      </w:tr>
      <w:tr>
        <w:trPr>
          <w:tblHeader w:val="false"/>
        </w:trP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Jan 5, 2026</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UA: 26–50 WBCs/hpf. Two CBCs: WBC 3.23 and 3.12 × 10³/µL.</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Doxycycline 14d → moxifloxacin 400 mg × 14d (Course 5 continued)</w:t>
            </w:r>
          </w:p>
        </w:tc>
      </w:tr>
      <w:tr>
        <w:trPr>
          <w:tblHeader w:val="false"/>
        </w:trPr>
        <w:tc>
          <w:tcPr>
            <w:tcW w:type="dxa" w:w="13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Jan 28, 2026</w:t>
            </w:r>
          </w:p>
        </w:tc>
        <w:tc>
          <w:tcPr>
            <w:tcW w:type="dxa" w:w="4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Patient self-discontinued daily multivitamin (Fe 18 mg, Zn 11 mg, Ca 200 mg, Mg 100 mg) taken since Oct 2025.</w:t>
            </w:r>
          </w:p>
        </w:tc>
        <w:tc>
          <w:tcPr>
            <w:tcW w:type="dxa" w:w="38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Chelation source eliminated</w:t>
            </w:r>
          </w:p>
        </w:tc>
      </w:tr>
      <w:tr>
        <w:trPr>
          <w:tblHeader w:val="false"/>
        </w:trP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Jan 29, 2026</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Urethral symptoms resolved — 1 day after supplement discontinuation.</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Course 5 completed Feb 3, 2026</w:t>
            </w:r>
          </w:p>
        </w:tc>
      </w:tr>
      <w:tr>
        <w:trPr>
          <w:tblHeader w:val="false"/>
        </w:trPr>
        <w:tc>
          <w:tcPr>
            <w:tcW w:type="dxa" w:w="13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Feb 5, 2026</w:t>
            </w:r>
          </w:p>
        </w:tc>
        <w:tc>
          <w:tcPr>
            <w:tcW w:type="dxa" w:w="4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ID visit: chelation documented as probable pharmacokinetic failure mechanism.</w:t>
            </w:r>
          </w:p>
        </w:tc>
        <w:tc>
          <w:tcPr>
            <w:tcW w:type="dxa" w:w="38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TOC scheduled ≥3 weeks post-treatment</w:t>
            </w:r>
          </w:p>
        </w:tc>
      </w:tr>
      <w:tr>
        <w:trPr>
          <w:tblHeader w:val="false"/>
        </w:trP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Feb 27, 2026</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M. gen NAAT negative — 24 days post-moxifloxacin. Microbiological cure confirmed.</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Long-term urology follow-up arranged</w:t>
            </w:r>
          </w:p>
        </w:tc>
      </w:tr>
    </w:tbl>
    <w:p>
      <w:pPr>
        <w:spacing w:after="240" w:before="60"/>
      </w:pPr>
      <w:r>
        <w:rPr>
          <w:rFonts w:ascii="Times New Roman" w:cs="Times New Roman" w:eastAsia="Times New Roman" w:hAnsi="Times New Roman"/>
          <w:i/>
          <w:iCs/>
          <w:sz w:val="18"/>
          <w:szCs w:val="18"/>
        </w:rPr>
        <w:t xml:space="preserve">Abbreviations: M. gen, Mycoplasma genitalium; NAAT, nucleic acid amplification test; GC, gonorrhea; CT, chlamydia; TV, trichomonas vaginalis; UA, urinalysis; WBC, white blood cell; ID, infectious diseases; PVR, post-void residual; TOC, test of cure.</w:t>
      </w:r>
    </w:p>
    <w:p>
      <w:pPr>
        <w:pStyle w:val="Heading1"/>
        <w:pBdr>
          <w:bottom w:val="single" w:color="1F4E79" w:sz="4" w:space="4"/>
        </w:pBdr>
        <w:spacing w:after="160" w:before="360"/>
      </w:pPr>
      <w:r>
        <w:rPr>
          <w:rFonts w:ascii="Arial" w:cs="Arial" w:eastAsia="Arial" w:hAnsi="Arial"/>
          <w:b/>
          <w:bCs/>
          <w:color w:val="1F4E79"/>
          <w:sz w:val="28"/>
          <w:szCs w:val="28"/>
        </w:rPr>
        <w:t xml:space="preserve">Discussion</w:t>
      </w:r>
    </w:p>
    <w:p>
      <w:pPr>
        <w:spacing w:after="100" w:before="240"/>
      </w:pPr>
      <w:r>
        <w:rPr>
          <w:rFonts w:ascii="Arial" w:cs="Arial" w:eastAsia="Arial" w:hAnsi="Arial"/>
          <w:b/>
          <w:bCs/>
          <w:color w:val="2E75B6"/>
          <w:sz w:val="24"/>
          <w:szCs w:val="24"/>
        </w:rPr>
        <w:t xml:space="preserve">Fluoroquinolone–Mineral Chelation as a Mechanism of Pharmacokinetic Treatment Failure</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The central and novel observation in this case is pharmacokinetic treatment failure caused by fluoroquinolone–mineral chelation. Moxifloxacin, like all 4-quinolones, coordinates divalent and trivalent metal cations through its 4-oxo and adjacent carboxyl moieties, forming insoluble complexes in the gastrointestinal lumen prior to absorption.5 This reaction occurs with iron, zinc, calcium, and magnesium — all present in standard commercial multivitamins — as well as with antacids, sucralfate, and dairy products consumed near dose time. The resulting loss of bioavailability is clinically significant: co-administration of moxifloxacin with a magnesium-containing antacid reduces AUC by approximately 39% and C</w:t>
      </w:r>
      <w:r>
        <w:rPr>
          <w:rFonts w:ascii="Times New Roman" w:cs="Times New Roman" w:eastAsia="Times New Roman" w:hAnsi="Times New Roman"/>
          <w:b w:val="false"/>
          <w:bCs w:val="false"/>
          <w:i/>
          <w:iCs/>
          <w:sz w:val="24"/>
          <w:szCs w:val="24"/>
        </w:rPr>
        <w:t xml:space="preserve">max</w:t>
      </w:r>
      <w:r>
        <w:rPr>
          <w:rFonts w:ascii="Times New Roman" w:cs="Times New Roman" w:eastAsia="Times New Roman" w:hAnsi="Times New Roman"/>
          <w:b w:val="false"/>
          <w:bCs w:val="false"/>
          <w:i w:val="false"/>
          <w:iCs w:val="false"/>
          <w:sz w:val="24"/>
          <w:szCs w:val="24"/>
        </w:rPr>
        <w:t xml:space="preserve"> by approximately 59%.5 Moxifloxacin achieves its bactericidal effect through a concentration-dependent mechanism governed by the AUC/minimum inhibitory concentration (MIC) ratio. A 39% reduction in AUC translates directly to a 39% reduction in pharmacodynamic target attainment — sufficient to convert an otherwise therapeutic regimen to subtherapeutic in organisms with MIC values at or near the epidemiological cut-off.</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Sub-inhibitory drug exposure is not merely ineffective; it is actively harmful. Partial drug concentrations — sufficient to exert selection pressure but insufficient to eradicate — represent the pharmacodynamic conditions most favorable for emergence of resistance mutations. In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which carries a single-copy gyrase A gene (gyrA) and lacks functional mismatch repair machinery, this selection pressure is particularly consequential.9 Each moxifloxacin course administered while chelation rendered drug levels subtherapeutic was effectively a resistance-selection exposure disguised as treatment. That the organism ultimately cleared with the same drug and dose — once the chelating agent was removed — provides strong indirect evidence that the mechanism was pharmacokinetic rather than microbiological.</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The interaction was not identified for four antibiotic courses because the patient did not classify his daily multivitamin as a medication, and supplement history was not systematically elicited at initial encounters. This pattern is consistent with the broader literature: patients commonly fail to report supplements when asked about medications, and clinicians less commonly ask. A structured supplement inquiry — specifically asking about multivitamins, individual mineral tablets, antacids, and calcium supplements — should be performed before every fluoroquinolone prescription. A one-page patient counseling handout specifying the avoid-list (multivitamins, iron, zinc, calcium, magnesium, antacids, dairy near dose time) and providing timing guidance (complete abstinence preferred; ≥4–6 hour separation minimum if supplement continuation is medically necessary) should be given at dispensing.</w:t>
      </w:r>
    </w:p>
    <w:p>
      <w:pPr>
        <w:spacing w:after="100" w:before="240"/>
      </w:pPr>
      <w:r>
        <w:rPr>
          <w:rFonts w:ascii="Arial" w:cs="Arial" w:eastAsia="Arial" w:hAnsi="Arial"/>
          <w:b/>
          <w:bCs/>
          <w:color w:val="2E75B6"/>
          <w:sz w:val="24"/>
          <w:szCs w:val="24"/>
        </w:rPr>
        <w:t xml:space="preserve">Macrolide Resistance and the Stewardship Cost of Empiric Azithromycin</w:t>
      </w:r>
    </w:p>
    <w:p>
      <w:pPr>
        <w:spacing w:after="140" w:before="0" w:line="360" w:lineRule="auto"/>
        <w:jc w:val="both"/>
      </w:pP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macrolide resistance in the United States has reached epidemic proportions, with rates exceeding 50–64% in recent multicenter cohorts.4,10 The primary iatrogenic driver is empiric azithromycin administration — specifically azithromycin 1 g, which was historically standard treatment for </w:t>
      </w:r>
      <w:r>
        <w:rPr>
          <w:rFonts w:ascii="Times New Roman" w:cs="Times New Roman" w:eastAsia="Times New Roman" w:hAnsi="Times New Roman"/>
          <w:b w:val="false"/>
          <w:bCs w:val="false"/>
          <w:i/>
          <w:iCs/>
          <w:sz w:val="24"/>
          <w:szCs w:val="24"/>
        </w:rPr>
        <w:t xml:space="preserve">Chlamydia trachomatis</w:t>
      </w:r>
      <w:r>
        <w:rPr>
          <w:rFonts w:ascii="Times New Roman" w:cs="Times New Roman" w:eastAsia="Times New Roman" w:hAnsi="Times New Roman"/>
          <w:b w:val="false"/>
          <w:bCs w:val="false"/>
          <w:i w:val="false"/>
          <w:iCs w:val="false"/>
          <w:sz w:val="24"/>
          <w:szCs w:val="24"/>
        </w:rPr>
        <w:t xml:space="preserve"> and nongonococcal urethritis. Because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and chlamydia co-infect 3–38% of individuals depending on population risk, a patient treated with azithromycin for clinically diagnosed or laboratory-confirmed chlamydia who has undiagnosed co-existing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receives effective empiric macrolide monotherapy for the mycoplasma — generating the precise exposure associated with resistance selection.11 In one prospective cohort, 28.6% of co-infected women had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detected at 3-month follow-up after azithromycin for chlamydia, and all persistent isolates harbored macrolide resistance-associated mutations.11</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The present case illustrates this mechanism directly: azithromycin 1 g was added to doxycycline at Course 2 in the setting of a documented positive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NAAT — the treatment scenario most associated with resistance selection. Current CDC guidelines advise against empiric azithromycin in settings with access to resistance testing, and recommend resistance-guided therapy with doxycycline debulking (which reduces bacterial load before applying the definitive agent) followed by a susceptibility-directed second drug.3 In the United States, the SpeeDx ResistancePlus MG platform provides simultaneous detection and macrolide resistance genotyping but lacks FDA approval, limiting its adoption. The consequence is that US clinicians frequently treat blindly with agents that are statistically more likely to fail than succeed — and in doing so, compound the resistance problem for future patients.</w:t>
      </w:r>
    </w:p>
    <w:p>
      <w:pPr>
        <w:spacing w:after="100" w:before="240"/>
      </w:pPr>
      <w:r>
        <w:rPr>
          <w:rFonts w:ascii="Arial" w:cs="Arial" w:eastAsia="Arial" w:hAnsi="Arial"/>
          <w:b/>
          <w:bCs/>
          <w:color w:val="2E75B6"/>
          <w:sz w:val="24"/>
          <w:szCs w:val="24"/>
        </w:rPr>
        <w:t xml:space="preserve">Test of Cure: Timing, Guidelines, and the Risk of Premature Reassurance</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A distinct but related clinical lesson in this case is the timing of test of cure (TOC).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NAAT detects nucleic acid, not viable organisms; DNA from non-viable bacteria persists in urethral secretions for 14–21 days following successful antibiotic eradication.6 A NAAT obtained during this window may return negative despite the presence of residual non-replicating DNA — or, conversely, may return positive for non-viable organism remnants that are misinterpreted as treatment failure, triggering unnecessary additional antibiotic courses. In this case, a February 9 NAAT obtained 6 days post-moxifloxacin was negative, a result that could have been misinterpreted as cure; the February 27 confirmatory TOC, performed 24 days post-treatment, provided the definitive result.</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Guidelines diverge on this point in a way that warrants comment. The 2021 CDC STI guidelines recommend selective TOC in macrolide-resistant or treatment-failure cases, without specifying a minimum interval.3 IUSTI/European guidelines recommend universal TOC at ≥3 weeks post-treatment, serving simultaneously as individual clinical confirmation and population-level resistance surveillance.6 Australia’s ASHM guidelines mandate universal TOC with partner notification and represent the most systematically integrated approach globally. The US position — selective TOC without a standardized timing requirement — reflects the absence of FDA-approved resistance testing infrastructure rather than a deliberate epidemiological decision. Clinicians using TOC to guide management decisions should obtain it no earlier than 3 weeks post-treatment regardless of which guideline framework they follow.</w:t>
      </w:r>
    </w:p>
    <w:p>
      <w:pPr>
        <w:spacing w:after="100" w:before="240"/>
      </w:pPr>
      <w:r>
        <w:rPr>
          <w:rFonts w:ascii="Arial" w:cs="Arial" w:eastAsia="Arial" w:hAnsi="Arial"/>
          <w:b/>
          <w:bCs/>
          <w:color w:val="2E75B6"/>
          <w:sz w:val="24"/>
          <w:szCs w:val="24"/>
        </w:rPr>
        <w:t xml:space="preserve">Epidemiological Context: A Clinically Significant Pathogen Without a Surveillance Infrastructure</w:t>
      </w:r>
    </w:p>
    <w:p>
      <w:pPr>
        <w:spacing w:after="140" w:before="0" w:line="360" w:lineRule="auto"/>
        <w:jc w:val="both"/>
      </w:pP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shares a remarkably similar epidemiological profile with </w:t>
      </w:r>
      <w:r>
        <w:rPr>
          <w:rFonts w:ascii="Times New Roman" w:cs="Times New Roman" w:eastAsia="Times New Roman" w:hAnsi="Times New Roman"/>
          <w:b w:val="false"/>
          <w:bCs w:val="false"/>
          <w:i/>
          <w:iCs/>
          <w:sz w:val="24"/>
          <w:szCs w:val="24"/>
        </w:rPr>
        <w:t xml:space="preserve">Chlamydia trachomatis</w:t>
      </w:r>
      <w:r>
        <w:rPr>
          <w:rFonts w:ascii="Times New Roman" w:cs="Times New Roman" w:eastAsia="Times New Roman" w:hAnsi="Times New Roman"/>
          <w:b w:val="false"/>
          <w:bCs w:val="false"/>
          <w:i w:val="false"/>
          <w:iCs w:val="false"/>
          <w:sz w:val="24"/>
          <w:szCs w:val="24"/>
        </w:rPr>
        <w:t xml:space="preserve">: comparable general population prevalence (1–2%), a high proportion of asymptomatic infections (approximately 50% in men, up to 70% in women), and identical downstream sequelae in women (cervicitis, endometritis, pelvic inflammatory disease, tubal infertility, and ectopic pregnancy).12 Yet chlamydia triggers mandatory reporting in all 50 states and drives national screening guidelines, while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is reportable in no state and is absent from all routine STI screening panels. This asymmetry has concrete consequences: rising macrolide resistance rates cannot be tracked, pharmacokinetic failures like the one described here go unregistered, and the organism’s true disease burden remains unmeasured at the national level.</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From a clinical standpoint, several practices can reduce the consequence of this surveillance gap. Explicit NAAT ordering for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in all patients with persistent or recurrent NGU, cervicitis, or PID is a necessary first step. Resistance genotyping at the time of diagnosis — where available through research or reference laboratory channels — enables targeted therapy selection rather than sequential empiric trials. Structured supplement counseling at every fluoroquinolone prescription, and universal TOC at ≥3 weeks post-treatment, close two of the most correctable gaps in current care.</w:t>
      </w:r>
    </w:p>
    <w:p>
      <w:pPr>
        <w:spacing w:after="100" w:before="240"/>
      </w:pPr>
      <w:r>
        <w:rPr>
          <w:rFonts w:ascii="Arial" w:cs="Arial" w:eastAsia="Arial" w:hAnsi="Arial"/>
          <w:b/>
          <w:bCs/>
          <w:color w:val="2E75B6"/>
          <w:sz w:val="24"/>
          <w:szCs w:val="24"/>
        </w:rPr>
        <w:t xml:space="preserve">Limitations</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The primary limitation of this report is the absence of confirmed resistance genotyping data. Resistance genotyping was ordered in January 2026 but results were unavailable at the time of writing; the presence or absence of fluoroquinolone resistance mutations in the organism (parC G248T S83I or gyrA mutations) would either strengthen or complicate the pharmacokinetic failure attribution. Without genotyping confirmation, chelation is a highly probable but not definitively proven mechanism. The single-case design limits generalizability, and the causal attribution of symptom resolution to supplement discontinuation rests on temporal correlation rather than pharmacokinetic measurement. Patient-reported supplement discontinuation date may also be subject to recall imprecision.</w:t>
      </w:r>
    </w:p>
    <w:p>
      <w:pPr>
        <w:spacing w:after="0" w:before="0"/>
      </w:pPr>
      <w:r>
        <w:t xml:space="preserve"/>
      </w:r>
    </w:p>
    <w:p>
      <w:pPr>
        <w:pStyle w:val="Heading1"/>
        <w:pBdr>
          <w:bottom w:val="single" w:color="1F4E79" w:sz="4" w:space="4"/>
        </w:pBdr>
        <w:spacing w:after="160" w:before="360"/>
      </w:pPr>
      <w:r>
        <w:rPr>
          <w:rFonts w:ascii="Arial" w:cs="Arial" w:eastAsia="Arial" w:hAnsi="Arial"/>
          <w:b/>
          <w:bCs/>
          <w:color w:val="1F4E79"/>
          <w:sz w:val="28"/>
          <w:szCs w:val="28"/>
        </w:rPr>
        <w:t xml:space="preserve">Conclusions</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This case documents pharmacokinetic treatment failure in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urethritis caused by fluoroquinolone–mineral chelation, compounding presumed macrolide resistance to produce five antibiotic failures over five months. The interaction is correctable but requires active identification: supplement history must be elicited before every fluoroquinolone prescription, and patients must receive explicit written counseling to discontinue mineral-containing products for the duration of treatment. Tests of cure should not be obtained before 3 weeks post-treatment, consistent with IUSTI and Australian guidelines. The case also highlights the urgent need for FDA approval of resistance-guided testing platforms in the United States, which would enable the treatment sequence — doxycycline debulking followed by a susceptibility-directed agent — that represents the current international standard of care.</w:t>
      </w:r>
    </w:p>
    <w:p>
      <w:pPr>
        <w:spacing w:after="0" w:before="0"/>
      </w:pPr>
      <w:r>
        <w:t xml:space="preserve"/>
      </w:r>
    </w:p>
    <w:p>
      <w:pPr>
        <w:pStyle w:val="Heading1"/>
        <w:pBdr>
          <w:bottom w:val="single" w:color="1F4E79" w:sz="4" w:space="4"/>
        </w:pBdr>
        <w:spacing w:after="160" w:before="360"/>
      </w:pPr>
      <w:r>
        <w:rPr>
          <w:rFonts w:ascii="Arial" w:cs="Arial" w:eastAsia="Arial" w:hAnsi="Arial"/>
          <w:b/>
          <w:bCs/>
          <w:color w:val="1F4E79"/>
          <w:sz w:val="28"/>
          <w:szCs w:val="28"/>
        </w:rPr>
        <w:t xml:space="preserve">Acknowledgments</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The authors thank the patient for their cooperation and written informed consent to publish this case report.</w:t>
      </w:r>
    </w:p>
    <w:p>
      <w:pPr>
        <w:spacing w:after="0" w:before="0"/>
      </w:pPr>
      <w:r>
        <w:t xml:space="preserve"/>
      </w:r>
    </w:p>
    <w:p>
      <w:pPr>
        <w:pStyle w:val="Heading1"/>
        <w:pBdr>
          <w:bottom w:val="single" w:color="1F4E79" w:sz="4" w:space="4"/>
        </w:pBdr>
        <w:spacing w:after="160" w:before="360"/>
      </w:pPr>
      <w:r>
        <w:rPr>
          <w:rFonts w:ascii="Arial" w:cs="Arial" w:eastAsia="Arial" w:hAnsi="Arial"/>
          <w:b/>
          <w:bCs/>
          <w:color w:val="1F4E79"/>
          <w:sz w:val="28"/>
          <w:szCs w:val="28"/>
        </w:rPr>
        <w:t xml:space="preserve">Artificial Intelligence Disclosure</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Artificial intelligence language model tools (Claude, Anthropic) were used to assist with manuscript drafting, literature organization, and document formatting. All content was reviewed, verified, and approved by the authors, who take full responsibility for the accuracy and integrity of the submitted work. AI use is disclosed in accordance with OFID and World Association of Medical Editors (WAME) guidelines.</w:t>
      </w:r>
    </w:p>
    <w:p>
      <w:pPr>
        <w:spacing w:after="0" w:before="0"/>
      </w:pPr>
      <w:r>
        <w:t xml:space="preserve"/>
      </w:r>
    </w:p>
    <w:p>
      <w:pPr>
        <w:pStyle w:val="Heading1"/>
        <w:pBdr>
          <w:bottom w:val="single" w:color="1F4E79" w:sz="4" w:space="4"/>
        </w:pBdr>
        <w:spacing w:after="160" w:before="360"/>
      </w:pPr>
      <w:r>
        <w:rPr>
          <w:rFonts w:ascii="Arial" w:cs="Arial" w:eastAsia="Arial" w:hAnsi="Arial"/>
          <w:b/>
          <w:bCs/>
          <w:color w:val="1F4E79"/>
          <w:sz w:val="28"/>
          <w:szCs w:val="28"/>
        </w:rPr>
        <w:t xml:space="preserve">Patient Consent Statement</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Written informed consent was obtained from the patient for publication of this case report. Identifying details have been modified to protect patient privacy, including suppression of specific age in favor of an age decade range.</w:t>
      </w:r>
    </w:p>
    <w:p>
      <w:pPr>
        <w:spacing w:after="0" w:before="0"/>
      </w:pPr>
      <w:r>
        <w:t xml:space="preserve"/>
      </w:r>
    </w:p>
    <w:p>
      <w:pPr>
        <w:pStyle w:val="Heading1"/>
        <w:pBdr>
          <w:bottom w:val="single" w:color="1F4E79" w:sz="4" w:space="4"/>
        </w:pBdr>
        <w:spacing w:after="160" w:before="360"/>
      </w:pPr>
      <w:r>
        <w:rPr>
          <w:rFonts w:ascii="Arial" w:cs="Arial" w:eastAsia="Arial" w:hAnsi="Arial"/>
          <w:b/>
          <w:bCs/>
          <w:color w:val="1F4E79"/>
          <w:sz w:val="28"/>
          <w:szCs w:val="28"/>
        </w:rPr>
        <w:t xml:space="preserve">Author Contributions</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D.C.: Conceived the case report, performed literature review, drafted and revised the manuscript. M.G.G.: Identified the clinical case, provided clinical data and expert review, critically revised the manuscript for important intellectual content. Both authors approved the final version for submission.</w:t>
      </w:r>
    </w:p>
    <w:p>
      <w:pPr>
        <w:spacing w:after="0" w:before="0"/>
      </w:pPr>
      <w:r>
        <w:t xml:space="preserve"/>
      </w:r>
    </w:p>
    <w:p>
      <w:pPr>
        <w:pStyle w:val="Heading1"/>
        <w:pBdr>
          <w:bottom w:val="single" w:color="1F4E79" w:sz="4" w:space="4"/>
        </w:pBdr>
        <w:spacing w:after="160" w:before="360"/>
      </w:pPr>
      <w:r>
        <w:rPr>
          <w:rFonts w:ascii="Arial" w:cs="Arial" w:eastAsia="Arial" w:hAnsi="Arial"/>
          <w:b/>
          <w:bCs/>
          <w:color w:val="1F4E79"/>
          <w:sz w:val="28"/>
          <w:szCs w:val="28"/>
        </w:rPr>
        <w:t xml:space="preserve">Financial Disclosures</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None declared. No funding was received for this work.</w:t>
      </w:r>
    </w:p>
    <w:p>
      <w:pPr>
        <w:spacing w:after="0" w:before="0"/>
      </w:pPr>
      <w:r>
        <w:t xml:space="preserve"/>
      </w:r>
    </w:p>
    <w:p>
      <w:pPr>
        <w:spacing w:after="0" w:before="0"/>
      </w:pPr>
      <w:r>
        <w:br w:type="page"/>
      </w:r>
    </w:p>
    <w:p>
      <w:pPr>
        <w:pStyle w:val="Heading1"/>
        <w:pBdr>
          <w:bottom w:val="single" w:color="1F4E79" w:sz="4" w:space="4"/>
        </w:pBdr>
        <w:spacing w:after="160" w:before="360"/>
      </w:pPr>
      <w:r>
        <w:rPr>
          <w:rFonts w:ascii="Arial" w:cs="Arial" w:eastAsia="Arial" w:hAnsi="Arial"/>
          <w:b/>
          <w:bCs/>
          <w:color w:val="1F4E79"/>
          <w:sz w:val="28"/>
          <w:szCs w:val="28"/>
        </w:rPr>
        <w:t xml:space="preserve">References</w:t>
      </w:r>
    </w:p>
    <w:p>
      <w:pPr>
        <w:spacing w:after="80" w:before="0"/>
        <w:ind w:left="360" w:hanging="360"/>
        <w:jc w:val="left"/>
      </w:pPr>
      <w:r>
        <w:rPr>
          <w:rFonts w:ascii="Times New Roman" w:cs="Times New Roman" w:eastAsia="Times New Roman" w:hAnsi="Times New Roman"/>
          <w:b/>
          <w:bCs/>
          <w:sz w:val="20"/>
          <w:szCs w:val="20"/>
        </w:rPr>
        <w:t xml:space="preserve">1. </w:t>
      </w:r>
      <w:r>
        <w:rPr>
          <w:rFonts w:ascii="Times New Roman" w:cs="Times New Roman" w:eastAsia="Times New Roman" w:hAnsi="Times New Roman"/>
          <w:i w:val="false"/>
          <w:iCs w:val="false"/>
          <w:sz w:val="20"/>
          <w:szCs w:val="20"/>
        </w:rPr>
        <w:t xml:space="preserve">Manhart LE, Holmes KK, Hughes JP, Houston LS, Totten PA.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 among young adults in the United States: an emerging sexually transmitted infection. </w:t>
      </w:r>
      <w:r>
        <w:rPr>
          <w:rFonts w:ascii="Times New Roman" w:cs="Times New Roman" w:eastAsia="Times New Roman" w:hAnsi="Times New Roman"/>
          <w:i/>
          <w:iCs/>
          <w:sz w:val="20"/>
          <w:szCs w:val="20"/>
        </w:rPr>
        <w:t xml:space="preserve">Am J Public Health.</w:t>
      </w:r>
      <w:r>
        <w:rPr>
          <w:rFonts w:ascii="Times New Roman" w:cs="Times New Roman" w:eastAsia="Times New Roman" w:hAnsi="Times New Roman"/>
          <w:i w:val="false"/>
          <w:iCs w:val="false"/>
          <w:sz w:val="20"/>
          <w:szCs w:val="20"/>
        </w:rPr>
        <w:t xml:space="preserve"> 2007;97(6):1118–1125.</w:t>
      </w:r>
    </w:p>
    <w:p>
      <w:pPr>
        <w:spacing w:after="80" w:before="0"/>
        <w:ind w:left="360" w:hanging="360"/>
        <w:jc w:val="left"/>
      </w:pPr>
      <w:r>
        <w:rPr>
          <w:rFonts w:ascii="Times New Roman" w:cs="Times New Roman" w:eastAsia="Times New Roman" w:hAnsi="Times New Roman"/>
          <w:b/>
          <w:bCs/>
          <w:sz w:val="20"/>
          <w:szCs w:val="20"/>
        </w:rPr>
        <w:t xml:space="preserve">2. </w:t>
      </w:r>
      <w:r>
        <w:rPr>
          <w:rFonts w:ascii="Times New Roman" w:cs="Times New Roman" w:eastAsia="Times New Roman" w:hAnsi="Times New Roman"/>
          <w:i w:val="false"/>
          <w:iCs w:val="false"/>
          <w:sz w:val="20"/>
          <w:szCs w:val="20"/>
        </w:rPr>
        <w:t xml:space="preserve">Baumann L, Cina M, Egli-Gany D, et al. Prevalence of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 in different population groups: systematic review and meta-analysis. </w:t>
      </w:r>
      <w:r>
        <w:rPr>
          <w:rFonts w:ascii="Times New Roman" w:cs="Times New Roman" w:eastAsia="Times New Roman" w:hAnsi="Times New Roman"/>
          <w:i/>
          <w:iCs/>
          <w:sz w:val="20"/>
          <w:szCs w:val="20"/>
        </w:rPr>
        <w:t xml:space="preserve">Sex Transm Infect.</w:t>
      </w:r>
      <w:r>
        <w:rPr>
          <w:rFonts w:ascii="Times New Roman" w:cs="Times New Roman" w:eastAsia="Times New Roman" w:hAnsi="Times New Roman"/>
          <w:i w:val="false"/>
          <w:iCs w:val="false"/>
          <w:sz w:val="20"/>
          <w:szCs w:val="20"/>
        </w:rPr>
        <w:t xml:space="preserve"> 2018;94(4):255–262.</w:t>
      </w:r>
    </w:p>
    <w:p>
      <w:pPr>
        <w:spacing w:after="80" w:before="0"/>
        <w:ind w:left="360" w:hanging="360"/>
        <w:jc w:val="left"/>
      </w:pPr>
      <w:r>
        <w:rPr>
          <w:rFonts w:ascii="Times New Roman" w:cs="Times New Roman" w:eastAsia="Times New Roman" w:hAnsi="Times New Roman"/>
          <w:b/>
          <w:bCs/>
          <w:sz w:val="20"/>
          <w:szCs w:val="20"/>
        </w:rPr>
        <w:t xml:space="preserve">3. </w:t>
      </w:r>
      <w:r>
        <w:rPr>
          <w:rFonts w:ascii="Times New Roman" w:cs="Times New Roman" w:eastAsia="Times New Roman" w:hAnsi="Times New Roman"/>
          <w:i w:val="false"/>
          <w:iCs w:val="false"/>
          <w:sz w:val="20"/>
          <w:szCs w:val="20"/>
        </w:rPr>
        <w:t xml:space="preserve">Workowski KA, Bachmann LH, Chan PA, et al. Sexually Transmitted Infections Treatment Guidelines, 2021. </w:t>
      </w:r>
      <w:r>
        <w:rPr>
          <w:rFonts w:ascii="Times New Roman" w:cs="Times New Roman" w:eastAsia="Times New Roman" w:hAnsi="Times New Roman"/>
          <w:i/>
          <w:iCs/>
          <w:sz w:val="20"/>
          <w:szCs w:val="20"/>
        </w:rPr>
        <w:t xml:space="preserve">MMWR Recomm Rep.</w:t>
      </w:r>
      <w:r>
        <w:rPr>
          <w:rFonts w:ascii="Times New Roman" w:cs="Times New Roman" w:eastAsia="Times New Roman" w:hAnsi="Times New Roman"/>
          <w:i w:val="false"/>
          <w:iCs w:val="false"/>
          <w:sz w:val="20"/>
          <w:szCs w:val="20"/>
        </w:rPr>
        <w:t xml:space="preserve"> 2021;70(4):1–187.</w:t>
      </w:r>
    </w:p>
    <w:p>
      <w:pPr>
        <w:spacing w:after="80" w:before="0"/>
        <w:ind w:left="360" w:hanging="360"/>
        <w:jc w:val="left"/>
      </w:pPr>
      <w:r>
        <w:rPr>
          <w:rFonts w:ascii="Times New Roman" w:cs="Times New Roman" w:eastAsia="Times New Roman" w:hAnsi="Times New Roman"/>
          <w:b/>
          <w:bCs/>
          <w:sz w:val="20"/>
          <w:szCs w:val="20"/>
        </w:rPr>
        <w:t xml:space="preserve">4. </w:t>
      </w:r>
      <w:r>
        <w:rPr>
          <w:rFonts w:ascii="Times New Roman" w:cs="Times New Roman" w:eastAsia="Times New Roman" w:hAnsi="Times New Roman"/>
          <w:i w:val="false"/>
          <w:iCs w:val="false"/>
          <w:sz w:val="20"/>
          <w:szCs w:val="20"/>
        </w:rPr>
        <w:t xml:space="preserve">Getman D, Jiang A, O’Donnell M, Cohen S.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 prevalence, coinfection, and macrolide antibiotic resistance frequency in a multicenter clinical study cohort in the United States. </w:t>
      </w:r>
      <w:r>
        <w:rPr>
          <w:rFonts w:ascii="Times New Roman" w:cs="Times New Roman" w:eastAsia="Times New Roman" w:hAnsi="Times New Roman"/>
          <w:i/>
          <w:iCs/>
          <w:sz w:val="20"/>
          <w:szCs w:val="20"/>
        </w:rPr>
        <w:t xml:space="preserve">J Clin Microbiol.</w:t>
      </w:r>
      <w:r>
        <w:rPr>
          <w:rFonts w:ascii="Times New Roman" w:cs="Times New Roman" w:eastAsia="Times New Roman" w:hAnsi="Times New Roman"/>
          <w:i w:val="false"/>
          <w:iCs w:val="false"/>
          <w:sz w:val="20"/>
          <w:szCs w:val="20"/>
        </w:rPr>
        <w:t xml:space="preserve"> 2016;54(9):2278–2283.</w:t>
      </w:r>
    </w:p>
    <w:p>
      <w:pPr>
        <w:spacing w:after="80" w:before="0"/>
        <w:ind w:left="360" w:hanging="360"/>
        <w:jc w:val="left"/>
      </w:pPr>
      <w:r>
        <w:rPr>
          <w:rFonts w:ascii="Times New Roman" w:cs="Times New Roman" w:eastAsia="Times New Roman" w:hAnsi="Times New Roman"/>
          <w:b/>
          <w:bCs/>
          <w:sz w:val="20"/>
          <w:szCs w:val="20"/>
        </w:rPr>
        <w:t xml:space="preserve">5. </w:t>
      </w:r>
      <w:r>
        <w:rPr>
          <w:rFonts w:ascii="Times New Roman" w:cs="Times New Roman" w:eastAsia="Times New Roman" w:hAnsi="Times New Roman"/>
          <w:i w:val="false"/>
          <w:iCs w:val="false"/>
          <w:sz w:val="20"/>
          <w:szCs w:val="20"/>
        </w:rPr>
        <w:t xml:space="preserve">Stass H, Kubitza D. Profile of moxifloxacin drug interactions. </w:t>
      </w:r>
      <w:r>
        <w:rPr>
          <w:rFonts w:ascii="Times New Roman" w:cs="Times New Roman" w:eastAsia="Times New Roman" w:hAnsi="Times New Roman"/>
          <w:i/>
          <w:iCs/>
          <w:sz w:val="20"/>
          <w:szCs w:val="20"/>
        </w:rPr>
        <w:t xml:space="preserve">Clin Infect Dis.</w:t>
      </w:r>
      <w:r>
        <w:rPr>
          <w:rFonts w:ascii="Times New Roman" w:cs="Times New Roman" w:eastAsia="Times New Roman" w:hAnsi="Times New Roman"/>
          <w:i w:val="false"/>
          <w:iCs w:val="false"/>
          <w:sz w:val="20"/>
          <w:szCs w:val="20"/>
        </w:rPr>
        <w:t xml:space="preserve"> 2001;32(Suppl 1):S47–S50.</w:t>
      </w:r>
    </w:p>
    <w:p>
      <w:pPr>
        <w:spacing w:after="80" w:before="0"/>
        <w:ind w:left="360" w:hanging="360"/>
        <w:jc w:val="left"/>
      </w:pPr>
      <w:r>
        <w:rPr>
          <w:rFonts w:ascii="Times New Roman" w:cs="Times New Roman" w:eastAsia="Times New Roman" w:hAnsi="Times New Roman"/>
          <w:b/>
          <w:bCs/>
          <w:sz w:val="20"/>
          <w:szCs w:val="20"/>
        </w:rPr>
        <w:t xml:space="preserve">6. </w:t>
      </w:r>
      <w:r>
        <w:rPr>
          <w:rFonts w:ascii="Times New Roman" w:cs="Times New Roman" w:eastAsia="Times New Roman" w:hAnsi="Times New Roman"/>
          <w:i w:val="false"/>
          <w:iCs w:val="false"/>
          <w:sz w:val="20"/>
          <w:szCs w:val="20"/>
        </w:rPr>
        <w:t xml:space="preserve">Jensen JS, Cusini M, Gomberg M, Moi H. 2016 European guideline on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 infections. </w:t>
      </w:r>
      <w:r>
        <w:rPr>
          <w:rFonts w:ascii="Times New Roman" w:cs="Times New Roman" w:eastAsia="Times New Roman" w:hAnsi="Times New Roman"/>
          <w:i/>
          <w:iCs/>
          <w:sz w:val="20"/>
          <w:szCs w:val="20"/>
        </w:rPr>
        <w:t xml:space="preserve">J Eur Acad Dermatol Venereol.</w:t>
      </w:r>
      <w:r>
        <w:rPr>
          <w:rFonts w:ascii="Times New Roman" w:cs="Times New Roman" w:eastAsia="Times New Roman" w:hAnsi="Times New Roman"/>
          <w:i w:val="false"/>
          <w:iCs w:val="false"/>
          <w:sz w:val="20"/>
          <w:szCs w:val="20"/>
        </w:rPr>
        <w:t xml:space="preserve"> 2016;30(10):1650–1656.</w:t>
      </w:r>
    </w:p>
    <w:p>
      <w:pPr>
        <w:spacing w:after="80" w:before="0"/>
        <w:ind w:left="360" w:hanging="360"/>
        <w:jc w:val="left"/>
      </w:pPr>
      <w:r>
        <w:rPr>
          <w:rFonts w:ascii="Times New Roman" w:cs="Times New Roman" w:eastAsia="Times New Roman" w:hAnsi="Times New Roman"/>
          <w:b/>
          <w:bCs/>
          <w:sz w:val="20"/>
          <w:szCs w:val="20"/>
        </w:rPr>
        <w:t xml:space="preserve">7. </w:t>
      </w:r>
      <w:r>
        <w:rPr>
          <w:rFonts w:ascii="Times New Roman" w:cs="Times New Roman" w:eastAsia="Times New Roman" w:hAnsi="Times New Roman"/>
          <w:i w:val="false"/>
          <w:iCs w:val="false"/>
          <w:sz w:val="20"/>
          <w:szCs w:val="20"/>
        </w:rPr>
        <w:t xml:space="preserve">Read TRH, Fairley CK, Murray GL, et al. Outcomes of resistance-guided sequential treatment of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 infections: a prospective evaluation. </w:t>
      </w:r>
      <w:r>
        <w:rPr>
          <w:rFonts w:ascii="Times New Roman" w:cs="Times New Roman" w:eastAsia="Times New Roman" w:hAnsi="Times New Roman"/>
          <w:i/>
          <w:iCs/>
          <w:sz w:val="20"/>
          <w:szCs w:val="20"/>
        </w:rPr>
        <w:t xml:space="preserve">Clin Infect Dis.</w:t>
      </w:r>
      <w:r>
        <w:rPr>
          <w:rFonts w:ascii="Times New Roman" w:cs="Times New Roman" w:eastAsia="Times New Roman" w:hAnsi="Times New Roman"/>
          <w:i w:val="false"/>
          <w:iCs w:val="false"/>
          <w:sz w:val="20"/>
          <w:szCs w:val="20"/>
        </w:rPr>
        <w:t xml:space="preserve"> 2019;68(4):554–560.</w:t>
      </w:r>
    </w:p>
    <w:p>
      <w:pPr>
        <w:spacing w:after="80" w:before="0"/>
        <w:ind w:left="360" w:hanging="360"/>
        <w:jc w:val="left"/>
      </w:pPr>
      <w:r>
        <w:rPr>
          <w:rFonts w:ascii="Times New Roman" w:cs="Times New Roman" w:eastAsia="Times New Roman" w:hAnsi="Times New Roman"/>
          <w:b/>
          <w:bCs/>
          <w:sz w:val="20"/>
          <w:szCs w:val="20"/>
        </w:rPr>
        <w:t xml:space="preserve">8. </w:t>
      </w:r>
      <w:r>
        <w:rPr>
          <w:rFonts w:ascii="Times New Roman" w:cs="Times New Roman" w:eastAsia="Times New Roman" w:hAnsi="Times New Roman"/>
          <w:i w:val="false"/>
          <w:iCs w:val="false"/>
          <w:sz w:val="20"/>
          <w:szCs w:val="20"/>
        </w:rPr>
        <w:t xml:space="preserve">Unemo M, Jensen JS. Antimicrobial-resistant sexually transmitted infections: gonorrhoea and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 </w:t>
      </w:r>
      <w:r>
        <w:rPr>
          <w:rFonts w:ascii="Times New Roman" w:cs="Times New Roman" w:eastAsia="Times New Roman" w:hAnsi="Times New Roman"/>
          <w:i/>
          <w:iCs/>
          <w:sz w:val="20"/>
          <w:szCs w:val="20"/>
        </w:rPr>
        <w:t xml:space="preserve">Nat Rev Urol.</w:t>
      </w:r>
      <w:r>
        <w:rPr>
          <w:rFonts w:ascii="Times New Roman" w:cs="Times New Roman" w:eastAsia="Times New Roman" w:hAnsi="Times New Roman"/>
          <w:i w:val="false"/>
          <w:iCs w:val="false"/>
          <w:sz w:val="20"/>
          <w:szCs w:val="20"/>
        </w:rPr>
        <w:t xml:space="preserve"> 2017;14(3):139–152.</w:t>
      </w:r>
    </w:p>
    <w:p>
      <w:pPr>
        <w:spacing w:after="80" w:before="0"/>
        <w:ind w:left="360" w:hanging="360"/>
        <w:jc w:val="left"/>
      </w:pPr>
      <w:r>
        <w:rPr>
          <w:rFonts w:ascii="Times New Roman" w:cs="Times New Roman" w:eastAsia="Times New Roman" w:hAnsi="Times New Roman"/>
          <w:b/>
          <w:bCs/>
          <w:sz w:val="20"/>
          <w:szCs w:val="20"/>
        </w:rPr>
        <w:t xml:space="preserve">9. </w:t>
      </w:r>
      <w:r>
        <w:rPr>
          <w:rFonts w:ascii="Times New Roman" w:cs="Times New Roman" w:eastAsia="Times New Roman" w:hAnsi="Times New Roman"/>
          <w:i w:val="false"/>
          <w:iCs w:val="false"/>
          <w:sz w:val="20"/>
          <w:szCs w:val="20"/>
        </w:rPr>
        <w:t xml:space="preserve">Bradshaw CS, Jensen JS, Waites KB. New horizons in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 treatment. </w:t>
      </w:r>
      <w:r>
        <w:rPr>
          <w:rFonts w:ascii="Times New Roman" w:cs="Times New Roman" w:eastAsia="Times New Roman" w:hAnsi="Times New Roman"/>
          <w:i/>
          <w:iCs/>
          <w:sz w:val="20"/>
          <w:szCs w:val="20"/>
        </w:rPr>
        <w:t xml:space="preserve">J Infect Dis.</w:t>
      </w:r>
      <w:r>
        <w:rPr>
          <w:rFonts w:ascii="Times New Roman" w:cs="Times New Roman" w:eastAsia="Times New Roman" w:hAnsi="Times New Roman"/>
          <w:i w:val="false"/>
          <w:iCs w:val="false"/>
          <w:sz w:val="20"/>
          <w:szCs w:val="20"/>
        </w:rPr>
        <w:t xml:space="preserve"> 2017;216(Suppl 2):S412–S419.</w:t>
      </w:r>
    </w:p>
    <w:p>
      <w:pPr>
        <w:spacing w:after="80" w:before="0"/>
        <w:ind w:left="360" w:hanging="360"/>
        <w:jc w:val="left"/>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i w:val="false"/>
          <w:iCs w:val="false"/>
          <w:sz w:val="20"/>
          <w:szCs w:val="20"/>
        </w:rPr>
        <w:t xml:space="preserve">Machalek DA, Tao Y, Shilling H, et al. Prevalence of mutations associated with resistance to macrolides and fluoroquinolones in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 a systematic review and meta-analysis. </w:t>
      </w:r>
      <w:r>
        <w:rPr>
          <w:rFonts w:ascii="Times New Roman" w:cs="Times New Roman" w:eastAsia="Times New Roman" w:hAnsi="Times New Roman"/>
          <w:i/>
          <w:iCs/>
          <w:sz w:val="20"/>
          <w:szCs w:val="20"/>
        </w:rPr>
        <w:t xml:space="preserve">Lancet Infect Dis.</w:t>
      </w:r>
      <w:r>
        <w:rPr>
          <w:rFonts w:ascii="Times New Roman" w:cs="Times New Roman" w:eastAsia="Times New Roman" w:hAnsi="Times New Roman"/>
          <w:i w:val="false"/>
          <w:iCs w:val="false"/>
          <w:sz w:val="20"/>
          <w:szCs w:val="20"/>
        </w:rPr>
        <w:t xml:space="preserve"> 2020;20(11):1302–1314.</w:t>
      </w:r>
    </w:p>
    <w:p>
      <w:pPr>
        <w:spacing w:after="80" w:before="0"/>
        <w:ind w:left="360" w:hanging="360"/>
        <w:jc w:val="left"/>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i w:val="false"/>
          <w:iCs w:val="false"/>
          <w:sz w:val="20"/>
          <w:szCs w:val="20"/>
        </w:rPr>
        <w:t xml:space="preserve">Khosropour CM, Jensen JS, Soge OO, et al.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 co-infection in women with </w:t>
      </w:r>
      <w:r>
        <w:rPr>
          <w:rFonts w:ascii="Times New Roman" w:cs="Times New Roman" w:eastAsia="Times New Roman" w:hAnsi="Times New Roman"/>
          <w:i/>
          <w:iCs/>
          <w:sz w:val="20"/>
          <w:szCs w:val="20"/>
        </w:rPr>
        <w:t xml:space="preserve">Chlamydia trachomatis</w:t>
      </w:r>
      <w:r>
        <w:rPr>
          <w:rFonts w:ascii="Times New Roman" w:cs="Times New Roman" w:eastAsia="Times New Roman" w:hAnsi="Times New Roman"/>
          <w:i w:val="false"/>
          <w:iCs w:val="false"/>
          <w:sz w:val="20"/>
          <w:szCs w:val="20"/>
        </w:rPr>
        <w:t xml:space="preserve"> infection. </w:t>
      </w:r>
      <w:r>
        <w:rPr>
          <w:rFonts w:ascii="Times New Roman" w:cs="Times New Roman" w:eastAsia="Times New Roman" w:hAnsi="Times New Roman"/>
          <w:i/>
          <w:iCs/>
          <w:sz w:val="20"/>
          <w:szCs w:val="20"/>
        </w:rPr>
        <w:t xml:space="preserve">Sex Transm Dis.</w:t>
      </w:r>
      <w:r>
        <w:rPr>
          <w:rFonts w:ascii="Times New Roman" w:cs="Times New Roman" w:eastAsia="Times New Roman" w:hAnsi="Times New Roman"/>
          <w:i w:val="false"/>
          <w:iCs w:val="false"/>
          <w:sz w:val="20"/>
          <w:szCs w:val="20"/>
        </w:rPr>
        <w:t xml:space="preserve"> 2020;47(12):840–844.</w:t>
      </w:r>
    </w:p>
    <w:p>
      <w:pPr>
        <w:spacing w:after="80" w:before="0"/>
        <w:ind w:left="360" w:hanging="360"/>
        <w:jc w:val="left"/>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i w:val="false"/>
          <w:iCs w:val="false"/>
          <w:sz w:val="20"/>
          <w:szCs w:val="20"/>
        </w:rPr>
        <w:t xml:space="preserve">Lis R, Rowhani-Rahbar A, Manhart LE.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 infection and female reproductive tract disease: a meta-analysis. </w:t>
      </w:r>
      <w:r>
        <w:rPr>
          <w:rFonts w:ascii="Times New Roman" w:cs="Times New Roman" w:eastAsia="Times New Roman" w:hAnsi="Times New Roman"/>
          <w:i/>
          <w:iCs/>
          <w:sz w:val="20"/>
          <w:szCs w:val="20"/>
        </w:rPr>
        <w:t xml:space="preserve">Clin Infect Dis.</w:t>
      </w:r>
      <w:r>
        <w:rPr>
          <w:rFonts w:ascii="Times New Roman" w:cs="Times New Roman" w:eastAsia="Times New Roman" w:hAnsi="Times New Roman"/>
          <w:i w:val="false"/>
          <w:iCs w:val="false"/>
          <w:sz w:val="20"/>
          <w:szCs w:val="20"/>
        </w:rPr>
        <w:t xml:space="preserve"> 2015;61(3):418–426.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60" w:lineRule="auto"/>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2026-03-09T03:20:53.898Z</dcterms:created>
  <dcterms:modified xsi:type="dcterms:W3CDTF">2026-03-09T03:20:53.899Z</dcterms:modified>
</cp:coreProperties>
</file>

<file path=docProps/custom.xml><?xml version="1.0" encoding="utf-8"?>
<Properties xmlns="http://schemas.openxmlformats.org/officeDocument/2006/custom-properties" xmlns:vt="http://schemas.openxmlformats.org/officeDocument/2006/docPropsVTypes"/>
</file>