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sz w:val="28"/>
          <w:szCs w:val="28"/>
        </w:rPr>
        <w:t xml:space="preserve">Pharmacokinetic Treatment Failure from Fluoroquinolone–Mineral Chelation in Recurrent </w:t>
      </w:r>
      <w:r>
        <w:rPr>
          <w:rFonts w:ascii="Arial" w:cs="Arial" w:eastAsia="Arial" w:hAnsi="Arial"/>
          <w:b/>
          <w:bCs/>
          <w:i/>
          <w:iCs/>
          <w:sz w:val="28"/>
          <w:szCs w:val="28"/>
        </w:rPr>
        <w:t xml:space="preserve">Mycoplasma genitalium</w:t>
      </w:r>
      <w:r>
        <w:rPr>
          <w:rFonts w:ascii="Arial" w:cs="Arial" w:eastAsia="Arial" w:hAnsi="Arial"/>
          <w:b/>
          <w:bCs/>
          <w:sz w:val="28"/>
          <w:szCs w:val="28"/>
        </w:rPr>
        <w:t xml:space="preserve"> Urethritis: A Case Report</w:t>
      </w:r>
    </w:p>
    <w:p>
      <w:pPr>
        <w:spacing w:after="160" w:before="0"/>
        <w:jc w:val="center"/>
      </w:pPr>
      <w:r>
        <w:rPr>
          <w:rFonts w:ascii="Arial" w:cs="Arial" w:eastAsia="Arial" w:hAnsi="Arial"/>
          <w:b/>
          <w:bCs/>
          <w:sz w:val="24"/>
          <w:szCs w:val="24"/>
        </w:rPr>
        <w:t xml:space="preserve">Comstock D, MD</w:t>
      </w:r>
      <w:r>
        <w:rPr>
          <w:rFonts w:ascii="Arial" w:cs="Arial" w:eastAsia="Arial" w:hAnsi="Arial"/>
          <w:b/>
          <w:bCs/>
          <w:sz w:val="16"/>
          <w:szCs w:val="16"/>
          <w:vertAlign w:val="superscript"/>
        </w:rPr>
        <w:t xml:space="preserve">1</w:t>
      </w:r>
      <w:r>
        <w:rPr>
          <w:rFonts w:ascii="Arial" w:cs="Arial" w:eastAsia="Arial" w:hAnsi="Arial"/>
          <w:b/>
          <w:bCs/>
          <w:sz w:val="24"/>
          <w:szCs w:val="24"/>
        </w:rPr>
        <w:t xml:space="preserve">;  Gareca MG, MD, FIDSA, FACP</w:t>
      </w:r>
      <w:r>
        <w:rPr>
          <w:rFonts w:ascii="Arial" w:cs="Arial" w:eastAsia="Arial" w:hAnsi="Arial"/>
          <w:b/>
          <w:bCs/>
          <w:sz w:val="16"/>
          <w:szCs w:val="16"/>
          <w:vertAlign w:val="superscript"/>
        </w:rPr>
        <w:t xml:space="preserve">2</w:t>
      </w:r>
    </w:p>
    <w:p>
      <w:pPr>
        <w:spacing w:after="60" w:before="0"/>
        <w:jc w:val="center"/>
      </w:pPr>
      <w:r>
        <w:rPr>
          <w:rFonts w:ascii="Arial" w:cs="Arial" w:eastAsia="Arial" w:hAnsi="Arial"/>
          <w:sz w:val="18"/>
          <w:szCs w:val="18"/>
          <w:vertAlign w:val="superscript"/>
        </w:rPr>
        <w:t xml:space="preserve">1</w:t>
      </w:r>
      <w:r>
        <w:rPr>
          <w:rFonts w:ascii="Arial" w:cs="Arial" w:eastAsia="Arial" w:hAnsi="Arial"/>
          <w:sz w:val="18"/>
          <w:szCs w:val="18"/>
        </w:rPr>
        <w:t xml:space="preserve"> Department of Internal Medicine, Guthrie Lourdes Hospital, Binghamton, NY</w:t>
      </w:r>
    </w:p>
    <w:p>
      <w:pPr>
        <w:spacing w:after="160" w:before="0"/>
        <w:jc w:val="center"/>
      </w:pPr>
      <w:r>
        <w:rPr>
          <w:rFonts w:ascii="Arial" w:cs="Arial" w:eastAsia="Arial" w:hAnsi="Arial"/>
          <w:sz w:val="18"/>
          <w:szCs w:val="18"/>
          <w:vertAlign w:val="superscript"/>
        </w:rPr>
        <w:t xml:space="preserve">2</w:t>
      </w:r>
      <w:r>
        <w:rPr>
          <w:rFonts w:ascii="Arial" w:cs="Arial" w:eastAsia="Arial" w:hAnsi="Arial"/>
          <w:sz w:val="18"/>
          <w:szCs w:val="18"/>
        </w:rPr>
        <w:t xml:space="preserve"> Guthrie Corning Hospital · Guthrie Lourdes Hospital · Robert Packer Hospital · Guthrie Cortland Medical Center</w:t>
      </w:r>
    </w:p>
    <w:p>
      <w:pPr>
        <w:spacing w:after="160" w:before="0"/>
        <w:jc w:val="center"/>
      </w:pPr>
      <w:r>
        <w:rPr>
          <w:rFonts w:ascii="Arial" w:cs="Arial" w:eastAsia="Arial" w:hAnsi="Arial"/>
          <w:b/>
          <w:bCs/>
          <w:sz w:val="20"/>
          <w:szCs w:val="20"/>
        </w:rPr>
        <w:t xml:space="preserve">Corresponding author: </w:t>
      </w:r>
      <w:r>
        <w:rPr>
          <w:rFonts w:ascii="Arial" w:cs="Arial" w:eastAsia="Arial" w:hAnsi="Arial"/>
          <w:sz w:val="20"/>
          <w:szCs w:val="20"/>
        </w:rPr>
        <w:t xml:space="preserve">D. Comstock, MD · david.comstock@guthrie.org</w:t>
      </w:r>
    </w:p>
    <w:p>
      <w:pPr>
        <w:spacing w:after="160" w:before="0"/>
        <w:jc w:val="center"/>
      </w:pPr>
      <w:r>
        <w:rPr>
          <w:rFonts w:ascii="Arial" w:cs="Arial" w:eastAsia="Arial" w:hAnsi="Arial"/>
          <w:b/>
          <w:bCs/>
          <w:sz w:val="20"/>
          <w:szCs w:val="20"/>
        </w:rPr>
        <w:t xml:space="preserve">Running title: </w:t>
      </w:r>
      <w:r>
        <w:rPr>
          <w:rFonts w:ascii="Arial" w:cs="Arial" w:eastAsia="Arial" w:hAnsi="Arial"/>
          <w:i/>
          <w:iCs/>
          <w:sz w:val="20"/>
          <w:szCs w:val="20"/>
        </w:rPr>
        <w:t xml:space="preserve">Chelation-Mediated Moxifloxacin Failure in M. genitalium Urethritis</w:t>
      </w:r>
    </w:p>
    <w:p>
      <w:pPr>
        <w:spacing w:after="160" w:before="0"/>
        <w:jc w:val="center"/>
      </w:pPr>
      <w:r>
        <w:rPr>
          <w:rFonts w:ascii="Arial" w:cs="Arial" w:eastAsia="Arial" w:hAnsi="Arial"/>
          <w:sz w:val="20"/>
          <w:szCs w:val="20"/>
        </w:rPr>
        <w:t xml:space="preserve">Word count (excluding abstract and references): ~1,490</w:t>
      </w:r>
    </w:p>
    <w:p>
      <w:pPr>
        <w:spacing w:after="160" w:before="0"/>
        <w:jc w:val="center"/>
      </w:pPr>
      <w:r>
        <w:rPr>
          <w:rFonts w:ascii="Arial" w:cs="Arial" w:eastAsia="Arial" w:hAnsi="Arial"/>
          <w:b/>
          <w:bCs/>
          <w:sz w:val="20"/>
          <w:szCs w:val="20"/>
        </w:rPr>
        <w:t xml:space="preserve">Conflicts of interest: </w:t>
      </w:r>
      <w:r>
        <w:rPr>
          <w:rFonts w:ascii="Arial" w:cs="Arial" w:eastAsia="Arial" w:hAnsi="Arial"/>
          <w:sz w:val="20"/>
          <w:szCs w:val="20"/>
        </w:rPr>
        <w:t xml:space="preserve">None declared.</w:t>
      </w:r>
    </w:p>
    <w:p>
      <w:pPr>
        <w:spacing w:after="160" w:before="0"/>
        <w:jc w:val="center"/>
      </w:pPr>
      <w:r>
        <w:rPr>
          <w:rFonts w:ascii="Arial" w:cs="Arial" w:eastAsia="Arial" w:hAnsi="Arial"/>
          <w:b/>
          <w:bCs/>
          <w:sz w:val="20"/>
          <w:szCs w:val="20"/>
        </w:rPr>
        <w:t xml:space="preserve">Funding: </w:t>
      </w:r>
      <w:r>
        <w:rPr>
          <w:rFonts w:ascii="Arial" w:cs="Arial" w:eastAsia="Arial" w:hAnsi="Arial"/>
          <w:sz w:val="20"/>
          <w:szCs w:val="20"/>
        </w:rPr>
        <w:t xml:space="preserve">None.</w:t>
      </w:r>
    </w:p>
    <w:p>
      <w:pPr>
        <w:spacing w:after="0" w:before="0"/>
        <w:jc w:val="center"/>
      </w:pPr>
      <w:r>
        <w:rPr>
          <w:rFonts w:ascii="Arial" w:cs="Arial" w:eastAsia="Arial" w:hAnsi="Arial"/>
          <w:b/>
          <w:bCs/>
          <w:sz w:val="20"/>
          <w:szCs w:val="20"/>
        </w:rPr>
        <w:t xml:space="preserve">Keywords: </w:t>
      </w:r>
      <w:r>
        <w:rPr>
          <w:rFonts w:ascii="Arial" w:cs="Arial" w:eastAsia="Arial" w:hAnsi="Arial"/>
          <w:i/>
          <w:iCs/>
          <w:sz w:val="20"/>
          <w:szCs w:val="20"/>
        </w:rPr>
        <w:t xml:space="preserve">Mycoplasma genitalium</w:t>
      </w:r>
      <w:r>
        <w:rPr>
          <w:rFonts w:ascii="Arial" w:cs="Arial" w:eastAsia="Arial" w:hAnsi="Arial"/>
          <w:sz w:val="20"/>
          <w:szCs w:val="20"/>
        </w:rPr>
        <w:t xml:space="preserve">; urethritis; moxifloxacin; chelation; drug interaction; macrolide resistance; test of cure; antimicrobial stewardship</w:t>
      </w:r>
    </w:p>
    <w:p>
      <w:pPr>
        <w:spacing w:after="0" w:before="0"/>
      </w:pPr>
      <w:r>
        <w:br w:type="page"/>
      </w:r>
    </w:p>
    <w:p>
      <w:pPr>
        <w:pStyle w:val="Heading1"/>
        <w:pBdr>
          <w:bottom w:val="single" w:color="1F4E79" w:sz="4" w:space="4"/>
        </w:pBdr>
        <w:spacing w:after="120" w:before="300"/>
      </w:pPr>
      <w:r>
        <w:rPr>
          <w:rFonts w:ascii="Arial" w:cs="Arial" w:eastAsia="Arial" w:hAnsi="Arial"/>
          <w:b/>
          <w:bCs/>
          <w:color w:val="1F4E79"/>
          <w:sz w:val="26"/>
          <w:szCs w:val="26"/>
        </w:rPr>
        <w:t xml:space="preserve">Abstract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 34-year-old man with macrolide-resistant </w:t>
      </w:r>
      <w:r>
        <w:rPr>
          <w:rFonts w:ascii="Times New Roman" w:cs="Times New Roman" w:eastAsia="Times New Roman" w:hAnsi="Times New Roman"/>
          <w:b w:val="false"/>
          <w:bCs w:val="false"/>
          <w:i/>
          <w:iCs/>
          <w:sz w:val="24"/>
          <w:szCs w:val="24"/>
        </w:rPr>
        <w:t xml:space="preserve">Mycoplasma genitalium</w:t>
      </w:r>
      <w:r>
        <w:rPr>
          <w:rFonts w:ascii="Times New Roman" w:cs="Times New Roman" w:eastAsia="Times New Roman" w:hAnsi="Times New Roman"/>
          <w:b w:val="false"/>
          <w:bCs w:val="false"/>
          <w:i w:val="false"/>
          <w:iCs w:val="false"/>
          <w:sz w:val="24"/>
          <w:szCs w:val="24"/>
        </w:rPr>
        <w:t xml:space="preserve"> urethritis failed five sequential antibiotic courses over five months. Concurrent mineral supplementation caused moxifloxacin chelation (AUC −39%; C</w:t>
      </w:r>
      <w:r>
        <w:rPr>
          <w:rFonts w:ascii="Times New Roman" w:cs="Times New Roman" w:eastAsia="Times New Roman" w:hAnsi="Times New Roman"/>
          <w:b w:val="false"/>
          <w:bCs w:val="false"/>
          <w:i/>
          <w:iCs/>
          <w:sz w:val="24"/>
          <w:szCs w:val="24"/>
        </w:rPr>
        <w:t xml:space="preserve">max</w:t>
      </w:r>
      <w:r>
        <w:rPr>
          <w:rFonts w:ascii="Times New Roman" w:cs="Times New Roman" w:eastAsia="Times New Roman" w:hAnsi="Times New Roman"/>
          <w:b w:val="false"/>
          <w:bCs w:val="false"/>
          <w:i w:val="false"/>
          <w:iCs w:val="false"/>
          <w:sz w:val="24"/>
          <w:szCs w:val="24"/>
        </w:rPr>
        <w:t xml:space="preserve"> −59%), producing subtherapeutic drug exposure. Microbiological cure followed supplement discontinuation and treatment completion. Clinicians must explicitly counsel patients to avoid mineral-containing supplements during fluoroquinolone therapy for resistant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infections.</w:t>
      </w:r>
    </w:p>
    <w:p>
      <w:pPr>
        <w:spacing w:after="0" w:before="0"/>
      </w:pPr>
      <w:r>
        <w:t xml:space="preserve"/>
      </w:r>
    </w:p>
    <w:p>
      <w:pPr>
        <w:spacing w:after="0" w:before="0"/>
      </w:pPr>
      <w:r>
        <w:br w:type="page"/>
      </w:r>
    </w:p>
    <w:p>
      <w:pPr>
        <w:pStyle w:val="Heading1"/>
        <w:pBdr>
          <w:bottom w:val="single" w:color="1F4E79" w:sz="4" w:space="4"/>
        </w:pBdr>
        <w:spacing w:after="120" w:before="300"/>
      </w:pPr>
      <w:r>
        <w:rPr>
          <w:rFonts w:ascii="Arial" w:cs="Arial" w:eastAsia="Arial" w:hAnsi="Arial"/>
          <w:b/>
          <w:bCs/>
          <w:color w:val="1F4E79"/>
          <w:sz w:val="26"/>
          <w:szCs w:val="26"/>
        </w:rPr>
        <w:t xml:space="preserve">Introduction</w:t>
      </w:r>
    </w:p>
    <w:p>
      <w:pPr>
        <w:spacing w:after="120" w:before="0" w:line="360" w:lineRule="auto"/>
        <w:jc w:val="both"/>
      </w:pPr>
      <w:r>
        <w:rPr>
          <w:rFonts w:ascii="Times New Roman" w:cs="Times New Roman" w:eastAsia="Times New Roman" w:hAnsi="Times New Roman"/>
          <w:b w:val="false"/>
          <w:bCs w:val="false"/>
          <w:i/>
          <w:iCs/>
          <w:sz w:val="24"/>
          <w:szCs w:val="24"/>
        </w:rPr>
        <w:t xml:space="preserve">Mycoplasma genitalium</w:t>
      </w:r>
      <w:r>
        <w:rPr>
          <w:rFonts w:ascii="Times New Roman" w:cs="Times New Roman" w:eastAsia="Times New Roman" w:hAnsi="Times New Roman"/>
          <w:b w:val="false"/>
          <w:bCs w:val="false"/>
          <w:i w:val="false"/>
          <w:iCs w:val="false"/>
          <w:sz w:val="24"/>
          <w:szCs w:val="24"/>
        </w:rPr>
        <w:t xml:space="preserve"> is the second most common bacterial sexually transmitted infection (STI) in the United States, with a general population prevalence of approximately 1–2% and substantially higher rates among men with nongonococcal urethritis (NGU), where it accounts for 15–25% of cases and up to 40% of recurrent or persistent presentations.1,2 Unlike </w:t>
      </w:r>
      <w:r>
        <w:rPr>
          <w:rFonts w:ascii="Times New Roman" w:cs="Times New Roman" w:eastAsia="Times New Roman" w:hAnsi="Times New Roman"/>
          <w:b w:val="false"/>
          <w:bCs w:val="false"/>
          <w:i/>
          <w:iCs/>
          <w:sz w:val="24"/>
          <w:szCs w:val="24"/>
        </w:rPr>
        <w:t xml:space="preserve">Chlamydia trachomatis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cannot be cultured in standard clinical laboratories and requires explicit nucleic acid amplification testing (NAAT); in the United States, no commercially available resistance testing platform has received FDA approval, and the organism is not reportable to any state health department.3 These diagnostic gaps combine to produce systematic under-recognition at the same moment that antimicrobial resistance is reaching epidemiologically critical levels.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Macrolide resistance, mediated primarily by single-nucleotide mutations at positions A2058G and A2059G in the single-copy 23S rRNA gene, is present in up to 64% of US isolates and is further selected by empiric azithromycin administration.4,9 Moxifloxacin — the standard second-line agent in macrolide-resistant disease — is susceptible to a clinically underrecognized pharmacokinetic interaction: co-ingestion with polyvalent metal cations (iron, zinc, calcium, and magnesium) via mineral supplements or antacids forms insoluble quinolone–metal chelate complexes in the gastrointestinal tract, reducing area-under-the-curve (AUC) by approximately 39% and peak serum concentration (C</w:t>
      </w:r>
      <w:r>
        <w:rPr>
          <w:rFonts w:ascii="Times New Roman" w:cs="Times New Roman" w:eastAsia="Times New Roman" w:hAnsi="Times New Roman"/>
          <w:b w:val="false"/>
          <w:bCs w:val="false"/>
          <w:i/>
          <w:iCs/>
          <w:sz w:val="24"/>
          <w:szCs w:val="24"/>
        </w:rPr>
        <w:t xml:space="preserve">max</w:t>
      </w:r>
      <w:r>
        <w:rPr>
          <w:rFonts w:ascii="Times New Roman" w:cs="Times New Roman" w:eastAsia="Times New Roman" w:hAnsi="Times New Roman"/>
          <w:b w:val="false"/>
          <w:bCs w:val="false"/>
          <w:i w:val="false"/>
          <w:iCs w:val="false"/>
          <w:sz w:val="24"/>
          <w:szCs w:val="24"/>
        </w:rPr>
        <w:t xml:space="preserve">) by approximately 59%.5 Subtherapeutic fluoroquinolone exposure clinically mimics microbiological resistance, driving repeated treatment failure and — critically — creating the drug exposure conditions most favorable for selecting emergent fluoroquinolone resistance.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We report a case in which undisclosed mineral supplementation during two sequential moxifloxacin courses produced pharmacokinetic treatment failure compounding macrolide resistance, resulting in five antibiotic failures over five months before the interaction was identified and corrected.</w:t>
      </w:r>
    </w:p>
    <w:p>
      <w:pPr>
        <w:spacing w:after="0" w:before="0"/>
      </w:pPr>
      <w:r>
        <w:t xml:space="preserve"/>
      </w:r>
    </w:p>
    <w:p>
      <w:pPr>
        <w:pStyle w:val="Heading1"/>
        <w:pBdr>
          <w:bottom w:val="single" w:color="1F4E79" w:sz="4" w:space="4"/>
        </w:pBdr>
        <w:spacing w:after="120" w:before="300"/>
      </w:pPr>
      <w:r>
        <w:rPr>
          <w:rFonts w:ascii="Arial" w:cs="Arial" w:eastAsia="Arial" w:hAnsi="Arial"/>
          <w:b/>
          <w:bCs/>
          <w:color w:val="1F4E79"/>
          <w:sz w:val="26"/>
          <w:szCs w:val="26"/>
        </w:rPr>
        <w:t xml:space="preserve">Case Report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 34-year-old man with no significant medical history presented in early October 2025 with urethral discharge and dysuria following a sexual encounter involving urethral instrumentation (sounding with a silicone catheter as a sexual practice). He reported one female partner from October 2025, with no subsequent sexual activity. Baseline serologies for HIV, hepatitis C, and syphilis were negative.</w:t>
      </w:r>
    </w:p>
    <w:p>
      <w:pPr>
        <w:spacing w:after="120" w:before="0" w:line="360" w:lineRule="auto"/>
        <w:jc w:val="both"/>
      </w:pP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NAAT was positive at first presentation; gonorrhea, chlamydia, and trichomonas NAATs were negative throughout the clinical course. Table 1 presents the complete clinical chronology. In brief: five sequential antibiotic courses — doxycycline monotherapy (Course 1); doxycycline plus azithromycin 1 g with empiric macrolide resistance presumed (Course 2); moxifloxacin 400 mg × 7 days (Course 3); doxycycline followed by azithromycin (Course 4); and moxifloxacin 400 mg × 14 days with preceding doxycycline debulking under ID supervision (Course 5) — each failed to achieve clinical or microbiological resolution.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Cystourethroscopy performed in December 2025 during active infection demonstrated a normal urethra with no stricture, mucosal lesions, or scarring; post-void residual was 6 mL. Urinalysis in January 2026 showed 26–50 WBCs per high-power field, confirming active urethritis. Two complete blood counts during the prolonged treatment course showed mild leukopenia (WBC 3.23 and 3.12 × 10³/µL, respectively), without clinical consequence.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pivotal finding emerged on January 28, 2026, when the patient independently discontinued a daily commercial multivitamin he had been taking since the fall of 2025. The supplement contained iron 18 mg, zinc 11 mg, calcium 200 mg, and magnesium 100 mg — a combination encompassing all four cation classes responsible for fluoroquinolone chelation. Urethral symptoms resolved the following day (January 29, 2026). The Course 5 antibiotic regimen was completed February 3, 2026.</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At the February 5, 2026 ID follow-up visit, the temporal correlation between supplement discontinuation and symptom resolution — abrupt improvement within 24 hours of removing all chelating agents — was documented as the probable mechanism of pharmacokinetic treatment failure. A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NAAT obtained February 9, 2026 (6 days post-moxifloxacin) was negative but was interpreted as premature, given guideline-based requirements for ≥3 weeks minimum to allow DNA clearance from non-viable organisms. A confirmatory test of cure (TOC) on February 27, 2026 — 24 days post-moxifloxacin — was negative, documenting microbiological cure.</w:t>
      </w:r>
    </w:p>
    <w:p>
      <w:pPr>
        <w:spacing w:after="0" w:before="0"/>
      </w:pPr>
      <w:r>
        <w:t xml:space="preserve"/>
      </w:r>
    </w:p>
    <w:p>
      <w:pPr>
        <w:spacing w:after="80" w:before="160"/>
      </w:pPr>
      <w:r>
        <w:rPr>
          <w:rFonts w:ascii="Arial" w:cs="Arial" w:eastAsia="Arial" w:hAnsi="Arial"/>
          <w:b/>
          <w:bCs/>
          <w:sz w:val="22"/>
          <w:szCs w:val="22"/>
        </w:rPr>
        <w:t xml:space="preserve">Table 1. Condensed Clinical Chronology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top"/>
          </w:tcPr>
          <w:p>
            <w:pPr>
              <w:spacing w:after="0" w:before="0"/>
            </w:pPr>
            <w:r>
              <w:rPr>
                <w:rFonts w:ascii="Arial" w:cs="Arial" w:eastAsia="Arial" w:hAnsi="Arial"/>
                <w:b/>
                <w:bCs/>
                <w:color w:val="FFFFFF"/>
                <w:sz w:val="18"/>
                <w:szCs w:val="18"/>
              </w:rPr>
              <w:t xml:space="preserve">Date</w:t>
            </w:r>
          </w:p>
        </w:tc>
        <w:tc>
          <w:tcPr>
            <w:tcW w:type="dxa" w:w="400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top"/>
          </w:tcPr>
          <w:p>
            <w:pPr>
              <w:spacing w:after="0" w:before="0"/>
            </w:pPr>
            <w:r>
              <w:rPr>
                <w:rFonts w:ascii="Arial" w:cs="Arial" w:eastAsia="Arial" w:hAnsi="Arial"/>
                <w:b/>
                <w:bCs/>
                <w:color w:val="FFFFFF"/>
                <w:sz w:val="18"/>
                <w:szCs w:val="18"/>
              </w:rPr>
              <w:t xml:space="preserve">Event / Finding</w:t>
            </w:r>
          </w:p>
        </w:tc>
        <w:tc>
          <w:tcPr>
            <w:tcW w:type="dxa" w:w="4160"/>
            <w:tcBorders>
              <w:top w:val="single" w:color="AAAAAA" w:sz="1"/>
              <w:left w:val="single" w:color="AAAAAA" w:sz="1"/>
              <w:bottom w:val="single" w:color="AAAAAA" w:sz="1"/>
              <w:right w:val="single" w:color="AAAAAA" w:sz="1"/>
            </w:tcBorders>
            <w:shd w:fill="1F4E79" w:val="clear"/>
            <w:tcMar>
              <w:top w:type="dxa" w:w="60"/>
              <w:left w:type="dxa" w:w="100"/>
              <w:bottom w:type="dxa" w:w="60"/>
              <w:right w:type="dxa" w:w="100"/>
            </w:tcMar>
            <w:vAlign w:val="top"/>
          </w:tcPr>
          <w:p>
            <w:pPr>
              <w:spacing w:after="0" w:before="0"/>
            </w:pPr>
            <w:r>
              <w:rPr>
                <w:rFonts w:ascii="Arial" w:cs="Arial" w:eastAsia="Arial" w:hAnsi="Arial"/>
                <w:b/>
                <w:bCs/>
                <w:color w:val="FFFFFF"/>
                <w:sz w:val="18"/>
                <w:szCs w:val="18"/>
              </w:rPr>
              <w:t xml:space="preserve">Intervention</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Oct 2025</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Urethritis after urethral instrumentation. M. gen NAAT+; GC/CT/TV−. HIV/HCV/syphilis negative.</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Doxycycline 100 mg BID × 7d (Course 1)</w:t>
            </w:r>
          </w:p>
        </w:tc>
      </w:tr>
      <w:tr>
        <w:trPr>
          <w:tblHeader w:val="false"/>
        </w:trPr>
        <w:tc>
          <w:tcPr>
            <w:tcW w:type="dxa" w:w="1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Oct 21, 2025</w:t>
            </w:r>
          </w:p>
        </w:tc>
        <w:tc>
          <w:tcPr>
            <w:tcW w:type="dxa" w:w="40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Recurrent symptoms. M. gen NAAT+. Macrolide resistance suspected.</w:t>
            </w:r>
          </w:p>
        </w:tc>
        <w:tc>
          <w:tcPr>
            <w:tcW w:type="dxa" w:w="41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Doxycycline + Azithromycin 1 g (Course 2)</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Oct–Nov 2025</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Symptoms recurred 3–4 days post-moxifloxacin (Course 3, 7d). Recurred again 2 days post-Course 4.</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Moxifloxacin × 7d (Course 3); then doxycycline + azithromycin (Course 4)</w:t>
            </w:r>
          </w:p>
        </w:tc>
      </w:tr>
      <w:tr>
        <w:trPr>
          <w:tblHeader w:val="false"/>
        </w:trPr>
        <w:tc>
          <w:tcPr>
            <w:tcW w:type="dxa" w:w="1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Nov–Dec 2025</w:t>
            </w:r>
          </w:p>
        </w:tc>
        <w:tc>
          <w:tcPr>
            <w:tcW w:type="dxa" w:w="40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ID + urology consultation. Cystourethroscopy: normal urethra, no stricture, PVR 6 mL. M. gen NAAT+.</w:t>
            </w:r>
          </w:p>
        </w:tc>
        <w:tc>
          <w:tcPr>
            <w:tcW w:type="dxa" w:w="41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ID-supervised sequential therapy initiated</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Jan 5, 2026</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UA: 26–50 WBCs/hpf. Two CBC results: WBC 3.23 and 3.12 × 10³/µL (leukopenia).</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Doxycycline 14d → moxifloxacin 400 mg × 14d (Course 5)</w:t>
            </w:r>
          </w:p>
        </w:tc>
      </w:tr>
      <w:tr>
        <w:trPr>
          <w:tblHeader w:val="false"/>
        </w:trPr>
        <w:tc>
          <w:tcPr>
            <w:tcW w:type="dxa" w:w="1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Jan 28, 2026</w:t>
            </w:r>
          </w:p>
        </w:tc>
        <w:tc>
          <w:tcPr>
            <w:tcW w:type="dxa" w:w="40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Patient self-discontinued daily multivitamin (Fe 18 mg, Zn 11 mg, Ca 200 mg, Mg 100 mg) taken since fall 2025.</w:t>
            </w:r>
          </w:p>
        </w:tc>
        <w:tc>
          <w:tcPr>
            <w:tcW w:type="dxa" w:w="41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Chelation source removed</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Jan 29, 2026</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Urethral symptoms resolved — 1 day after supplement discontinuation.</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Course 5 continued without supplementation</w:t>
            </w:r>
          </w:p>
        </w:tc>
      </w:tr>
      <w:tr>
        <w:trPr>
          <w:tblHeader w:val="false"/>
        </w:trPr>
        <w:tc>
          <w:tcPr>
            <w:tcW w:type="dxa" w:w="12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Feb 3, 2026</w:t>
            </w:r>
          </w:p>
        </w:tc>
        <w:tc>
          <w:tcPr>
            <w:tcW w:type="dxa" w:w="400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Course 5 completed. Feb 5 ID visit: chelation documented as probable pharmacokinetic failure mechanism.</w:t>
            </w:r>
          </w:p>
        </w:tc>
        <w:tc>
          <w:tcPr>
            <w:tcW w:type="dxa" w:w="4160"/>
            <w:tcBorders>
              <w:top w:val="single" w:color="AAAAAA" w:sz="1"/>
              <w:left w:val="single" w:color="AAAAAA" w:sz="1"/>
              <w:bottom w:val="single" w:color="AAAAAA" w:sz="1"/>
              <w:right w:val="single" w:color="AAAAAA" w:sz="1"/>
            </w:tcBorders>
            <w:shd w:fill="EBF3FB" w:val="clear"/>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Test of cure scheduled ≥3 weeks post-treatment</w:t>
            </w:r>
          </w:p>
        </w:tc>
      </w:tr>
      <w:tr>
        <w:trPr>
          <w:tblHeader w:val="false"/>
        </w:trPr>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Feb 27, 2026</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M. gen NAAT negative — TOC obtained 24 days post-moxifloxacin. Microbiological cure confirmed.</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vAlign w:val="top"/>
          </w:tcPr>
          <w:p>
            <w:pPr>
              <w:spacing w:after="0" w:before="0"/>
            </w:pPr>
            <w:r>
              <w:rPr>
                <w:rFonts w:ascii="Times New Roman" w:cs="Times New Roman" w:eastAsia="Times New Roman" w:hAnsi="Times New Roman"/>
                <w:b w:val="false"/>
                <w:bCs w:val="false"/>
                <w:color w:val="000000"/>
                <w:sz w:val="17"/>
                <w:szCs w:val="17"/>
              </w:rPr>
              <w:t xml:space="preserve">Cure documented; long-term urology follow-up arranged</w:t>
            </w:r>
          </w:p>
        </w:tc>
      </w:tr>
    </w:tbl>
    <w:p>
      <w:pPr>
        <w:spacing w:after="200" w:before="60"/>
        <w:jc w:val="left"/>
      </w:pPr>
      <w:r>
        <w:rPr>
          <w:rFonts w:ascii="Times New Roman" w:cs="Times New Roman" w:eastAsia="Times New Roman" w:hAnsi="Times New Roman"/>
          <w:i/>
          <w:iCs/>
          <w:sz w:val="18"/>
          <w:szCs w:val="18"/>
        </w:rPr>
        <w:t xml:space="preserve">Abbreviations: M. gen, Mycoplasma genitalium; NAAT, nucleic acid amplification test; GC, gonorrhea; CT, chlamydia; TV, trichomonas; UA, urinalysis; WBC, white blood cell; AUC, area under the curve; TOC, test of cure; PVR, post-void residual; ID, infectious diseases.</w:t>
      </w:r>
    </w:p>
    <w:p>
      <w:pPr>
        <w:pStyle w:val="Heading1"/>
        <w:pBdr>
          <w:bottom w:val="single" w:color="1F4E79" w:sz="4" w:space="4"/>
        </w:pBdr>
        <w:spacing w:after="120" w:before="300"/>
      </w:pPr>
      <w:r>
        <w:rPr>
          <w:rFonts w:ascii="Arial" w:cs="Arial" w:eastAsia="Arial" w:hAnsi="Arial"/>
          <w:b/>
          <w:bCs/>
          <w:color w:val="1F4E79"/>
          <w:sz w:val="26"/>
          <w:szCs w:val="26"/>
        </w:rPr>
        <w:t xml:space="preserve">Discussion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central observation in this case is pharmacokinetic treatment failure arising from fluoroquinolone–mineral chelation. Moxifloxacin, like all fluoroquinolones, forms coordinatively stable chelate complexes with polyvalent metal cations through its 4-oxo and adjacent carboxyl moieties.5 This interaction occurs in the gastrointestinal lumen prior to absorption, producing insoluble complexes that are excreted without systemic entry. Co-administration with a multivitamin containing magnesium 100 mg has been demonstrated to reduce moxifloxacin AUC by 39% and C</w:t>
      </w:r>
      <w:r>
        <w:rPr>
          <w:rFonts w:ascii="Times New Roman" w:cs="Times New Roman" w:eastAsia="Times New Roman" w:hAnsi="Times New Roman"/>
          <w:b w:val="false"/>
          <w:bCs w:val="false"/>
          <w:i/>
          <w:iCs/>
          <w:sz w:val="24"/>
          <w:szCs w:val="24"/>
        </w:rPr>
        <w:t xml:space="preserve">max</w:t>
      </w:r>
      <w:r>
        <w:rPr>
          <w:rFonts w:ascii="Times New Roman" w:cs="Times New Roman" w:eastAsia="Times New Roman" w:hAnsi="Times New Roman"/>
          <w:b w:val="false"/>
          <w:bCs w:val="false"/>
          <w:i w:val="false"/>
          <w:iCs w:val="false"/>
          <w:sz w:val="24"/>
          <w:szCs w:val="24"/>
        </w:rPr>
        <w:t xml:space="preserve"> by 59%.5 Moxifloxacin exerts concentration-dependent bactericidal activity; efficacy is driven by the AUC-to-minimum inhibitory concentration (AUC/MIC) ratio. A 39% AUC reduction is sufficient to convert therapeutic drug exposure to subtherapeutic, producing clinical treatment failure even in the absence of microbiological fluoroquinolone resistance and — critically — generating the partial-exposure conditions most conducive to emergent fluoroquinolone resistance selection.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case, chelation was not identified for four antibiotic courses because the patient did not classify his daily multivitamin as a medication, and supplement history was not systematically elicited during initial encounters. The abrupt symptom resolution within 24 hours of supplement discontinuation — well before antibiotic course completion — provides strong circumstantial evidence that removal of the chelation source restored therapeutic moxifloxacin exposure and allowed the fifth course to achieve cure. The interaction is correctable if identified. Complete abstinence from all mineral-containing supplements (multivitamins, iron tablets, calcium supplements, antacids, and dairy products taken near dose time) for the duration of fluoroquinolone therapy is the safest recommendation; a separation interval of ≥4–6 hours is the minimum if supplement discontinuation is not feasible.5</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case also illustrates the compounding effect of macrolide resistance. Empiric azithromycin 1 g — administered at Course 2 — is the most common iatrogenic driver of macrolide resistance in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globally.12 The organism carries a single copy of the 23S rRNA gene and lacks functional mismatch repair, producing an elevated mutation rate that makes it uniquely susceptible to resistance selection from partial drug exposures.9 Current CDC and IUSTI guidelines advise against empiric azithromycin in settings where macrolide resistance testing is accessible, and recommend resistance-guided therapy with doxycycline debulking followed by an appropriately selected second agent.3,7 The US lags behind European and Australian counterparts in access to commercial resistance testing (SpeeDx ResistancePlus MG), limiting the practical implementation of this approach at many US centers.4,8</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test of cure timing requires emphasis.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DNA may persist in urethral secretions for 14–21 days after successful antibiotic eradication as residual nucleic acid from non-viable organisms is cleared.7 NAATs obtained in this window produce false-positive results that can be misinterpreted as treatment failure, leading to unnecessary additional antimicrobial courses. In this case, a February 9 NAAT (6 days post-moxifloxacin) was correctly designated premature; the February 27 test (24 days post-treatment) provided the definitive result. IUSTI guidelines recommend universal TOC at ≥3 weeks post-treatment for all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infections; CDC guidelines recommend selective TOC in macrolide-resistant or treatment-failure cases.3,7</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primary limitations of this report are the absence of formal resistance genotyping data (ordered but unavailable at time of writing) and its retrospective single-case design. The causal attribution of pharmacokinetic failure to chelation rests on the temporal correlation with supplement discontinuation rather than on direct pharmacokinetic measurement. The absence of fluoroquinolone resistance mutations in the organism — which would have been documented by resistance genotyping — would strengthen this attribution; its absence should be noted as a limitation.</w:t>
      </w:r>
    </w:p>
    <w:p>
      <w:pPr>
        <w:spacing w:after="0" w:before="0"/>
      </w:pPr>
      <w:r>
        <w:t xml:space="preserve"/>
      </w:r>
    </w:p>
    <w:p>
      <w:pPr>
        <w:pStyle w:val="Heading1"/>
        <w:pBdr>
          <w:bottom w:val="single" w:color="1F4E79" w:sz="4" w:space="4"/>
        </w:pBdr>
        <w:spacing w:after="120" w:before="300"/>
      </w:pPr>
      <w:r>
        <w:rPr>
          <w:rFonts w:ascii="Arial" w:cs="Arial" w:eastAsia="Arial" w:hAnsi="Arial"/>
          <w:b/>
          <w:bCs/>
          <w:color w:val="1F4E79"/>
          <w:sz w:val="26"/>
          <w:szCs w:val="26"/>
        </w:rPr>
        <w:t xml:space="preserve">Conclusions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Fluoroquinolone–mineral chelation is an underrecognized, correctable cause of pharmacokinetic treatment failure in </w:t>
      </w:r>
      <w:r>
        <w:rPr>
          <w:rFonts w:ascii="Times New Roman" w:cs="Times New Roman" w:eastAsia="Times New Roman" w:hAnsi="Times New Roman"/>
          <w:b w:val="false"/>
          <w:bCs w:val="false"/>
          <w:i/>
          <w:iCs/>
          <w:sz w:val="24"/>
          <w:szCs w:val="24"/>
        </w:rPr>
        <w:t xml:space="preserve">M. genitalium</w:t>
      </w:r>
      <w:r>
        <w:rPr>
          <w:rFonts w:ascii="Times New Roman" w:cs="Times New Roman" w:eastAsia="Times New Roman" w:hAnsi="Times New Roman"/>
          <w:b w:val="false"/>
          <w:bCs w:val="false"/>
          <w:i w:val="false"/>
          <w:iCs w:val="false"/>
          <w:sz w:val="24"/>
          <w:szCs w:val="24"/>
        </w:rPr>
        <w:t xml:space="preserve"> infection. A thorough supplement history should be obtained before every fluoroquinolone prescription. Patients must receive explicit written counseling to discontinue all mineral-containing products for the duration of treatment. Premature tests of cure — obtained fewer than three weeks post-treatment — should not be used to guide clinical decisions in this infection.</w:t>
      </w:r>
    </w:p>
    <w:p>
      <w:pPr>
        <w:spacing w:after="0" w:before="0"/>
      </w:pPr>
      <w:r>
        <w:t xml:space="preserve"/>
      </w:r>
    </w:p>
    <w:p>
      <w:pPr>
        <w:pStyle w:val="Heading1"/>
        <w:pBdr>
          <w:bottom w:val="single" w:color="1F4E79" w:sz="4" w:space="4"/>
        </w:pBdr>
        <w:spacing w:after="120" w:before="300"/>
      </w:pPr>
      <w:r>
        <w:rPr>
          <w:rFonts w:ascii="Arial" w:cs="Arial" w:eastAsia="Arial" w:hAnsi="Arial"/>
          <w:b/>
          <w:bCs/>
          <w:color w:val="1F4E79"/>
          <w:sz w:val="26"/>
          <w:szCs w:val="26"/>
        </w:rPr>
        <w:t xml:space="preserve">Acknowledgments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authors thank the patient for his consent and cooperation in preparing this report. No additional acknowledgments.</w:t>
      </w:r>
    </w:p>
    <w:p>
      <w:pPr>
        <w:spacing w:after="0" w:before="0"/>
      </w:pPr>
      <w:r>
        <w:t xml:space="preserve"/>
      </w:r>
    </w:p>
    <w:p>
      <w:pPr>
        <w:pStyle w:val="Heading1"/>
        <w:pBdr>
          <w:bottom w:val="single" w:color="1F4E79" w:sz="4" w:space="4"/>
        </w:pBdr>
        <w:spacing w:after="120" w:before="300"/>
      </w:pPr>
      <w:r>
        <w:rPr>
          <w:rFonts w:ascii="Arial" w:cs="Arial" w:eastAsia="Arial" w:hAnsi="Arial"/>
          <w:b/>
          <w:bCs/>
          <w:color w:val="1F4E79"/>
          <w:sz w:val="26"/>
          <w:szCs w:val="26"/>
        </w:rPr>
        <w:t xml:space="preserve">Patient Consent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Written informed consent was obtained from the patient for publication of this case report. All identifying details have been removed or modified to protect patient privacy.</w:t>
      </w:r>
    </w:p>
    <w:p>
      <w:pPr>
        <w:spacing w:after="0" w:before="0"/>
      </w:pPr>
      <w:r>
        <w:t xml:space="preserve"/>
      </w:r>
    </w:p>
    <w:p>
      <w:pPr>
        <w:pStyle w:val="Heading1"/>
        <w:pBdr>
          <w:bottom w:val="single" w:color="1F4E79" w:sz="4" w:space="4"/>
        </w:pBdr>
        <w:spacing w:after="120" w:before="300"/>
      </w:pPr>
      <w:r>
        <w:rPr>
          <w:rFonts w:ascii="Arial" w:cs="Arial" w:eastAsia="Arial" w:hAnsi="Arial"/>
          <w:b/>
          <w:bCs/>
          <w:color w:val="1F4E79"/>
          <w:sz w:val="26"/>
          <w:szCs w:val="26"/>
        </w:rPr>
        <w:t xml:space="preserve">Financial Disclosures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None declared. No funding was received for this work.</w:t>
      </w:r>
    </w:p>
    <w:p>
      <w:pPr>
        <w:spacing w:after="0" w:before="0"/>
      </w:pPr>
      <w:r>
        <w:t xml:space="preserve"/>
      </w:r>
    </w:p>
    <w:p>
      <w:pPr>
        <w:spacing w:after="0" w:before="0"/>
      </w:pPr>
      <w:r>
        <w:br w:type="page"/>
      </w:r>
    </w:p>
    <w:p>
      <w:pPr>
        <w:pStyle w:val="Heading1"/>
        <w:pBdr>
          <w:bottom w:val="single" w:color="1F4E79" w:sz="4" w:space="4"/>
        </w:pBdr>
        <w:spacing w:after="120" w:before="300"/>
      </w:pPr>
      <w:r>
        <w:rPr>
          <w:rFonts w:ascii="Arial" w:cs="Arial" w:eastAsia="Arial" w:hAnsi="Arial"/>
          <w:b/>
          <w:bCs/>
          <w:color w:val="1F4E79"/>
          <w:sz w:val="26"/>
          <w:szCs w:val="26"/>
        </w:rPr>
        <w:t xml:space="preserve">References</w:t>
      </w:r>
    </w:p>
    <w:p>
      <w:pPr>
        <w:spacing w:after="80" w:before="0"/>
        <w:ind w:left="360" w:hanging="360"/>
        <w:jc w:val="left"/>
      </w:pPr>
      <w:r>
        <w:rPr>
          <w:rFonts w:ascii="Times New Roman" w:cs="Times New Roman" w:eastAsia="Times New Roman" w:hAnsi="Times New Roman"/>
          <w:b/>
          <w:bCs/>
          <w:sz w:val="20"/>
          <w:szCs w:val="20"/>
        </w:rPr>
        <w:t xml:space="preserve">1. </w:t>
      </w:r>
      <w:r>
        <w:rPr>
          <w:rFonts w:ascii="Times New Roman" w:cs="Times New Roman" w:eastAsia="Times New Roman" w:hAnsi="Times New Roman"/>
          <w:i w:val="false"/>
          <w:iCs w:val="false"/>
          <w:sz w:val="20"/>
          <w:szCs w:val="20"/>
        </w:rPr>
        <w:t xml:space="preserve">Manhart LE, Holmes KK, Hughes JP, Houston LS, Totten PA.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among young adults in the United States: an emerging sexually transmitted infection. </w:t>
      </w:r>
      <w:r>
        <w:rPr>
          <w:rFonts w:ascii="Times New Roman" w:cs="Times New Roman" w:eastAsia="Times New Roman" w:hAnsi="Times New Roman"/>
          <w:i/>
          <w:iCs/>
          <w:sz w:val="20"/>
          <w:szCs w:val="20"/>
        </w:rPr>
        <w:t xml:space="preserve">Am J Public Health.</w:t>
      </w:r>
      <w:r>
        <w:rPr>
          <w:rFonts w:ascii="Times New Roman" w:cs="Times New Roman" w:eastAsia="Times New Roman" w:hAnsi="Times New Roman"/>
          <w:i w:val="false"/>
          <w:iCs w:val="false"/>
          <w:sz w:val="20"/>
          <w:szCs w:val="20"/>
        </w:rPr>
        <w:t xml:space="preserve"> 2007;97(6):1118–1125.</w:t>
      </w:r>
    </w:p>
    <w:p>
      <w:pPr>
        <w:spacing w:after="80" w:before="0"/>
        <w:ind w:left="360" w:hanging="360"/>
        <w:jc w:val="left"/>
      </w:pPr>
      <w:r>
        <w:rPr>
          <w:rFonts w:ascii="Times New Roman" w:cs="Times New Roman" w:eastAsia="Times New Roman" w:hAnsi="Times New Roman"/>
          <w:b/>
          <w:bCs/>
          <w:sz w:val="20"/>
          <w:szCs w:val="20"/>
        </w:rPr>
        <w:t xml:space="preserve">2. </w:t>
      </w:r>
      <w:r>
        <w:rPr>
          <w:rFonts w:ascii="Times New Roman" w:cs="Times New Roman" w:eastAsia="Times New Roman" w:hAnsi="Times New Roman"/>
          <w:i w:val="false"/>
          <w:iCs w:val="false"/>
          <w:sz w:val="20"/>
          <w:szCs w:val="20"/>
        </w:rPr>
        <w:t xml:space="preserve">Baumann L, Cina M, Egli-Gany D, et al. Prevalence of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in different population groups: systematic review and meta-analysis. </w:t>
      </w:r>
      <w:r>
        <w:rPr>
          <w:rFonts w:ascii="Times New Roman" w:cs="Times New Roman" w:eastAsia="Times New Roman" w:hAnsi="Times New Roman"/>
          <w:i/>
          <w:iCs/>
          <w:sz w:val="20"/>
          <w:szCs w:val="20"/>
        </w:rPr>
        <w:t xml:space="preserve">Sex Transm Infect.</w:t>
      </w:r>
      <w:r>
        <w:rPr>
          <w:rFonts w:ascii="Times New Roman" w:cs="Times New Roman" w:eastAsia="Times New Roman" w:hAnsi="Times New Roman"/>
          <w:i w:val="false"/>
          <w:iCs w:val="false"/>
          <w:sz w:val="20"/>
          <w:szCs w:val="20"/>
        </w:rPr>
        <w:t xml:space="preserve"> 2018;94(4):255–262.</w:t>
      </w:r>
    </w:p>
    <w:p>
      <w:pPr>
        <w:spacing w:after="80" w:before="0"/>
        <w:ind w:left="360" w:hanging="360"/>
        <w:jc w:val="left"/>
      </w:pPr>
      <w:r>
        <w:rPr>
          <w:rFonts w:ascii="Times New Roman" w:cs="Times New Roman" w:eastAsia="Times New Roman" w:hAnsi="Times New Roman"/>
          <w:b/>
          <w:bCs/>
          <w:sz w:val="20"/>
          <w:szCs w:val="20"/>
        </w:rPr>
        <w:t xml:space="preserve">3. </w:t>
      </w:r>
      <w:r>
        <w:rPr>
          <w:rFonts w:ascii="Times New Roman" w:cs="Times New Roman" w:eastAsia="Times New Roman" w:hAnsi="Times New Roman"/>
          <w:i w:val="false"/>
          <w:iCs w:val="false"/>
          <w:sz w:val="20"/>
          <w:szCs w:val="20"/>
        </w:rPr>
        <w:t xml:space="preserve">Workowski KA, Bachmann LH, Chan PA, et al. Sexually Transmitted Infections Treatment Guidelines, 2021. </w:t>
      </w:r>
      <w:r>
        <w:rPr>
          <w:rFonts w:ascii="Times New Roman" w:cs="Times New Roman" w:eastAsia="Times New Roman" w:hAnsi="Times New Roman"/>
          <w:i/>
          <w:iCs/>
          <w:sz w:val="20"/>
          <w:szCs w:val="20"/>
        </w:rPr>
        <w:t xml:space="preserve">MMWR Recomm Rep.</w:t>
      </w:r>
      <w:r>
        <w:rPr>
          <w:rFonts w:ascii="Times New Roman" w:cs="Times New Roman" w:eastAsia="Times New Roman" w:hAnsi="Times New Roman"/>
          <w:i w:val="false"/>
          <w:iCs w:val="false"/>
          <w:sz w:val="20"/>
          <w:szCs w:val="20"/>
        </w:rPr>
        <w:t xml:space="preserve"> 2021;70(4):1–187.</w:t>
      </w:r>
    </w:p>
    <w:p>
      <w:pPr>
        <w:spacing w:after="80" w:before="0"/>
        <w:ind w:left="360" w:hanging="360"/>
        <w:jc w:val="left"/>
      </w:pPr>
      <w:r>
        <w:rPr>
          <w:rFonts w:ascii="Times New Roman" w:cs="Times New Roman" w:eastAsia="Times New Roman" w:hAnsi="Times New Roman"/>
          <w:b/>
          <w:bCs/>
          <w:sz w:val="20"/>
          <w:szCs w:val="20"/>
        </w:rPr>
        <w:t xml:space="preserve">4. </w:t>
      </w:r>
      <w:r>
        <w:rPr>
          <w:rFonts w:ascii="Times New Roman" w:cs="Times New Roman" w:eastAsia="Times New Roman" w:hAnsi="Times New Roman"/>
          <w:i w:val="false"/>
          <w:iCs w:val="false"/>
          <w:sz w:val="20"/>
          <w:szCs w:val="20"/>
        </w:rPr>
        <w:t xml:space="preserve">Getman D, Jiang A, O'Donnell M, Cohen S.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prevalence, coinfection, and macrolide antibiotic resistance frequency in a multicenter clinical study cohort in the United States. </w:t>
      </w:r>
      <w:r>
        <w:rPr>
          <w:rFonts w:ascii="Times New Roman" w:cs="Times New Roman" w:eastAsia="Times New Roman" w:hAnsi="Times New Roman"/>
          <w:i/>
          <w:iCs/>
          <w:sz w:val="20"/>
          <w:szCs w:val="20"/>
        </w:rPr>
        <w:t xml:space="preserve">J Clin Microbiol.</w:t>
      </w:r>
      <w:r>
        <w:rPr>
          <w:rFonts w:ascii="Times New Roman" w:cs="Times New Roman" w:eastAsia="Times New Roman" w:hAnsi="Times New Roman"/>
          <w:i w:val="false"/>
          <w:iCs w:val="false"/>
          <w:sz w:val="20"/>
          <w:szCs w:val="20"/>
        </w:rPr>
        <w:t xml:space="preserve"> 2016;54(9):2278–2283.</w:t>
      </w:r>
    </w:p>
    <w:p>
      <w:pPr>
        <w:spacing w:after="80" w:before="0"/>
        <w:ind w:left="360" w:hanging="360"/>
        <w:jc w:val="left"/>
      </w:pPr>
      <w:r>
        <w:rPr>
          <w:rFonts w:ascii="Times New Roman" w:cs="Times New Roman" w:eastAsia="Times New Roman" w:hAnsi="Times New Roman"/>
          <w:b/>
          <w:bCs/>
          <w:sz w:val="20"/>
          <w:szCs w:val="20"/>
        </w:rPr>
        <w:t xml:space="preserve">5. </w:t>
      </w:r>
      <w:r>
        <w:rPr>
          <w:rFonts w:ascii="Times New Roman" w:cs="Times New Roman" w:eastAsia="Times New Roman" w:hAnsi="Times New Roman"/>
          <w:i w:val="false"/>
          <w:iCs w:val="false"/>
          <w:sz w:val="20"/>
          <w:szCs w:val="20"/>
        </w:rPr>
        <w:t xml:space="preserve">Stass H, Kubitza D. Profile of moxifloxacin drug interactions. </w:t>
      </w:r>
      <w:r>
        <w:rPr>
          <w:rFonts w:ascii="Times New Roman" w:cs="Times New Roman" w:eastAsia="Times New Roman" w:hAnsi="Times New Roman"/>
          <w:i/>
          <w:iCs/>
          <w:sz w:val="20"/>
          <w:szCs w:val="20"/>
        </w:rPr>
        <w:t xml:space="preserve">Clin Infect Dis.</w:t>
      </w:r>
      <w:r>
        <w:rPr>
          <w:rFonts w:ascii="Times New Roman" w:cs="Times New Roman" w:eastAsia="Times New Roman" w:hAnsi="Times New Roman"/>
          <w:i w:val="false"/>
          <w:iCs w:val="false"/>
          <w:sz w:val="20"/>
          <w:szCs w:val="20"/>
        </w:rPr>
        <w:t xml:space="preserve"> 2001;32(Suppl 1):S47–S50.</w:t>
      </w:r>
    </w:p>
    <w:p>
      <w:pPr>
        <w:spacing w:after="80" w:before="0"/>
        <w:ind w:left="360" w:hanging="360"/>
        <w:jc w:val="left"/>
      </w:pPr>
      <w:r>
        <w:rPr>
          <w:rFonts w:ascii="Times New Roman" w:cs="Times New Roman" w:eastAsia="Times New Roman" w:hAnsi="Times New Roman"/>
          <w:b/>
          <w:bCs/>
          <w:sz w:val="20"/>
          <w:szCs w:val="20"/>
        </w:rPr>
        <w:t xml:space="preserve">6. </w:t>
      </w:r>
      <w:r>
        <w:rPr>
          <w:rFonts w:ascii="Times New Roman" w:cs="Times New Roman" w:eastAsia="Times New Roman" w:hAnsi="Times New Roman"/>
          <w:i w:val="false"/>
          <w:iCs w:val="false"/>
          <w:sz w:val="20"/>
          <w:szCs w:val="20"/>
        </w:rPr>
        <w:t xml:space="preserve">Unemo M, Jensen JS. Antimicrobial-resistant sexually transmitted infections: gonorrhoea and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w:t>
      </w:r>
      <w:r>
        <w:rPr>
          <w:rFonts w:ascii="Times New Roman" w:cs="Times New Roman" w:eastAsia="Times New Roman" w:hAnsi="Times New Roman"/>
          <w:i/>
          <w:iCs/>
          <w:sz w:val="20"/>
          <w:szCs w:val="20"/>
        </w:rPr>
        <w:t xml:space="preserve">Nat Rev Urol.</w:t>
      </w:r>
      <w:r>
        <w:rPr>
          <w:rFonts w:ascii="Times New Roman" w:cs="Times New Roman" w:eastAsia="Times New Roman" w:hAnsi="Times New Roman"/>
          <w:i w:val="false"/>
          <w:iCs w:val="false"/>
          <w:sz w:val="20"/>
          <w:szCs w:val="20"/>
        </w:rPr>
        <w:t xml:space="preserve"> 2017;14(3):139–152.</w:t>
      </w:r>
    </w:p>
    <w:p>
      <w:pPr>
        <w:spacing w:after="80" w:before="0"/>
        <w:ind w:left="360" w:hanging="360"/>
        <w:jc w:val="left"/>
      </w:pPr>
      <w:r>
        <w:rPr>
          <w:rFonts w:ascii="Times New Roman" w:cs="Times New Roman" w:eastAsia="Times New Roman" w:hAnsi="Times New Roman"/>
          <w:b/>
          <w:bCs/>
          <w:sz w:val="20"/>
          <w:szCs w:val="20"/>
        </w:rPr>
        <w:t xml:space="preserve">7. </w:t>
      </w:r>
      <w:r>
        <w:rPr>
          <w:rFonts w:ascii="Times New Roman" w:cs="Times New Roman" w:eastAsia="Times New Roman" w:hAnsi="Times New Roman"/>
          <w:i w:val="false"/>
          <w:iCs w:val="false"/>
          <w:sz w:val="20"/>
          <w:szCs w:val="20"/>
        </w:rPr>
        <w:t xml:space="preserve">Horner PJ, Blee K, Falk L, van der Meijden W, Moi H; IUSTI/WHO. 2016 European guideline on the management of non-gonococcal urethritis. </w:t>
      </w:r>
      <w:r>
        <w:rPr>
          <w:rFonts w:ascii="Times New Roman" w:cs="Times New Roman" w:eastAsia="Times New Roman" w:hAnsi="Times New Roman"/>
          <w:i/>
          <w:iCs/>
          <w:sz w:val="20"/>
          <w:szCs w:val="20"/>
        </w:rPr>
        <w:t xml:space="preserve">Int J STD AIDS.</w:t>
      </w:r>
      <w:r>
        <w:rPr>
          <w:rFonts w:ascii="Times New Roman" w:cs="Times New Roman" w:eastAsia="Times New Roman" w:hAnsi="Times New Roman"/>
          <w:i w:val="false"/>
          <w:iCs w:val="false"/>
          <w:sz w:val="20"/>
          <w:szCs w:val="20"/>
        </w:rPr>
        <w:t xml:space="preserve"> 2016;27(11):928–937.</w:t>
      </w:r>
    </w:p>
    <w:p>
      <w:pPr>
        <w:spacing w:after="80" w:before="0"/>
        <w:ind w:left="360" w:hanging="360"/>
        <w:jc w:val="left"/>
      </w:pPr>
      <w:r>
        <w:rPr>
          <w:rFonts w:ascii="Times New Roman" w:cs="Times New Roman" w:eastAsia="Times New Roman" w:hAnsi="Times New Roman"/>
          <w:b/>
          <w:bCs/>
          <w:sz w:val="20"/>
          <w:szCs w:val="20"/>
        </w:rPr>
        <w:t xml:space="preserve">8. </w:t>
      </w:r>
      <w:r>
        <w:rPr>
          <w:rFonts w:ascii="Times New Roman" w:cs="Times New Roman" w:eastAsia="Times New Roman" w:hAnsi="Times New Roman"/>
          <w:i w:val="false"/>
          <w:iCs w:val="false"/>
          <w:sz w:val="20"/>
          <w:szCs w:val="20"/>
        </w:rPr>
        <w:t xml:space="preserve">Read TRH, Fairley CK, Murray GL, et al. Outcomes of resistance-guided sequential treatment of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infections: a prospective evaluation. </w:t>
      </w:r>
      <w:r>
        <w:rPr>
          <w:rFonts w:ascii="Times New Roman" w:cs="Times New Roman" w:eastAsia="Times New Roman" w:hAnsi="Times New Roman"/>
          <w:i/>
          <w:iCs/>
          <w:sz w:val="20"/>
          <w:szCs w:val="20"/>
        </w:rPr>
        <w:t xml:space="preserve">Clin Infect Dis.</w:t>
      </w:r>
      <w:r>
        <w:rPr>
          <w:rFonts w:ascii="Times New Roman" w:cs="Times New Roman" w:eastAsia="Times New Roman" w:hAnsi="Times New Roman"/>
          <w:i w:val="false"/>
          <w:iCs w:val="false"/>
          <w:sz w:val="20"/>
          <w:szCs w:val="20"/>
        </w:rPr>
        <w:t xml:space="preserve"> 2019;68(4):554–560.</w:t>
      </w:r>
    </w:p>
    <w:p>
      <w:pPr>
        <w:spacing w:after="80" w:before="0"/>
        <w:ind w:left="360" w:hanging="360"/>
        <w:jc w:val="left"/>
      </w:pPr>
      <w:r>
        <w:rPr>
          <w:rFonts w:ascii="Times New Roman" w:cs="Times New Roman" w:eastAsia="Times New Roman" w:hAnsi="Times New Roman"/>
          <w:b/>
          <w:bCs/>
          <w:sz w:val="20"/>
          <w:szCs w:val="20"/>
        </w:rPr>
        <w:t xml:space="preserve">9. </w:t>
      </w:r>
      <w:r>
        <w:rPr>
          <w:rFonts w:ascii="Times New Roman" w:cs="Times New Roman" w:eastAsia="Times New Roman" w:hAnsi="Times New Roman"/>
          <w:i w:val="false"/>
          <w:iCs w:val="false"/>
          <w:sz w:val="20"/>
          <w:szCs w:val="20"/>
        </w:rPr>
        <w:t xml:space="preserve">Bradshaw CS, Jensen JS, Waites KB. New horizons in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treatment. </w:t>
      </w:r>
      <w:r>
        <w:rPr>
          <w:rFonts w:ascii="Times New Roman" w:cs="Times New Roman" w:eastAsia="Times New Roman" w:hAnsi="Times New Roman"/>
          <w:i/>
          <w:iCs/>
          <w:sz w:val="20"/>
          <w:szCs w:val="20"/>
        </w:rPr>
        <w:t xml:space="preserve">J Infect Dis.</w:t>
      </w:r>
      <w:r>
        <w:rPr>
          <w:rFonts w:ascii="Times New Roman" w:cs="Times New Roman" w:eastAsia="Times New Roman" w:hAnsi="Times New Roman"/>
          <w:i w:val="false"/>
          <w:iCs w:val="false"/>
          <w:sz w:val="20"/>
          <w:szCs w:val="20"/>
        </w:rPr>
        <w:t xml:space="preserve"> 2017;216(Suppl 2):S412–S419.</w:t>
      </w:r>
    </w:p>
    <w:p>
      <w:pPr>
        <w:spacing w:after="80" w:before="0"/>
        <w:ind w:left="360" w:hanging="360"/>
        <w:jc w:val="left"/>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i w:val="false"/>
          <w:iCs w:val="false"/>
          <w:sz w:val="20"/>
          <w:szCs w:val="20"/>
        </w:rPr>
        <w:t xml:space="preserve">Jensen JS, Bradshaw CS, Tabrizi SN, Fairley CK, Hamasuna R. Azithromycin treatment failure in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-positive patients with nongonococcal urethritis is associated with induced macrolide resistance. </w:t>
      </w:r>
      <w:r>
        <w:rPr>
          <w:rFonts w:ascii="Times New Roman" w:cs="Times New Roman" w:eastAsia="Times New Roman" w:hAnsi="Times New Roman"/>
          <w:i/>
          <w:iCs/>
          <w:sz w:val="20"/>
          <w:szCs w:val="20"/>
        </w:rPr>
        <w:t xml:space="preserve">Clin Infect Dis.</w:t>
      </w:r>
      <w:r>
        <w:rPr>
          <w:rFonts w:ascii="Times New Roman" w:cs="Times New Roman" w:eastAsia="Times New Roman" w:hAnsi="Times New Roman"/>
          <w:i w:val="false"/>
          <w:iCs w:val="false"/>
          <w:sz w:val="20"/>
          <w:szCs w:val="20"/>
        </w:rPr>
        <w:t xml:space="preserve"> 2008;47(12):1546–1553.</w:t>
      </w:r>
    </w:p>
    <w:p>
      <w:pPr>
        <w:spacing w:after="80" w:before="0"/>
        <w:ind w:left="360" w:hanging="360"/>
        <w:jc w:val="left"/>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i w:val="false"/>
          <w:iCs w:val="false"/>
          <w:sz w:val="20"/>
          <w:szCs w:val="20"/>
        </w:rPr>
        <w:t xml:space="preserve">Machalek DA, Tao Y, Shilling H, et al. Prevalence of mutations associated with resistance to macrolides and fluoroquinolones in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a systematic review and meta-analysis. </w:t>
      </w:r>
      <w:r>
        <w:rPr>
          <w:rFonts w:ascii="Times New Roman" w:cs="Times New Roman" w:eastAsia="Times New Roman" w:hAnsi="Times New Roman"/>
          <w:i/>
          <w:iCs/>
          <w:sz w:val="20"/>
          <w:szCs w:val="20"/>
        </w:rPr>
        <w:t xml:space="preserve">Lancet Infect Dis.</w:t>
      </w:r>
      <w:r>
        <w:rPr>
          <w:rFonts w:ascii="Times New Roman" w:cs="Times New Roman" w:eastAsia="Times New Roman" w:hAnsi="Times New Roman"/>
          <w:i w:val="false"/>
          <w:iCs w:val="false"/>
          <w:sz w:val="20"/>
          <w:szCs w:val="20"/>
        </w:rPr>
        <w:t xml:space="preserve"> 2020;20(11):1302–1314.</w:t>
      </w:r>
    </w:p>
    <w:p>
      <w:pPr>
        <w:spacing w:after="80" w:before="0"/>
        <w:ind w:left="360" w:hanging="360"/>
        <w:jc w:val="left"/>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i w:val="false"/>
          <w:iCs w:val="false"/>
          <w:sz w:val="20"/>
          <w:szCs w:val="20"/>
        </w:rPr>
        <w:t xml:space="preserve">Horner P, Ingle SM, Garrett F, et al. Identifying the most effective antibiotic regimens for the treatment of </w:t>
      </w:r>
      <w:r>
        <w:rPr>
          <w:rFonts w:ascii="Times New Roman" w:cs="Times New Roman" w:eastAsia="Times New Roman" w:hAnsi="Times New Roman"/>
          <w:i/>
          <w:iCs/>
          <w:sz w:val="20"/>
          <w:szCs w:val="20"/>
        </w:rPr>
        <w:t xml:space="preserve">Mycoplasma genitalium</w:t>
      </w:r>
      <w:r>
        <w:rPr>
          <w:rFonts w:ascii="Times New Roman" w:cs="Times New Roman" w:eastAsia="Times New Roman" w:hAnsi="Times New Roman"/>
          <w:i w:val="false"/>
          <w:iCs w:val="false"/>
          <w:sz w:val="20"/>
          <w:szCs w:val="20"/>
        </w:rPr>
        <w:t xml:space="preserve"> urogenital infections: a systematic review and network meta-analysis. </w:t>
      </w:r>
      <w:r>
        <w:rPr>
          <w:rFonts w:ascii="Times New Roman" w:cs="Times New Roman" w:eastAsia="Times New Roman" w:hAnsi="Times New Roman"/>
          <w:i/>
          <w:iCs/>
          <w:sz w:val="20"/>
          <w:szCs w:val="20"/>
        </w:rPr>
        <w:t xml:space="preserve">J Infect Dis.</w:t>
      </w:r>
      <w:r>
        <w:rPr>
          <w:rFonts w:ascii="Times New Roman" w:cs="Times New Roman" w:eastAsia="Times New Roman" w:hAnsi="Times New Roman"/>
          <w:i w:val="false"/>
          <w:iCs w:val="false"/>
          <w:sz w:val="20"/>
          <w:szCs w:val="20"/>
        </w:rPr>
        <w:t xml:space="preserve"> 2024;229(6):1659–1668.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lineRule="auto"/>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2026-03-09T03:08:45.648Z</dcterms:created>
  <dcterms:modified xsi:type="dcterms:W3CDTF">2026-03-09T03:08:45.648Z</dcterms:modified>
</cp:coreProperties>
</file>

<file path=docProps/custom.xml><?xml version="1.0" encoding="utf-8"?>
<Properties xmlns="http://schemas.openxmlformats.org/officeDocument/2006/custom-properties" xmlns:vt="http://schemas.openxmlformats.org/officeDocument/2006/docPropsVTypes"/>
</file>