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3A52"/>
          <w:sz w:val="56"/>
          <w:szCs w:val="56"/>
        </w:rPr>
        <w:t xml:space="preserve">VOLUNTARY FEDERAL</w:t>
      </w:r>
    </w:p>
    <w:p>
      <w:pPr>
        <w:spacing w:after="400"/>
        <w:jc w:val="center"/>
      </w:pPr>
      <w:r>
        <w:rPr>
          <w:rFonts w:ascii="Arial" w:cs="Arial" w:eastAsia="Arial" w:hAnsi="Arial"/>
          <w:b/>
          <w:bCs/>
          <w:color w:val="1A3A52"/>
          <w:sz w:val="56"/>
          <w:szCs w:val="56"/>
        </w:rPr>
        <w:t xml:space="preserve">VOTER ID PROGRAM</w:t>
      </w:r>
    </w:p>
    <w:p>
      <w:pPr>
        <w:spacing w:after="800"/>
        <w:jc w:val="center"/>
      </w:pPr>
      <w:r>
        <w:rPr>
          <w:rFonts w:ascii="Arial" w:cs="Arial" w:eastAsia="Arial" w:hAnsi="Arial"/>
          <w:color w:val="2E5A7C"/>
          <w:sz w:val="32"/>
          <w:szCs w:val="32"/>
        </w:rPr>
        <w:t xml:space="preserve">Policy Framework and Implementation Design</w:t>
      </w:r>
    </w:p>
    <w:p>
      <w:pPr>
        <w:jc w:val="center"/>
      </w:pPr>
      <w:r>
        <w:rPr>
          <w:rFonts w:ascii="Arial" w:cs="Arial" w:eastAsia="Arial" w:hAnsi="Arial"/>
          <w:i/>
          <w:iCs/>
          <w:color w:val="666666"/>
          <w:sz w:val="24"/>
          <w:szCs w:val="24"/>
        </w:rPr>
        <w:t xml:space="preserve">A Time-Limited Federal Program to Provide</w:t>
      </w:r>
    </w:p>
    <w:p>
      <w:pPr>
        <w:spacing w:after="2000"/>
        <w:jc w:val="center"/>
      </w:pPr>
      <w:r>
        <w:rPr>
          <w:rFonts w:ascii="Arial" w:cs="Arial" w:eastAsia="Arial" w:hAnsi="Arial"/>
          <w:i/>
          <w:iCs/>
          <w:color w:val="666666"/>
          <w:sz w:val="24"/>
          <w:szCs w:val="24"/>
        </w:rPr>
        <w:t xml:space="preserve">No-Cost Voter Identification to American Citizens</w:t>
      </w:r>
    </w:p>
    <w:p>
      <w:pPr>
        <w:jc w:val="center"/>
      </w:pPr>
      <w:r>
        <w:rPr>
          <w:rFonts w:ascii="Arial" w:cs="Arial" w:eastAsia="Arial" w:hAnsi="Arial"/>
          <w:b/>
          <w:bCs/>
          <w:sz w:val="22"/>
          <w:szCs w:val="22"/>
        </w:rPr>
        <w:t xml:space="preserve">Congressional Presentation Draft</w:t>
      </w:r>
    </w:p>
    <w:p>
      <w:r>
        <w:br w:type="page"/>
      </w:r>
    </w:p>
    <w:p>
      <w:pPr>
        <w:pStyle w:val="Heading1"/>
        <w:spacing w:before="40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rPr>
        <w:t xml:space="preserve">Executive Summary</w:t>
      </w:r>
    </w:p>
    <w:p>
      <w:pPr>
        <w:spacing w:after="160"/>
      </w:pPr>
      <w:r>
        <w:rPr>
          <w:rFonts w:ascii="Arial" w:cs="Arial" w:eastAsia="Arial" w:hAnsi="Arial"/>
          <w:sz w:val="22"/>
          <w:szCs w:val="22"/>
        </w:rPr>
        <w:t xml:space="preserve">The Voluntary Federal Voter ID Program is a time-limited (10-year) federal initiative to provide no-cost voter identification to approximately 21 million American citizens who currently lack government-issued photo identification. The program addresses the "access barrier" objection to voter ID requirements by ensuring that every eligible citizen has a clear pathway to obtain identification before any such requirements take effect.</w:t>
      </w:r>
    </w:p>
    <w:p>
      <w:pPr>
        <w:spacing w:after="120"/>
      </w:pPr>
    </w:p>
    <w:p>
      <w:pPr>
        <w:pStyle w:val="Heading2"/>
        <w:spacing w:before="300" w:after="150"/>
      </w:pPr>
      <w:r>
        <w:rPr>
          <w:rFonts w:ascii="Arial" w:cs="Arial" w:eastAsia="Arial" w:hAnsi="Arial"/>
        </w:rPr>
        <w:t xml:space="preserve">Core Design Principles</w:t>
      </w:r>
    </w:p>
    <w:p>
      <w:pPr>
        <w:pStyle w:val="ListParagraph"/>
        <w:numPr>
          <w:ilvl w:val="0"/>
          <w:numId w:val="2"/>
        </w:numPr>
        <w:spacing w:after="80"/>
      </w:pPr>
      <w:r>
        <w:rPr>
          <w:rFonts w:ascii="Arial" w:cs="Arial" w:eastAsia="Arial" w:hAnsi="Arial"/>
          <w:sz w:val="22"/>
          <w:szCs w:val="22"/>
        </w:rPr>
        <w:t xml:space="preserve">Voluntary for both applicants and states—no mandates, no coercion</w:t>
      </w:r>
    </w:p>
    <w:p>
      <w:pPr>
        <w:pStyle w:val="ListParagraph"/>
        <w:numPr>
          <w:ilvl w:val="0"/>
          <w:numId w:val="2"/>
        </w:numPr>
        <w:spacing w:after="80"/>
      </w:pPr>
      <w:r>
        <w:rPr>
          <w:rFonts w:ascii="Arial" w:cs="Arial" w:eastAsia="Arial" w:hAnsi="Arial"/>
          <w:sz w:val="22"/>
          <w:szCs w:val="22"/>
        </w:rPr>
        <w:t xml:space="preserve">Physical card verified by visual inspection—no Election Day IT dependency</w:t>
      </w:r>
    </w:p>
    <w:p>
      <w:pPr>
        <w:pStyle w:val="ListParagraph"/>
        <w:numPr>
          <w:ilvl w:val="0"/>
          <w:numId w:val="2"/>
        </w:numPr>
        <w:spacing w:after="80"/>
      </w:pPr>
      <w:r>
        <w:rPr>
          <w:rFonts w:ascii="Arial" w:cs="Arial" w:eastAsia="Arial" w:hAnsi="Arial"/>
          <w:sz w:val="22"/>
          <w:szCs w:val="22"/>
        </w:rPr>
        <w:t xml:space="preserve">Sunsets after 10 years—bounded problem, not permanent infrastructure</w:t>
      </w:r>
    </w:p>
    <w:p>
      <w:pPr>
        <w:pStyle w:val="ListParagraph"/>
        <w:numPr>
          <w:ilvl w:val="0"/>
          <w:numId w:val="2"/>
        </w:numPr>
        <w:spacing w:after="80"/>
      </w:pPr>
      <w:r>
        <w:rPr>
          <w:rFonts w:ascii="Arial" w:cs="Arial" w:eastAsia="Arial" w:hAnsi="Arial"/>
          <w:sz w:val="22"/>
          <w:szCs w:val="22"/>
        </w:rPr>
        <w:t xml:space="preserve">Multiple pathways with no dead ends—healthcare facilities, SSA offices, state agencies</w:t>
      </w:r>
    </w:p>
    <w:p>
      <w:pPr>
        <w:pStyle w:val="ListParagraph"/>
        <w:numPr>
          <w:ilvl w:val="0"/>
          <w:numId w:val="2"/>
        </w:numPr>
        <w:spacing w:after="80"/>
      </w:pPr>
      <w:r>
        <w:rPr>
          <w:rFonts w:ascii="Arial" w:cs="Arial" w:eastAsia="Arial" w:hAnsi="Arial"/>
          <w:sz w:val="22"/>
          <w:szCs w:val="22"/>
        </w:rPr>
        <w:t xml:space="preserve">Structural resistance to weaponization—formula funding, locked criteria, data firewalls</w:t>
      </w:r>
    </w:p>
    <w:p>
      <w:pPr>
        <w:spacing w:after="120"/>
      </w:pPr>
    </w:p>
    <w:p>
      <w:pPr>
        <w:pStyle w:val="Heading2"/>
        <w:spacing w:before="300" w:after="150"/>
      </w:pPr>
      <w:r>
        <w:rPr>
          <w:rFonts w:ascii="Arial" w:cs="Arial" w:eastAsia="Arial" w:hAnsi="Arial"/>
        </w:rPr>
        <w:t xml:space="preserve">Target Population</w:t>
      </w:r>
    </w:p>
    <w:p>
      <w:pPr>
        <w:spacing w:after="160"/>
      </w:pPr>
      <w:r>
        <w:rPr>
          <w:rFonts w:ascii="Arial" w:cs="Arial" w:eastAsia="Arial" w:hAnsi="Arial"/>
          <w:sz w:val="22"/>
          <w:szCs w:val="22"/>
        </w:rPr>
        <w:t xml:space="preserve">All U.S. citizens age 18 and older who lack valid government-issued photo identification. Database cross-checks against state DMV and ID systems prevent unnecessary duplication. The program particularly addresses:</w:t>
      </w:r>
    </w:p>
    <w:p>
      <w:pPr>
        <w:pStyle w:val="ListParagraph"/>
        <w:numPr>
          <w:ilvl w:val="0"/>
          <w:numId w:val="2"/>
        </w:numPr>
        <w:spacing w:after="80"/>
      </w:pPr>
      <w:r>
        <w:rPr>
          <w:rFonts w:ascii="Arial" w:cs="Arial" w:eastAsia="Arial" w:hAnsi="Arial"/>
          <w:sz w:val="22"/>
          <w:szCs w:val="22"/>
        </w:rPr>
        <w:t xml:space="preserve">Elderly citizens whose births were never registered (estimated 1.9–2.3 million age 65+)</w:t>
      </w:r>
    </w:p>
    <w:p>
      <w:pPr>
        <w:pStyle w:val="ListParagraph"/>
        <w:numPr>
          <w:ilvl w:val="0"/>
          <w:numId w:val="2"/>
        </w:numPr>
        <w:spacing w:after="80"/>
      </w:pPr>
      <w:r>
        <w:rPr>
          <w:rFonts w:ascii="Arial" w:cs="Arial" w:eastAsia="Arial" w:hAnsi="Arial"/>
          <w:sz w:val="22"/>
          <w:szCs w:val="22"/>
        </w:rPr>
        <w:t xml:space="preserve">Citizens trapped in ID-to-get-ID documentation loops</w:t>
      </w:r>
    </w:p>
    <w:p>
      <w:pPr>
        <w:pStyle w:val="ListParagraph"/>
        <w:numPr>
          <w:ilvl w:val="0"/>
          <w:numId w:val="2"/>
        </w:numPr>
        <w:spacing w:after="80"/>
      </w:pPr>
      <w:r>
        <w:rPr>
          <w:rFonts w:ascii="Arial" w:cs="Arial" w:eastAsia="Arial" w:hAnsi="Arial"/>
          <w:sz w:val="22"/>
          <w:szCs w:val="22"/>
        </w:rPr>
        <w:t xml:space="preserve">Citizens born abroad to U.S. parents without Consular Report of Birth Abroad</w:t>
      </w:r>
    </w:p>
    <w:p>
      <w:pPr>
        <w:pStyle w:val="ListParagraph"/>
        <w:numPr>
          <w:ilvl w:val="0"/>
          <w:numId w:val="2"/>
        </w:numPr>
        <w:spacing w:after="80"/>
      </w:pPr>
      <w:r>
        <w:rPr>
          <w:rFonts w:ascii="Arial" w:cs="Arial" w:eastAsia="Arial" w:hAnsi="Arial"/>
          <w:sz w:val="22"/>
          <w:szCs w:val="22"/>
        </w:rPr>
        <w:t xml:space="preserve">Territory residents affected by mass documentation destruction events</w:t>
      </w:r>
    </w:p>
    <w:p>
      <w:pPr>
        <w:spacing w:after="120"/>
      </w:pPr>
    </w:p>
    <w:p>
      <w:pPr>
        <w:pStyle w:val="Heading2"/>
        <w:spacing w:before="300" w:after="150"/>
      </w:pPr>
      <w:r>
        <w:rPr>
          <w:rFonts w:ascii="Arial" w:cs="Arial" w:eastAsia="Arial" w:hAnsi="Arial"/>
        </w:rPr>
        <w:t xml:space="preserve">Key Safeguards</w:t>
      </w:r>
    </w:p>
    <w:p>
      <w:pPr>
        <w:pStyle w:val="ListParagraph"/>
        <w:numPr>
          <w:ilvl w:val="0"/>
          <w:numId w:val="2"/>
        </w:numPr>
        <w:spacing w:after="80"/>
      </w:pPr>
      <w:r>
        <w:rPr>
          <w:rFonts w:ascii="Arial" w:cs="Arial" w:eastAsia="Arial" w:hAnsi="Arial"/>
          <w:sz w:val="22"/>
          <w:szCs w:val="22"/>
        </w:rPr>
        <w:t xml:space="preserve">Trigger-based certification: No ID requirement enforceable until GAO certifies access achieved</w:t>
      </w:r>
    </w:p>
    <w:p>
      <w:pPr>
        <w:pStyle w:val="ListParagraph"/>
        <w:numPr>
          <w:ilvl w:val="0"/>
          <w:numId w:val="2"/>
        </w:numPr>
        <w:spacing w:after="80"/>
      </w:pPr>
      <w:r>
        <w:rPr>
          <w:rFonts w:ascii="Arial" w:cs="Arial" w:eastAsia="Arial" w:hAnsi="Arial"/>
          <w:sz w:val="22"/>
          <w:szCs w:val="22"/>
        </w:rPr>
        <w:t xml:space="preserve">13-year card validity: Covers three presidential election cycles from issuance</w:t>
      </w:r>
    </w:p>
    <w:p>
      <w:pPr>
        <w:pStyle w:val="ListParagraph"/>
        <w:numPr>
          <w:ilvl w:val="0"/>
          <w:numId w:val="2"/>
        </w:numPr>
        <w:spacing w:after="80"/>
      </w:pPr>
      <w:r>
        <w:rPr>
          <w:rFonts w:ascii="Arial" w:cs="Arial" w:eastAsia="Arial" w:hAnsi="Arial"/>
          <w:sz w:val="22"/>
          <w:szCs w:val="22"/>
        </w:rPr>
        <w:t xml:space="preserve">Federal fallback: SSA field offices serve citizens in non-participating states</w:t>
      </w:r>
    </w:p>
    <w:p>
      <w:pPr>
        <w:pStyle w:val="ListParagraph"/>
        <w:numPr>
          <w:ilvl w:val="0"/>
          <w:numId w:val="2"/>
        </w:numPr>
        <w:spacing w:after="80"/>
      </w:pPr>
      <w:r>
        <w:rPr>
          <w:rFonts w:ascii="Arial" w:cs="Arial" w:eastAsia="Arial" w:hAnsi="Arial"/>
          <w:sz w:val="22"/>
          <w:szCs w:val="22"/>
        </w:rPr>
        <w:t xml:space="preserve">Private right of action: Citizens can sue for improper denials or delays</w:t>
      </w:r>
    </w:p>
    <w:p>
      <w:pPr>
        <w:pStyle w:val="ListParagraph"/>
        <w:numPr>
          <w:ilvl w:val="0"/>
          <w:numId w:val="2"/>
        </w:numPr>
        <w:spacing w:after="80"/>
      </w:pPr>
      <w:r>
        <w:rPr>
          <w:rFonts w:ascii="Arial" w:cs="Arial" w:eastAsia="Arial" w:hAnsi="Arial"/>
          <w:sz w:val="22"/>
          <w:szCs w:val="22"/>
        </w:rPr>
        <w:t xml:space="preserve">Independent oversight: GAO annual audits with disparate impact triggers</w:t>
      </w:r>
    </w:p>
    <w:p>
      <w:pPr>
        <w:spacing w:after="120"/>
      </w:pPr>
    </w:p>
    <w:p>
      <w:pPr>
        <w:pStyle w:val="Heading2"/>
        <w:spacing w:before="300" w:after="150"/>
      </w:pPr>
      <w:r>
        <w:rPr>
          <w:rFonts w:ascii="Arial" w:cs="Arial" w:eastAsia="Arial" w:hAnsi="Arial"/>
        </w:rPr>
        <w:t xml:space="preserve">Estimated Cost</w:t>
      </w:r>
    </w:p>
    <w:p>
      <w:pPr>
        <w:spacing w:after="160"/>
      </w:pPr>
      <w:r>
        <w:rPr>
          <w:rFonts w:ascii="Arial" w:cs="Arial" w:eastAsia="Arial" w:hAnsi="Arial"/>
          <w:sz w:val="22"/>
          <w:szCs w:val="22"/>
        </w:rPr>
        <w:t xml:space="preserve">$700 million to $1.1 billion over 10 years, including card production, state administrative reimbursement, federal coordination, healthcare facility participation, and public awareness. Program terminates at sunset with no ongoing federal expenditure.</w:t>
      </w:r>
    </w:p>
    <w:p>
      <w:r>
        <w:br w:type="page"/>
      </w:r>
    </w:p>
    <w:p>
      <w:pPr>
        <w:pStyle w:val="Heading1"/>
        <w:spacing w:before="400" w:after="200"/>
      </w:pPr>
      <w:r>
        <w:rPr>
          <w:rFonts w:ascii="Arial" w:cs="Arial" w:eastAsia="Arial" w:hAnsi="Arial"/>
        </w:rPr>
        <w:t xml:space="preserve">Part I: Program Structure</w:t>
      </w:r>
    </w:p>
    <w:p>
      <w:pPr>
        <w:pStyle w:val="Heading2"/>
        <w:spacing w:before="300" w:after="150"/>
      </w:pPr>
      <w:r>
        <w:rPr>
          <w:rFonts w:ascii="Arial" w:cs="Arial" w:eastAsia="Arial" w:hAnsi="Arial"/>
        </w:rPr>
        <w:t xml:space="preserve">Section 1: Definitions and Scope</w:t>
      </w:r>
    </w:p>
    <w:p>
      <w:pPr>
        <w:pStyle w:val="Heading3"/>
        <w:spacing w:before="240" w:after="120"/>
      </w:pPr>
      <w:r>
        <w:rPr>
          <w:rFonts w:ascii="Arial" w:cs="Arial" w:eastAsia="Arial" w:hAnsi="Arial"/>
        </w:rPr>
        <w:t xml:space="preserve">1.1 Definitions</w:t>
      </w:r>
    </w:p>
    <w:p>
      <w:pPr>
        <w:spacing w:after="160"/>
      </w:pPr>
      <w:r>
        <w:rPr>
          <w:rFonts w:ascii="Arial" w:cs="Arial" w:eastAsia="Arial" w:hAnsi="Arial"/>
          <w:sz w:val="22"/>
          <w:szCs w:val="22"/>
        </w:rPr>
        <w:t xml:space="preserve">For purposes of this program:</w:t>
      </w:r>
    </w:p>
    <w:p>
      <w:pPr>
        <w:pStyle w:val="ListParagraph"/>
        <w:numPr>
          <w:ilvl w:val="0"/>
          <w:numId w:val="2"/>
        </w:numPr>
        <w:spacing w:after="80"/>
      </w:pPr>
      <w:r>
        <w:rPr>
          <w:rFonts w:ascii="Arial" w:cs="Arial" w:eastAsia="Arial" w:hAnsi="Arial"/>
          <w:sz w:val="22"/>
          <w:szCs w:val="22"/>
        </w:rPr>
        <w:t xml:space="preserve">"State" includes the 50 States, the District of Columbia, the Commonwealth of Puerto Rico, Guam, the United States Virgin Islands, and the Commonwealth of the Northern Mariana Islands.</w:t>
      </w:r>
    </w:p>
    <w:p>
      <w:pPr>
        <w:pStyle w:val="ListParagraph"/>
        <w:numPr>
          <w:ilvl w:val="0"/>
          <w:numId w:val="2"/>
        </w:numPr>
        <w:spacing w:after="80"/>
      </w:pPr>
      <w:r>
        <w:rPr>
          <w:rFonts w:ascii="Arial" w:cs="Arial" w:eastAsia="Arial" w:hAnsi="Arial"/>
          <w:sz w:val="22"/>
          <w:szCs w:val="22"/>
        </w:rPr>
        <w:t xml:space="preserve">"Valid government-issued photo identification" means unexpired identification issued by a State, the federal government, or a federally recognized Indian tribe that includes the holder's photograph.</w:t>
      </w:r>
    </w:p>
    <w:p>
      <w:pPr>
        <w:pStyle w:val="ListParagraph"/>
        <w:numPr>
          <w:ilvl w:val="0"/>
          <w:numId w:val="2"/>
        </w:numPr>
        <w:spacing w:after="80"/>
      </w:pPr>
      <w:r>
        <w:rPr>
          <w:rFonts w:ascii="Arial" w:cs="Arial" w:eastAsia="Arial" w:hAnsi="Arial"/>
          <w:sz w:val="22"/>
          <w:szCs w:val="22"/>
        </w:rPr>
        <w:t xml:space="preserve">"Attestation pathway" means the alternative verification process for applicants who lack foundational identity documents.</w:t>
      </w:r>
    </w:p>
    <w:p>
      <w:pPr>
        <w:spacing w:after="120"/>
      </w:pPr>
    </w:p>
    <w:p>
      <w:pPr>
        <w:pStyle w:val="Heading3"/>
        <w:spacing w:before="240" w:after="120"/>
      </w:pPr>
      <w:r>
        <w:rPr>
          <w:rFonts w:ascii="Arial" w:cs="Arial" w:eastAsia="Arial" w:hAnsi="Arial"/>
        </w:rPr>
        <w:t xml:space="preserve">1.2 Territorial Scope</w:t>
      </w:r>
    </w:p>
    <w:p>
      <w:pPr>
        <w:spacing w:after="160"/>
      </w:pPr>
      <w:r>
        <w:rPr>
          <w:rFonts w:ascii="Arial" w:cs="Arial" w:eastAsia="Arial" w:hAnsi="Arial"/>
          <w:sz w:val="22"/>
          <w:szCs w:val="22"/>
        </w:rPr>
        <w:t xml:space="preserve">American Samoa is excluded from the definition of "State" because American Samoans are U.S. nationals, not citizens, and do not have federal voting rights. All other permanently inhabited U.S. territories are included with full program access.</w:t>
      </w:r>
    </w:p>
    <w:p>
      <w:pPr>
        <w:spacing w:after="120"/>
      </w:pPr>
    </w:p>
    <w:p>
      <w:pPr>
        <w:pStyle w:val="Heading2"/>
        <w:spacing w:before="300" w:after="150"/>
      </w:pPr>
      <w:r>
        <w:rPr>
          <w:rFonts w:ascii="Arial" w:cs="Arial" w:eastAsia="Arial" w:hAnsi="Arial"/>
        </w:rPr>
        <w:t xml:space="preserve">Section 2: Eligibility</w:t>
      </w:r>
    </w:p>
    <w:p>
      <w:pPr>
        <w:pStyle w:val="Heading3"/>
        <w:spacing w:before="240" w:after="120"/>
      </w:pPr>
      <w:r>
        <w:rPr>
          <w:rFonts w:ascii="Arial" w:cs="Arial" w:eastAsia="Arial" w:hAnsi="Arial"/>
        </w:rPr>
        <w:t xml:space="preserve">2.1 General Eligibility</w:t>
      </w:r>
    </w:p>
    <w:p>
      <w:pPr>
        <w:spacing w:after="160"/>
      </w:pPr>
      <w:r>
        <w:rPr>
          <w:rFonts w:ascii="Arial" w:cs="Arial" w:eastAsia="Arial" w:hAnsi="Arial"/>
          <w:sz w:val="22"/>
          <w:szCs w:val="22"/>
        </w:rPr>
        <w:t xml:space="preserve">An individual is eligible for identification under this program if the individual:</w:t>
      </w:r>
    </w:p>
    <w:p>
      <w:pPr>
        <w:pStyle w:val="ListParagraph"/>
        <w:numPr>
          <w:ilvl w:val="0"/>
          <w:numId w:val="3"/>
        </w:numPr>
        <w:spacing w:after="80"/>
      </w:pPr>
      <w:r>
        <w:rPr>
          <w:rFonts w:ascii="Arial" w:cs="Arial" w:eastAsia="Arial" w:hAnsi="Arial"/>
          <w:sz w:val="22"/>
          <w:szCs w:val="22"/>
        </w:rPr>
        <w:t xml:space="preserve">Is a citizen of the United States;</w:t>
      </w:r>
    </w:p>
    <w:p>
      <w:pPr>
        <w:pStyle w:val="ListParagraph"/>
        <w:numPr>
          <w:ilvl w:val="0"/>
          <w:numId w:val="3"/>
        </w:numPr>
        <w:spacing w:after="80"/>
      </w:pPr>
      <w:r>
        <w:rPr>
          <w:rFonts w:ascii="Arial" w:cs="Arial" w:eastAsia="Arial" w:hAnsi="Arial"/>
          <w:sz w:val="22"/>
          <w:szCs w:val="22"/>
        </w:rPr>
        <w:t xml:space="preserve">Is 18 years of age or older; and</w:t>
      </w:r>
    </w:p>
    <w:p>
      <w:pPr>
        <w:pStyle w:val="ListParagraph"/>
        <w:numPr>
          <w:ilvl w:val="0"/>
          <w:numId w:val="3"/>
        </w:numPr>
        <w:spacing w:after="80"/>
      </w:pPr>
      <w:r>
        <w:rPr>
          <w:rFonts w:ascii="Arial" w:cs="Arial" w:eastAsia="Arial" w:hAnsi="Arial"/>
          <w:sz w:val="22"/>
          <w:szCs w:val="22"/>
        </w:rPr>
        <w:t xml:space="preserve">Does not possess a valid government-issued photo identification document.</w:t>
      </w:r>
    </w:p>
    <w:p>
      <w:pPr>
        <w:spacing w:after="120"/>
      </w:pPr>
    </w:p>
    <w:p>
      <w:pPr>
        <w:pStyle w:val="Heading3"/>
        <w:spacing w:before="240" w:after="120"/>
      </w:pPr>
      <w:r>
        <w:rPr>
          <w:rFonts w:ascii="Arial" w:cs="Arial" w:eastAsia="Arial" w:hAnsi="Arial"/>
        </w:rPr>
        <w:t xml:space="preserve">2.2 Database Cross-Check</w:t>
      </w:r>
    </w:p>
    <w:p>
      <w:pPr>
        <w:spacing w:after="160"/>
      </w:pPr>
      <w:r>
        <w:rPr>
          <w:rFonts w:ascii="Arial" w:cs="Arial" w:eastAsia="Arial" w:hAnsi="Arial"/>
          <w:sz w:val="22"/>
          <w:szCs w:val="22"/>
        </w:rPr>
        <w:t xml:space="preserve">Prior to issuing identification under this program, the issuing agency shall query:</w:t>
      </w:r>
    </w:p>
    <w:p>
      <w:pPr>
        <w:pStyle w:val="ListParagraph"/>
        <w:numPr>
          <w:ilvl w:val="0"/>
          <w:numId w:val="3"/>
        </w:numPr>
        <w:spacing w:after="80"/>
      </w:pPr>
      <w:r>
        <w:rPr>
          <w:rFonts w:ascii="Arial" w:cs="Arial" w:eastAsia="Arial" w:hAnsi="Arial"/>
          <w:sz w:val="22"/>
          <w:szCs w:val="22"/>
        </w:rPr>
        <w:t xml:space="preserve">The applicant State's driver's license database;</w:t>
      </w:r>
    </w:p>
    <w:p>
      <w:pPr>
        <w:pStyle w:val="ListParagraph"/>
        <w:numPr>
          <w:ilvl w:val="0"/>
          <w:numId w:val="3"/>
        </w:numPr>
        <w:spacing w:after="80"/>
      </w:pPr>
      <w:r>
        <w:rPr>
          <w:rFonts w:ascii="Arial" w:cs="Arial" w:eastAsia="Arial" w:hAnsi="Arial"/>
          <w:sz w:val="22"/>
          <w:szCs w:val="22"/>
        </w:rPr>
        <w:t xml:space="preserve">The applicant State's non-driver identification database;</w:t>
      </w:r>
    </w:p>
    <w:p>
      <w:pPr>
        <w:pStyle w:val="ListParagraph"/>
        <w:numPr>
          <w:ilvl w:val="0"/>
          <w:numId w:val="3"/>
        </w:numPr>
        <w:spacing w:after="80"/>
      </w:pPr>
      <w:r>
        <w:rPr>
          <w:rFonts w:ascii="Arial" w:cs="Arial" w:eastAsia="Arial" w:hAnsi="Arial"/>
          <w:sz w:val="22"/>
          <w:szCs w:val="22"/>
        </w:rPr>
        <w:t xml:space="preserve">To the extent information-sharing agreements exist, databases of other States in which the applicant has resided within the preceding 10 years.</w:t>
      </w:r>
    </w:p>
    <w:p>
      <w:pPr>
        <w:spacing w:after="120"/>
      </w:pPr>
    </w:p>
    <w:p>
      <w:pPr>
        <w:spacing w:after="160"/>
      </w:pPr>
      <w:r>
        <w:rPr>
          <w:rFonts w:ascii="Arial" w:cs="Arial" w:eastAsia="Arial" w:hAnsi="Arial"/>
          <w:sz w:val="22"/>
          <w:szCs w:val="22"/>
        </w:rPr>
        <w:t xml:space="preserve">If the cross-check reveals a valid, unexpired government-issued photo identification document, the application shall be denied. The applicant shall be notified in writing of the denial and provided information on how to obtain a replacement of the existing document.</w:t>
      </w:r>
    </w:p>
    <w:p>
      <w:pPr>
        <w:spacing w:after="120"/>
      </w:pPr>
    </w:p>
    <w:p>
      <w:pPr>
        <w:pStyle w:val="Heading3"/>
        <w:spacing w:before="240" w:after="120"/>
      </w:pPr>
      <w:r>
        <w:rPr>
          <w:rFonts w:ascii="Arial" w:cs="Arial" w:eastAsia="Arial" w:hAnsi="Arial"/>
        </w:rPr>
        <w:t xml:space="preserve">2.3 Expired or Suspended Documents</w:t>
      </w:r>
    </w:p>
    <w:p>
      <w:pPr>
        <w:spacing w:after="160"/>
      </w:pPr>
      <w:r>
        <w:rPr>
          <w:rFonts w:ascii="Arial" w:cs="Arial" w:eastAsia="Arial" w:hAnsi="Arial"/>
          <w:sz w:val="22"/>
          <w:szCs w:val="22"/>
        </w:rPr>
        <w:t xml:space="preserve">An applicant whose existing identification is expired may be eligible if renewal is not reasonably available due to documentation barriers. An applicant whose driver's license is suspended for non-driving reasons (unpaid fines, child support) remains eligible, as such suspension does not provide valid identification for voting purposes.</w:t>
      </w:r>
    </w:p>
    <w:p>
      <w:pPr>
        <w:spacing w:after="120"/>
      </w:pPr>
    </w:p>
    <w:p>
      <w:pPr>
        <w:pStyle w:val="Heading3"/>
        <w:spacing w:before="240" w:after="120"/>
      </w:pPr>
      <w:r>
        <w:rPr>
          <w:rFonts w:ascii="Arial" w:cs="Arial" w:eastAsia="Arial" w:hAnsi="Arial"/>
        </w:rPr>
        <w:t xml:space="preserve">2.4 Self-Attestation</w:t>
      </w:r>
    </w:p>
    <w:p>
      <w:pPr>
        <w:spacing w:after="160"/>
      </w:pPr>
      <w:r>
        <w:rPr>
          <w:rFonts w:ascii="Arial" w:cs="Arial" w:eastAsia="Arial" w:hAnsi="Arial"/>
          <w:sz w:val="22"/>
          <w:szCs w:val="22"/>
        </w:rPr>
        <w:t xml:space="preserve">Applicants shall attest under penalty of perjury that they do not possess a valid government-issued photo identification document. False attestation shall be punishable under the fraud penalties section of this program.</w:t>
      </w:r>
    </w:p>
    <w:p>
      <w:r>
        <w:br w:type="page"/>
      </w:r>
    </w:p>
    <w:p>
      <w:pPr>
        <w:pStyle w:val="Heading1"/>
        <w:spacing w:before="400" w:after="200"/>
      </w:pPr>
      <w:r>
        <w:rPr>
          <w:rFonts w:ascii="Arial" w:cs="Arial" w:eastAsia="Arial" w:hAnsi="Arial"/>
        </w:rPr>
        <w:t xml:space="preserve">Part II: Verification Pathways</w:t>
      </w:r>
    </w:p>
    <w:p>
      <w:pPr>
        <w:pStyle w:val="Heading2"/>
        <w:spacing w:before="300" w:after="150"/>
      </w:pPr>
      <w:r>
        <w:rPr>
          <w:rFonts w:ascii="Arial" w:cs="Arial" w:eastAsia="Arial" w:hAnsi="Arial"/>
        </w:rPr>
        <w:t xml:space="preserve">Section 3: Standard Verification</w:t>
      </w:r>
    </w:p>
    <w:p>
      <w:pPr>
        <w:pStyle w:val="Heading3"/>
        <w:spacing w:before="240" w:after="120"/>
      </w:pPr>
      <w:r>
        <w:rPr>
          <w:rFonts w:ascii="Arial" w:cs="Arial" w:eastAsia="Arial" w:hAnsi="Arial"/>
        </w:rPr>
        <w:t xml:space="preserve">3.1 Citizenship Verification</w:t>
      </w:r>
    </w:p>
    <w:p>
      <w:pPr>
        <w:spacing w:after="160"/>
      </w:pPr>
      <w:r>
        <w:rPr>
          <w:rFonts w:ascii="Arial" w:cs="Arial" w:eastAsia="Arial" w:hAnsi="Arial"/>
          <w:sz w:val="22"/>
          <w:szCs w:val="22"/>
        </w:rPr>
        <w:t xml:space="preserve">Citizenship shall be verified through one or more of the following:</w:t>
      </w:r>
    </w:p>
    <w:p>
      <w:pPr>
        <w:pStyle w:val="ListParagraph"/>
        <w:numPr>
          <w:ilvl w:val="0"/>
          <w:numId w:val="2"/>
        </w:numPr>
        <w:spacing w:after="80"/>
      </w:pPr>
      <w:r>
        <w:rPr>
          <w:rFonts w:ascii="Arial" w:cs="Arial" w:eastAsia="Arial" w:hAnsi="Arial"/>
          <w:sz w:val="22"/>
          <w:szCs w:val="22"/>
        </w:rPr>
        <w:t xml:space="preserve">Birth certificate issued by a State vital records office</w:t>
      </w:r>
    </w:p>
    <w:p>
      <w:pPr>
        <w:pStyle w:val="ListParagraph"/>
        <w:numPr>
          <w:ilvl w:val="0"/>
          <w:numId w:val="2"/>
        </w:numPr>
        <w:spacing w:after="80"/>
      </w:pPr>
      <w:r>
        <w:rPr>
          <w:rFonts w:ascii="Arial" w:cs="Arial" w:eastAsia="Arial" w:hAnsi="Arial"/>
          <w:sz w:val="22"/>
          <w:szCs w:val="22"/>
        </w:rPr>
        <w:t xml:space="preserve">U.S. passport or passport card</w:t>
      </w:r>
    </w:p>
    <w:p>
      <w:pPr>
        <w:pStyle w:val="ListParagraph"/>
        <w:numPr>
          <w:ilvl w:val="0"/>
          <w:numId w:val="2"/>
        </w:numPr>
        <w:spacing w:after="80"/>
      </w:pPr>
      <w:r>
        <w:rPr>
          <w:rFonts w:ascii="Arial" w:cs="Arial" w:eastAsia="Arial" w:hAnsi="Arial"/>
          <w:sz w:val="22"/>
          <w:szCs w:val="22"/>
        </w:rPr>
        <w:t xml:space="preserve">Certificate of naturalization</w:t>
      </w:r>
    </w:p>
    <w:p>
      <w:pPr>
        <w:pStyle w:val="ListParagraph"/>
        <w:numPr>
          <w:ilvl w:val="0"/>
          <w:numId w:val="2"/>
        </w:numPr>
        <w:spacing w:after="80"/>
      </w:pPr>
      <w:r>
        <w:rPr>
          <w:rFonts w:ascii="Arial" w:cs="Arial" w:eastAsia="Arial" w:hAnsi="Arial"/>
          <w:sz w:val="22"/>
          <w:szCs w:val="22"/>
        </w:rPr>
        <w:t xml:space="preserve">Certificate of citizenship</w:t>
      </w:r>
    </w:p>
    <w:p>
      <w:pPr>
        <w:pStyle w:val="ListParagraph"/>
        <w:numPr>
          <w:ilvl w:val="0"/>
          <w:numId w:val="2"/>
        </w:numPr>
        <w:spacing w:after="80"/>
      </w:pPr>
      <w:r>
        <w:rPr>
          <w:rFonts w:ascii="Arial" w:cs="Arial" w:eastAsia="Arial" w:hAnsi="Arial"/>
          <w:sz w:val="22"/>
          <w:szCs w:val="22"/>
        </w:rPr>
        <w:t xml:space="preserve">Consular Report of Birth Abroad</w:t>
      </w:r>
    </w:p>
    <w:p>
      <w:pPr>
        <w:pStyle w:val="ListParagraph"/>
        <w:numPr>
          <w:ilvl w:val="0"/>
          <w:numId w:val="2"/>
        </w:numPr>
        <w:spacing w:after="80"/>
      </w:pPr>
      <w:r>
        <w:rPr>
          <w:rFonts w:ascii="Arial" w:cs="Arial" w:eastAsia="Arial" w:hAnsi="Arial"/>
          <w:sz w:val="22"/>
          <w:szCs w:val="22"/>
        </w:rPr>
        <w:t xml:space="preserve">Social Security Administration records indicating citizenship status</w:t>
      </w:r>
    </w:p>
    <w:p>
      <w:pPr>
        <w:spacing w:after="120"/>
      </w:pPr>
    </w:p>
    <w:p>
      <w:pPr>
        <w:pStyle w:val="Heading3"/>
        <w:spacing w:before="240" w:after="120"/>
      </w:pPr>
      <w:r>
        <w:rPr>
          <w:rFonts w:ascii="Arial" w:cs="Arial" w:eastAsia="Arial" w:hAnsi="Arial"/>
        </w:rPr>
        <w:t xml:space="preserve">3.2 Identity Verification</w:t>
      </w:r>
    </w:p>
    <w:p>
      <w:pPr>
        <w:spacing w:after="160"/>
      </w:pPr>
      <w:r>
        <w:rPr>
          <w:rFonts w:ascii="Arial" w:cs="Arial" w:eastAsia="Arial" w:hAnsi="Arial"/>
          <w:sz w:val="22"/>
          <w:szCs w:val="22"/>
        </w:rPr>
        <w:t xml:space="preserve">Identity shall be verified through cross-reference of applicant-provided information with government databases, including Social Security Administration records, State vital records, and other federal databases as appropriate.</w:t>
      </w:r>
    </w:p>
    <w:p>
      <w:pPr>
        <w:spacing w:after="120"/>
      </w:pPr>
    </w:p>
    <w:p>
      <w:pPr>
        <w:pStyle w:val="Heading2"/>
        <w:spacing w:before="300" w:after="150"/>
      </w:pPr>
      <w:r>
        <w:rPr>
          <w:rFonts w:ascii="Arial" w:cs="Arial" w:eastAsia="Arial" w:hAnsi="Arial"/>
        </w:rPr>
        <w:t xml:space="preserve">Section 4: Attestation Pathway</w:t>
      </w:r>
    </w:p>
    <w:p>
      <w:pPr>
        <w:pStyle w:val="Heading3"/>
        <w:spacing w:before="240" w:after="120"/>
      </w:pPr>
      <w:r>
        <w:rPr>
          <w:rFonts w:ascii="Arial" w:cs="Arial" w:eastAsia="Arial" w:hAnsi="Arial"/>
        </w:rPr>
        <w:t xml:space="preserve">4.1 Eligibility for Attestation</w:t>
      </w:r>
    </w:p>
    <w:p>
      <w:pPr>
        <w:spacing w:after="160"/>
      </w:pPr>
      <w:r>
        <w:rPr>
          <w:rFonts w:ascii="Arial" w:cs="Arial" w:eastAsia="Arial" w:hAnsi="Arial"/>
          <w:sz w:val="22"/>
          <w:szCs w:val="22"/>
        </w:rPr>
        <w:t xml:space="preserve">The attestation pathway shall be available to applicants who:</w:t>
      </w:r>
    </w:p>
    <w:p>
      <w:pPr>
        <w:pStyle w:val="ListParagraph"/>
        <w:numPr>
          <w:ilvl w:val="0"/>
          <w:numId w:val="3"/>
        </w:numPr>
        <w:spacing w:after="80"/>
      </w:pPr>
      <w:r>
        <w:rPr>
          <w:rFonts w:ascii="Arial" w:cs="Arial" w:eastAsia="Arial" w:hAnsi="Arial"/>
          <w:sz w:val="22"/>
          <w:szCs w:val="22"/>
        </w:rPr>
        <w:t xml:space="preserve">Were born before January 1, 1965, in a State or territory of the United States, and for whom no birth certificate was ever issued by any State vital records office; or</w:t>
      </w:r>
    </w:p>
    <w:p>
      <w:pPr>
        <w:pStyle w:val="ListParagraph"/>
        <w:numPr>
          <w:ilvl w:val="0"/>
          <w:numId w:val="3"/>
        </w:numPr>
        <w:spacing w:after="80"/>
      </w:pPr>
      <w:r>
        <w:rPr>
          <w:rFonts w:ascii="Arial" w:cs="Arial" w:eastAsia="Arial" w:hAnsi="Arial"/>
          <w:sz w:val="22"/>
          <w:szCs w:val="22"/>
        </w:rPr>
        <w:t xml:space="preserve">Were born outside the United States to a parent who was a United States citizen at the time of the applicant's birth, and for whom no Consular Report of Birth Abroad was filed with the Department of State.</w:t>
      </w:r>
    </w:p>
    <w:p>
      <w:pPr>
        <w:spacing w:after="120"/>
      </w:pPr>
    </w:p>
    <w:p>
      <w:pPr>
        <w:pStyle w:val="Heading3"/>
        <w:spacing w:before="240" w:after="120"/>
      </w:pPr>
      <w:r>
        <w:rPr>
          <w:rFonts w:ascii="Arial" w:cs="Arial" w:eastAsia="Arial" w:hAnsi="Arial"/>
        </w:rPr>
        <w:t xml:space="preserve">4.2 Attestation Requirements</w:t>
      </w:r>
    </w:p>
    <w:p>
      <w:pPr>
        <w:spacing w:after="160"/>
      </w:pPr>
      <w:r>
        <w:rPr>
          <w:rFonts w:ascii="Arial" w:cs="Arial" w:eastAsia="Arial" w:hAnsi="Arial"/>
          <w:sz w:val="22"/>
          <w:szCs w:val="22"/>
        </w:rPr>
        <w:t xml:space="preserve">An applicant under the attestation pathway shall provide:</w:t>
      </w:r>
    </w:p>
    <w:p>
      <w:pPr>
        <w:pStyle w:val="ListParagraph"/>
        <w:numPr>
          <w:ilvl w:val="0"/>
          <w:numId w:val="3"/>
        </w:numPr>
        <w:spacing w:after="80"/>
      </w:pPr>
      <w:r>
        <w:rPr>
          <w:rFonts w:ascii="Arial" w:cs="Arial" w:eastAsia="Arial" w:hAnsi="Arial"/>
          <w:sz w:val="22"/>
          <w:szCs w:val="22"/>
        </w:rPr>
        <w:t xml:space="preserve">A sworn affidavit, under penalty of perjury, attesting to the applicant's claim of citizenship and the circumstances of birth;</w:t>
      </w:r>
    </w:p>
    <w:p>
      <w:pPr>
        <w:pStyle w:val="ListParagraph"/>
        <w:numPr>
          <w:ilvl w:val="0"/>
          <w:numId w:val="3"/>
        </w:numPr>
        <w:spacing w:after="80"/>
      </w:pPr>
      <w:r>
        <w:rPr>
          <w:rFonts w:ascii="Arial" w:cs="Arial" w:eastAsia="Arial" w:hAnsi="Arial"/>
          <w:sz w:val="22"/>
          <w:szCs w:val="22"/>
        </w:rPr>
        <w:t xml:space="preserve">Corroborating evidence from at least one of the following sources:</w:t>
      </w:r>
    </w:p>
    <w:p>
      <w:pPr>
        <w:pStyle w:val="ListParagraph"/>
        <w:numPr>
          <w:ilvl w:val="0"/>
          <w:numId w:val="2"/>
        </w:numPr>
        <w:spacing w:after="80"/>
      </w:pPr>
      <w:r>
        <w:rPr>
          <w:rFonts w:ascii="Arial" w:cs="Arial" w:eastAsia="Arial" w:hAnsi="Arial"/>
          <w:sz w:val="22"/>
          <w:szCs w:val="22"/>
        </w:rPr>
        <w:t xml:space="preserve">Social Security Administration records reflecting a date of birth and citizenship status</w:t>
      </w:r>
    </w:p>
    <w:p>
      <w:pPr>
        <w:pStyle w:val="ListParagraph"/>
        <w:numPr>
          <w:ilvl w:val="0"/>
          <w:numId w:val="2"/>
        </w:numPr>
        <w:spacing w:after="80"/>
      </w:pPr>
      <w:r>
        <w:rPr>
          <w:rFonts w:ascii="Arial" w:cs="Arial" w:eastAsia="Arial" w:hAnsi="Arial"/>
          <w:sz w:val="22"/>
          <w:szCs w:val="22"/>
        </w:rPr>
        <w:t xml:space="preserve">Census records</w:t>
      </w:r>
    </w:p>
    <w:p>
      <w:pPr>
        <w:pStyle w:val="ListParagraph"/>
        <w:numPr>
          <w:ilvl w:val="0"/>
          <w:numId w:val="2"/>
        </w:numPr>
        <w:spacing w:after="80"/>
      </w:pPr>
      <w:r>
        <w:rPr>
          <w:rFonts w:ascii="Arial" w:cs="Arial" w:eastAsia="Arial" w:hAnsi="Arial"/>
          <w:sz w:val="22"/>
          <w:szCs w:val="22"/>
        </w:rPr>
        <w:t xml:space="preserve">School enrollment records</w:t>
      </w:r>
    </w:p>
    <w:p>
      <w:pPr>
        <w:pStyle w:val="ListParagraph"/>
        <w:numPr>
          <w:ilvl w:val="0"/>
          <w:numId w:val="2"/>
        </w:numPr>
        <w:spacing w:after="80"/>
      </w:pPr>
      <w:r>
        <w:rPr>
          <w:rFonts w:ascii="Arial" w:cs="Arial" w:eastAsia="Arial" w:hAnsi="Arial"/>
          <w:sz w:val="22"/>
          <w:szCs w:val="22"/>
        </w:rPr>
        <w:t xml:space="preserve">Church baptismal or membership records</w:t>
      </w:r>
    </w:p>
    <w:p>
      <w:pPr>
        <w:pStyle w:val="ListParagraph"/>
        <w:numPr>
          <w:ilvl w:val="0"/>
          <w:numId w:val="2"/>
        </w:numPr>
        <w:spacing w:after="80"/>
      </w:pPr>
      <w:r>
        <w:rPr>
          <w:rFonts w:ascii="Arial" w:cs="Arial" w:eastAsia="Arial" w:hAnsi="Arial"/>
          <w:sz w:val="22"/>
          <w:szCs w:val="22"/>
        </w:rPr>
        <w:t xml:space="preserve">Hospital records (for domestic birth claims)</w:t>
      </w:r>
    </w:p>
    <w:p>
      <w:pPr>
        <w:pStyle w:val="ListParagraph"/>
        <w:numPr>
          <w:ilvl w:val="0"/>
          <w:numId w:val="2"/>
        </w:numPr>
        <w:spacing w:after="80"/>
      </w:pPr>
      <w:r>
        <w:rPr>
          <w:rFonts w:ascii="Arial" w:cs="Arial" w:eastAsia="Arial" w:hAnsi="Arial"/>
          <w:sz w:val="22"/>
          <w:szCs w:val="22"/>
        </w:rPr>
        <w:t xml:space="preserve">Military personnel or dependent records (for foreign birth claims)</w:t>
      </w:r>
    </w:p>
    <w:p>
      <w:pPr>
        <w:pStyle w:val="ListParagraph"/>
        <w:numPr>
          <w:ilvl w:val="0"/>
          <w:numId w:val="2"/>
        </w:numPr>
        <w:spacing w:after="80"/>
      </w:pPr>
      <w:r>
        <w:rPr>
          <w:rFonts w:ascii="Arial" w:cs="Arial" w:eastAsia="Arial" w:hAnsi="Arial"/>
          <w:sz w:val="22"/>
          <w:szCs w:val="22"/>
        </w:rPr>
        <w:t xml:space="preserve">Passport records of the U.S. citizen parent (for foreign birth claims)</w:t>
      </w:r>
    </w:p>
    <w:p>
      <w:pPr>
        <w:pStyle w:val="ListParagraph"/>
        <w:numPr>
          <w:ilvl w:val="0"/>
          <w:numId w:val="2"/>
        </w:numPr>
        <w:spacing w:after="80"/>
      </w:pPr>
      <w:r>
        <w:rPr>
          <w:rFonts w:ascii="Arial" w:cs="Arial" w:eastAsia="Arial" w:hAnsi="Arial"/>
          <w:sz w:val="22"/>
          <w:szCs w:val="22"/>
        </w:rPr>
        <w:t xml:space="preserve">Signed statements from two United States citizens who have known the applicant for at least 20 years</w:t>
      </w:r>
    </w:p>
    <w:p>
      <w:pPr>
        <w:spacing w:after="120"/>
      </w:pPr>
    </w:p>
    <w:p>
      <w:pPr>
        <w:pStyle w:val="Heading3"/>
        <w:spacing w:before="240" w:after="120"/>
      </w:pPr>
      <w:r>
        <w:rPr>
          <w:rFonts w:ascii="Arial" w:cs="Arial" w:eastAsia="Arial" w:hAnsi="Arial"/>
        </w:rPr>
        <w:t xml:space="preserve">4.3 Citizenship Verification for Attestation</w:t>
      </w:r>
    </w:p>
    <w:p>
      <w:pPr>
        <w:spacing w:after="160"/>
      </w:pPr>
      <w:r>
        <w:rPr>
          <w:rFonts w:ascii="Arial" w:cs="Arial" w:eastAsia="Arial" w:hAnsi="Arial"/>
          <w:sz w:val="22"/>
          <w:szCs w:val="22"/>
        </w:rPr>
        <w:t xml:space="preserve">For domestic birth attestation claims, the issuing agency shall verify that:</w:t>
      </w:r>
    </w:p>
    <w:p>
      <w:pPr>
        <w:pStyle w:val="ListParagraph"/>
        <w:numPr>
          <w:ilvl w:val="0"/>
          <w:numId w:val="2"/>
        </w:numPr>
        <w:spacing w:after="80"/>
      </w:pPr>
      <w:r>
        <w:rPr>
          <w:rFonts w:ascii="Arial" w:cs="Arial" w:eastAsia="Arial" w:hAnsi="Arial"/>
          <w:sz w:val="22"/>
          <w:szCs w:val="22"/>
        </w:rPr>
        <w:t xml:space="preserve">The applicant's Social Security number was issued before 1972; OR</w:t>
      </w:r>
    </w:p>
    <w:p>
      <w:pPr>
        <w:pStyle w:val="ListParagraph"/>
        <w:numPr>
          <w:ilvl w:val="0"/>
          <w:numId w:val="2"/>
        </w:numPr>
        <w:spacing w:after="80"/>
      </w:pPr>
      <w:r>
        <w:rPr>
          <w:rFonts w:ascii="Arial" w:cs="Arial" w:eastAsia="Arial" w:hAnsi="Arial"/>
          <w:sz w:val="22"/>
          <w:szCs w:val="22"/>
        </w:rPr>
        <w:t xml:space="preserve">The applicant has 40 or more years of continuous Social Security Administration history.</w:t>
      </w:r>
    </w:p>
    <w:p>
      <w:pPr>
        <w:spacing w:after="120"/>
      </w:pPr>
    </w:p>
    <w:p>
      <w:pPr>
        <w:spacing w:after="160"/>
      </w:pPr>
      <w:r>
        <w:rPr>
          <w:rFonts w:ascii="Arial" w:cs="Arial" w:eastAsia="Arial" w:hAnsi="Arial"/>
          <w:sz w:val="22"/>
          <w:szCs w:val="22"/>
        </w:rPr>
        <w:t xml:space="preserve">For foreign birth attestation claims, the issuing agency shall verify that at least one parent was a United States citizen at the time of the applicant's birth and met the physical presence requirements for transmission of citizenship under the applicable law in effect at the time of birth.</w:t>
      </w:r>
    </w:p>
    <w:p>
      <w:pPr>
        <w:spacing w:after="120"/>
      </w:pPr>
    </w:p>
    <w:p>
      <w:pPr>
        <w:pStyle w:val="Heading3"/>
        <w:spacing w:before="240" w:after="120"/>
      </w:pPr>
      <w:r>
        <w:rPr>
          <w:rFonts w:ascii="Arial" w:cs="Arial" w:eastAsia="Arial" w:hAnsi="Arial"/>
        </w:rPr>
        <w:t xml:space="preserve">4.4 Exclusions from Attestation</w:t>
      </w:r>
    </w:p>
    <w:p>
      <w:pPr>
        <w:spacing w:after="160"/>
      </w:pPr>
      <w:r>
        <w:rPr>
          <w:rFonts w:ascii="Arial" w:cs="Arial" w:eastAsia="Arial" w:hAnsi="Arial"/>
          <w:sz w:val="22"/>
          <w:szCs w:val="22"/>
        </w:rPr>
        <w:t xml:space="preserve">The attestation pathway shall not be available to:</w:t>
      </w:r>
    </w:p>
    <w:p>
      <w:pPr>
        <w:pStyle w:val="ListParagraph"/>
        <w:numPr>
          <w:ilvl w:val="0"/>
          <w:numId w:val="2"/>
        </w:numPr>
        <w:spacing w:after="80"/>
      </w:pPr>
      <w:r>
        <w:rPr>
          <w:rFonts w:ascii="Arial" w:cs="Arial" w:eastAsia="Arial" w:hAnsi="Arial"/>
          <w:sz w:val="22"/>
          <w:szCs w:val="22"/>
        </w:rPr>
        <w:t xml:space="preserve">Naturalized citizens, who may obtain replacement naturalization certificates through the Department of Homeland Security; or</w:t>
      </w:r>
    </w:p>
    <w:p>
      <w:pPr>
        <w:pStyle w:val="ListParagraph"/>
        <w:numPr>
          <w:ilvl w:val="0"/>
          <w:numId w:val="2"/>
        </w:numPr>
        <w:spacing w:after="80"/>
      </w:pPr>
      <w:r>
        <w:rPr>
          <w:rFonts w:ascii="Arial" w:cs="Arial" w:eastAsia="Arial" w:hAnsi="Arial"/>
          <w:sz w:val="22"/>
          <w:szCs w:val="22"/>
        </w:rPr>
        <w:t xml:space="preserve">Applicants for whom a birth certificate, Consular Report of Birth Abroad, or naturalization certificate was issued but subsequently lost, destroyed, or is otherwise unavailable, who may obtain replacement documents through the issuing agency.</w:t>
      </w:r>
    </w:p>
    <w:p>
      <w:pPr>
        <w:spacing w:after="120"/>
      </w:pPr>
    </w:p>
    <w:p>
      <w:pPr>
        <w:spacing w:after="160"/>
      </w:pPr>
      <w:r>
        <w:rPr>
          <w:rFonts w:ascii="Arial" w:cs="Arial" w:eastAsia="Arial" w:hAnsi="Arial"/>
          <w:i/>
          <w:iCs/>
          <w:sz w:val="22"/>
          <w:szCs w:val="22"/>
        </w:rPr>
        <w:t xml:space="preserve">Principle: Attestation is for documents that never existed, not documents that existed and were lost.</w:t>
      </w:r>
    </w:p>
    <w:p>
      <w:pPr>
        <w:spacing w:after="120"/>
      </w:pPr>
    </w:p>
    <w:p>
      <w:pPr>
        <w:pStyle w:val="Heading3"/>
        <w:spacing w:before="240" w:after="120"/>
      </w:pPr>
      <w:r>
        <w:rPr>
          <w:rFonts w:ascii="Arial" w:cs="Arial" w:eastAsia="Arial" w:hAnsi="Arial"/>
        </w:rPr>
        <w:t xml:space="preserve">4.5 Attestation Pathway Sunset</w:t>
      </w:r>
    </w:p>
    <w:p>
      <w:pPr>
        <w:spacing w:after="160"/>
      </w:pPr>
      <w:r>
        <w:rPr>
          <w:rFonts w:ascii="Arial" w:cs="Arial" w:eastAsia="Arial" w:hAnsi="Arial"/>
          <w:sz w:val="22"/>
          <w:szCs w:val="22"/>
        </w:rPr>
        <w:t xml:space="preserve">The attestation pathway for domestic births shall close on December 31, 2045, as the affected population ages out of the electorate.</w:t>
      </w:r>
    </w:p>
    <w:p>
      <w:r>
        <w:br w:type="page"/>
      </w:r>
    </w:p>
    <w:p>
      <w:pPr>
        <w:pStyle w:val="Heading1"/>
        <w:spacing w:before="400" w:after="200"/>
      </w:pPr>
      <w:r>
        <w:rPr>
          <w:rFonts w:ascii="Arial" w:cs="Arial" w:eastAsia="Arial" w:hAnsi="Arial"/>
        </w:rPr>
        <w:t xml:space="preserve">Part III: Territorial Provisions</w:t>
      </w:r>
    </w:p>
    <w:p>
      <w:pPr>
        <w:pStyle w:val="Heading2"/>
        <w:spacing w:before="300" w:after="150"/>
      </w:pPr>
      <w:r>
        <w:rPr>
          <w:rFonts w:ascii="Arial" w:cs="Arial" w:eastAsia="Arial" w:hAnsi="Arial"/>
        </w:rPr>
        <w:t xml:space="preserve">Section 5: Expanded Attestation for Territories</w:t>
      </w:r>
    </w:p>
    <w:p>
      <w:pPr>
        <w:pStyle w:val="Heading3"/>
        <w:spacing w:before="240" w:after="120"/>
      </w:pPr>
      <w:r>
        <w:rPr>
          <w:rFonts w:ascii="Arial" w:cs="Arial" w:eastAsia="Arial" w:hAnsi="Arial"/>
        </w:rPr>
        <w:t xml:space="preserve">5.1 Mass Records Destruction</w:t>
      </w:r>
    </w:p>
    <w:p>
      <w:pPr>
        <w:spacing w:after="160"/>
      </w:pPr>
      <w:r>
        <w:rPr>
          <w:rFonts w:ascii="Arial" w:cs="Arial" w:eastAsia="Arial" w:hAnsi="Arial"/>
          <w:sz w:val="22"/>
          <w:szCs w:val="22"/>
        </w:rPr>
        <w:t xml:space="preserve">In recognition of unique historical circumstances affecting documentary evidence in U.S. territories, the attestation pathway shall include expanded eligibility for:</w:t>
      </w:r>
    </w:p>
    <w:p>
      <w:pPr>
        <w:spacing w:after="120"/>
      </w:pPr>
    </w:p>
    <w:p>
      <w:pPr>
        <w:spacing w:after="160"/>
      </w:pPr>
      <w:r>
        <w:rPr>
          <w:rFonts w:ascii="Arial" w:cs="Arial" w:eastAsia="Arial" w:hAnsi="Arial"/>
          <w:b/>
          <w:bCs/>
          <w:sz w:val="22"/>
          <w:szCs w:val="22"/>
        </w:rPr>
        <w:t xml:space="preserve">Guam: </w:t>
      </w:r>
      <w:r>
        <w:rPr>
          <w:rFonts w:ascii="Arial" w:cs="Arial" w:eastAsia="Arial" w:hAnsi="Arial"/>
          <w:sz w:val="22"/>
          <w:szCs w:val="22"/>
        </w:rPr>
        <w:t xml:space="preserve">Births before January 1, 1950, where vital records were destroyed during World War II occupation.</w:t>
      </w:r>
    </w:p>
    <w:p>
      <w:pPr>
        <w:spacing w:after="120"/>
      </w:pPr>
    </w:p>
    <w:p>
      <w:pPr>
        <w:spacing w:after="160"/>
      </w:pPr>
      <w:r>
        <w:rPr>
          <w:rFonts w:ascii="Arial" w:cs="Arial" w:eastAsia="Arial" w:hAnsi="Arial"/>
          <w:b/>
          <w:bCs/>
          <w:sz w:val="22"/>
          <w:szCs w:val="22"/>
        </w:rPr>
        <w:t xml:space="preserve">Puerto Rico and U.S. Virgin Islands: </w:t>
      </w:r>
      <w:r>
        <w:rPr>
          <w:rFonts w:ascii="Arial" w:cs="Arial" w:eastAsia="Arial" w:hAnsi="Arial"/>
          <w:sz w:val="22"/>
          <w:szCs w:val="22"/>
        </w:rPr>
        <w:t xml:space="preserve">Births before January 1, 2010, where the applicant demonstrates that obtaining replacement documentation presents undue hardship due to:</w:t>
      </w:r>
    </w:p>
    <w:p>
      <w:pPr>
        <w:pStyle w:val="ListParagraph"/>
        <w:numPr>
          <w:ilvl w:val="0"/>
          <w:numId w:val="2"/>
        </w:numPr>
        <w:spacing w:after="80"/>
      </w:pPr>
      <w:r>
        <w:rPr>
          <w:rFonts w:ascii="Arial" w:cs="Arial" w:eastAsia="Arial" w:hAnsi="Arial"/>
          <w:sz w:val="22"/>
          <w:szCs w:val="22"/>
        </w:rPr>
        <w:t xml:space="preserve">The 2010 Puerto Rico birth certificate invalidation requiring all certificates to be reissued;</w:t>
      </w:r>
    </w:p>
    <w:p>
      <w:pPr>
        <w:pStyle w:val="ListParagraph"/>
        <w:numPr>
          <w:ilvl w:val="0"/>
          <w:numId w:val="2"/>
        </w:numPr>
        <w:spacing w:after="80"/>
      </w:pPr>
      <w:r>
        <w:rPr>
          <w:rFonts w:ascii="Arial" w:cs="Arial" w:eastAsia="Arial" w:hAnsi="Arial"/>
          <w:sz w:val="22"/>
          <w:szCs w:val="22"/>
        </w:rPr>
        <w:t xml:space="preserve">Hurricane Maria (2017) and related disasters destroying personal and governmental records;</w:t>
      </w:r>
    </w:p>
    <w:p>
      <w:pPr>
        <w:pStyle w:val="ListParagraph"/>
        <w:numPr>
          <w:ilvl w:val="0"/>
          <w:numId w:val="2"/>
        </w:numPr>
        <w:spacing w:after="80"/>
      </w:pPr>
      <w:r>
        <w:rPr>
          <w:rFonts w:ascii="Arial" w:cs="Arial" w:eastAsia="Arial" w:hAnsi="Arial"/>
          <w:sz w:val="22"/>
          <w:szCs w:val="22"/>
        </w:rPr>
        <w:t xml:space="preserve">Continuing strain on territorial vital records systems.</w:t>
      </w:r>
    </w:p>
    <w:p>
      <w:pPr>
        <w:spacing w:after="120"/>
      </w:pPr>
    </w:p>
    <w:p>
      <w:pPr>
        <w:spacing w:after="160"/>
      </w:pPr>
      <w:r>
        <w:rPr>
          <w:rFonts w:ascii="Arial" w:cs="Arial" w:eastAsia="Arial" w:hAnsi="Arial"/>
          <w:b/>
          <w:bCs/>
          <w:sz w:val="22"/>
          <w:szCs w:val="22"/>
        </w:rPr>
        <w:t xml:space="preserve">Commonwealth of the Northern Mariana Islands: </w:t>
      </w:r>
      <w:r>
        <w:rPr>
          <w:rFonts w:ascii="Arial" w:cs="Arial" w:eastAsia="Arial" w:hAnsi="Arial"/>
          <w:sz w:val="22"/>
          <w:szCs w:val="22"/>
        </w:rPr>
        <w:t xml:space="preserve">Births before November 4, 1986 (the effective date of the Covenant), where pre-Covenant documentation is unavailable or incomplete.</w:t>
      </w:r>
    </w:p>
    <w:p>
      <w:pPr>
        <w:spacing w:after="120"/>
      </w:pPr>
    </w:p>
    <w:p>
      <w:pPr>
        <w:pStyle w:val="Heading3"/>
        <w:spacing w:before="240" w:after="120"/>
      </w:pPr>
      <w:r>
        <w:rPr>
          <w:rFonts w:ascii="Arial" w:cs="Arial" w:eastAsia="Arial" w:hAnsi="Arial"/>
        </w:rPr>
        <w:t xml:space="preserve">5.2 Evidence for Territorial Attestation</w:t>
      </w:r>
    </w:p>
    <w:p>
      <w:pPr>
        <w:spacing w:after="160"/>
      </w:pPr>
      <w:r>
        <w:rPr>
          <w:rFonts w:ascii="Arial" w:cs="Arial" w:eastAsia="Arial" w:hAnsi="Arial"/>
          <w:sz w:val="22"/>
          <w:szCs w:val="22"/>
        </w:rPr>
        <w:t xml:space="preserve">Applicants under territorial expanded attestation may provide as corroborating evidence:</w:t>
      </w:r>
    </w:p>
    <w:p>
      <w:pPr>
        <w:pStyle w:val="ListParagraph"/>
        <w:numPr>
          <w:ilvl w:val="0"/>
          <w:numId w:val="2"/>
        </w:numPr>
        <w:spacing w:after="80"/>
      </w:pPr>
      <w:r>
        <w:rPr>
          <w:rFonts w:ascii="Arial" w:cs="Arial" w:eastAsia="Arial" w:hAnsi="Arial"/>
          <w:sz w:val="22"/>
          <w:szCs w:val="22"/>
        </w:rPr>
        <w:t xml:space="preserve">FEMA disaster assistance records</w:t>
      </w:r>
    </w:p>
    <w:p>
      <w:pPr>
        <w:pStyle w:val="ListParagraph"/>
        <w:numPr>
          <w:ilvl w:val="0"/>
          <w:numId w:val="2"/>
        </w:numPr>
        <w:spacing w:after="80"/>
      </w:pPr>
      <w:r>
        <w:rPr>
          <w:rFonts w:ascii="Arial" w:cs="Arial" w:eastAsia="Arial" w:hAnsi="Arial"/>
          <w:sz w:val="22"/>
          <w:szCs w:val="22"/>
        </w:rPr>
        <w:t xml:space="preserve">Expired territorial identification documents</w:t>
      </w:r>
    </w:p>
    <w:p>
      <w:pPr>
        <w:pStyle w:val="ListParagraph"/>
        <w:numPr>
          <w:ilvl w:val="0"/>
          <w:numId w:val="2"/>
        </w:numPr>
        <w:spacing w:after="80"/>
      </w:pPr>
      <w:r>
        <w:rPr>
          <w:rFonts w:ascii="Arial" w:cs="Arial" w:eastAsia="Arial" w:hAnsi="Arial"/>
          <w:sz w:val="22"/>
          <w:szCs w:val="22"/>
        </w:rPr>
        <w:t xml:space="preserve">Sworn statements describing document loss and replacement difficulties</w:t>
      </w:r>
    </w:p>
    <w:p>
      <w:pPr>
        <w:pStyle w:val="ListParagraph"/>
        <w:numPr>
          <w:ilvl w:val="0"/>
          <w:numId w:val="2"/>
        </w:numPr>
        <w:spacing w:after="80"/>
      </w:pPr>
      <w:r>
        <w:rPr>
          <w:rFonts w:ascii="Arial" w:cs="Arial" w:eastAsia="Arial" w:hAnsi="Arial"/>
          <w:sz w:val="22"/>
          <w:szCs w:val="22"/>
        </w:rPr>
        <w:t xml:space="preserve">Any evidence accepted under the standard attestation pathway</w:t>
      </w:r>
    </w:p>
    <w:p>
      <w:pPr>
        <w:spacing w:after="120"/>
      </w:pPr>
    </w:p>
    <w:p>
      <w:pPr>
        <w:pStyle w:val="Heading3"/>
        <w:spacing w:before="240" w:after="120"/>
      </w:pPr>
      <w:r>
        <w:rPr>
          <w:rFonts w:ascii="Arial" w:cs="Arial" w:eastAsia="Arial" w:hAnsi="Arial"/>
        </w:rPr>
        <w:t xml:space="preserve">5.3 Equal Treatment</w:t>
      </w:r>
    </w:p>
    <w:p>
      <w:pPr>
        <w:spacing w:after="160"/>
      </w:pPr>
      <w:r>
        <w:rPr>
          <w:rFonts w:ascii="Arial" w:cs="Arial" w:eastAsia="Arial" w:hAnsi="Arial"/>
          <w:sz w:val="22"/>
          <w:szCs w:val="22"/>
        </w:rPr>
        <w:t xml:space="preserve">Territories shall receive the same formula-based funding, federal fallback access, and program terms as States. No provision of this program shall be construed to provide lesser access to territorial residents than to State residents.</w:t>
      </w:r>
    </w:p>
    <w:p>
      <w:r>
        <w:br w:type="page"/>
      </w:r>
    </w:p>
    <w:p>
      <w:pPr>
        <w:pStyle w:val="Heading1"/>
        <w:spacing w:before="400" w:after="200"/>
      </w:pPr>
      <w:r>
        <w:rPr>
          <w:rFonts w:ascii="Arial" w:cs="Arial" w:eastAsia="Arial" w:hAnsi="Arial"/>
        </w:rPr>
        <w:t xml:space="preserve">Part IV: Application Channels</w:t>
      </w:r>
    </w:p>
    <w:p>
      <w:pPr>
        <w:pStyle w:val="Heading2"/>
        <w:spacing w:before="300" w:after="150"/>
      </w:pPr>
      <w:r>
        <w:rPr>
          <w:rFonts w:ascii="Arial" w:cs="Arial" w:eastAsia="Arial" w:hAnsi="Arial"/>
        </w:rPr>
        <w:t xml:space="preserve">Section 6: State Agency Enrollment</w:t>
      </w:r>
    </w:p>
    <w:p>
      <w:pPr>
        <w:pStyle w:val="Heading3"/>
        <w:spacing w:before="240" w:after="120"/>
      </w:pPr>
      <w:r>
        <w:rPr>
          <w:rFonts w:ascii="Arial" w:cs="Arial" w:eastAsia="Arial" w:hAnsi="Arial"/>
        </w:rPr>
        <w:t xml:space="preserve">6.1 Participating State Agencies</w:t>
      </w:r>
    </w:p>
    <w:p>
      <w:pPr>
        <w:spacing w:after="160"/>
      </w:pPr>
      <w:r>
        <w:rPr>
          <w:rFonts w:ascii="Arial" w:cs="Arial" w:eastAsia="Arial" w:hAnsi="Arial"/>
          <w:sz w:val="22"/>
          <w:szCs w:val="22"/>
        </w:rPr>
        <w:t xml:space="preserve">States that elect to participate in this program shall designate one or more agencies to receive and process applications. Designated agencies may include:</w:t>
      </w:r>
    </w:p>
    <w:p>
      <w:pPr>
        <w:pStyle w:val="ListParagraph"/>
        <w:numPr>
          <w:ilvl w:val="0"/>
          <w:numId w:val="2"/>
        </w:numPr>
        <w:spacing w:after="80"/>
      </w:pPr>
      <w:r>
        <w:rPr>
          <w:rFonts w:ascii="Arial" w:cs="Arial" w:eastAsia="Arial" w:hAnsi="Arial"/>
          <w:sz w:val="22"/>
          <w:szCs w:val="22"/>
        </w:rPr>
        <w:t xml:space="preserve">Departments of motor vehicles</w:t>
      </w:r>
    </w:p>
    <w:p>
      <w:pPr>
        <w:pStyle w:val="ListParagraph"/>
        <w:numPr>
          <w:ilvl w:val="0"/>
          <w:numId w:val="2"/>
        </w:numPr>
        <w:spacing w:after="80"/>
      </w:pPr>
      <w:r>
        <w:rPr>
          <w:rFonts w:ascii="Arial" w:cs="Arial" w:eastAsia="Arial" w:hAnsi="Arial"/>
          <w:sz w:val="22"/>
          <w:szCs w:val="22"/>
        </w:rPr>
        <w:t xml:space="preserve">Secretaries of state offices</w:t>
      </w:r>
    </w:p>
    <w:p>
      <w:pPr>
        <w:pStyle w:val="ListParagraph"/>
        <w:numPr>
          <w:ilvl w:val="0"/>
          <w:numId w:val="2"/>
        </w:numPr>
        <w:spacing w:after="80"/>
      </w:pPr>
      <w:r>
        <w:rPr>
          <w:rFonts w:ascii="Arial" w:cs="Arial" w:eastAsia="Arial" w:hAnsi="Arial"/>
          <w:sz w:val="22"/>
          <w:szCs w:val="22"/>
        </w:rPr>
        <w:t xml:space="preserve">State election agencies</w:t>
      </w:r>
    </w:p>
    <w:p>
      <w:pPr>
        <w:pStyle w:val="ListParagraph"/>
        <w:numPr>
          <w:ilvl w:val="0"/>
          <w:numId w:val="2"/>
        </w:numPr>
        <w:spacing w:after="80"/>
      </w:pPr>
      <w:r>
        <w:rPr>
          <w:rFonts w:ascii="Arial" w:cs="Arial" w:eastAsia="Arial" w:hAnsi="Arial"/>
          <w:sz w:val="22"/>
          <w:szCs w:val="22"/>
        </w:rPr>
        <w:t xml:space="preserve">Other agencies as determined by the State</w:t>
      </w:r>
    </w:p>
    <w:p>
      <w:pPr>
        <w:spacing w:after="120"/>
      </w:pPr>
    </w:p>
    <w:p>
      <w:pPr>
        <w:pStyle w:val="Heading3"/>
        <w:spacing w:before="240" w:after="120"/>
      </w:pPr>
      <w:r>
        <w:rPr>
          <w:rFonts w:ascii="Arial" w:cs="Arial" w:eastAsia="Arial" w:hAnsi="Arial"/>
        </w:rPr>
        <w:t xml:space="preserve">6.2 Processing Standards</w:t>
      </w:r>
    </w:p>
    <w:p>
      <w:pPr>
        <w:spacing w:after="160"/>
      </w:pPr>
      <w:r>
        <w:rPr>
          <w:rFonts w:ascii="Arial" w:cs="Arial" w:eastAsia="Arial" w:hAnsi="Arial"/>
          <w:sz w:val="22"/>
          <w:szCs w:val="22"/>
        </w:rPr>
        <w:t xml:space="preserve">Participating State agencies shall:</w:t>
      </w:r>
    </w:p>
    <w:p>
      <w:pPr>
        <w:pStyle w:val="ListParagraph"/>
        <w:numPr>
          <w:ilvl w:val="0"/>
          <w:numId w:val="2"/>
        </w:numPr>
        <w:spacing w:after="80"/>
      </w:pPr>
      <w:r>
        <w:rPr>
          <w:rFonts w:ascii="Arial" w:cs="Arial" w:eastAsia="Arial" w:hAnsi="Arial"/>
          <w:sz w:val="22"/>
          <w:szCs w:val="22"/>
        </w:rPr>
        <w:t xml:space="preserve">Process applications within 30 days of receipt</w:t>
      </w:r>
    </w:p>
    <w:p>
      <w:pPr>
        <w:pStyle w:val="ListParagraph"/>
        <w:numPr>
          <w:ilvl w:val="0"/>
          <w:numId w:val="2"/>
        </w:numPr>
        <w:spacing w:after="80"/>
      </w:pPr>
      <w:r>
        <w:rPr>
          <w:rFonts w:ascii="Arial" w:cs="Arial" w:eastAsia="Arial" w:hAnsi="Arial"/>
          <w:sz w:val="22"/>
          <w:szCs w:val="22"/>
        </w:rPr>
        <w:t xml:space="preserve">Provide written notice of approval or denial</w:t>
      </w:r>
    </w:p>
    <w:p>
      <w:pPr>
        <w:pStyle w:val="ListParagraph"/>
        <w:numPr>
          <w:ilvl w:val="0"/>
          <w:numId w:val="2"/>
        </w:numPr>
        <w:spacing w:after="80"/>
      </w:pPr>
      <w:r>
        <w:rPr>
          <w:rFonts w:ascii="Arial" w:cs="Arial" w:eastAsia="Arial" w:hAnsi="Arial"/>
          <w:sz w:val="22"/>
          <w:szCs w:val="22"/>
        </w:rPr>
        <w:t xml:space="preserve">Transmit approved applications to the card production facility</w:t>
      </w:r>
    </w:p>
    <w:p>
      <w:pPr>
        <w:pStyle w:val="ListParagraph"/>
        <w:numPr>
          <w:ilvl w:val="0"/>
          <w:numId w:val="2"/>
        </w:numPr>
        <w:spacing w:after="80"/>
      </w:pPr>
      <w:r>
        <w:rPr>
          <w:rFonts w:ascii="Arial" w:cs="Arial" w:eastAsia="Arial" w:hAnsi="Arial"/>
          <w:sz w:val="22"/>
          <w:szCs w:val="22"/>
        </w:rPr>
        <w:t xml:space="preserve">Report monthly on applications received, approved, denied, and pending</w:t>
      </w:r>
    </w:p>
    <w:p>
      <w:pPr>
        <w:spacing w:after="120"/>
      </w:pPr>
    </w:p>
    <w:p>
      <w:pPr>
        <w:pStyle w:val="Heading2"/>
        <w:spacing w:before="300" w:after="150"/>
      </w:pPr>
      <w:r>
        <w:rPr>
          <w:rFonts w:ascii="Arial" w:cs="Arial" w:eastAsia="Arial" w:hAnsi="Arial"/>
        </w:rPr>
        <w:t xml:space="preserve">Section 7: Healthcare Facility Enrollment</w:t>
      </w:r>
    </w:p>
    <w:p>
      <w:pPr>
        <w:pStyle w:val="Heading3"/>
        <w:spacing w:before="240" w:after="120"/>
      </w:pPr>
      <w:r>
        <w:rPr>
          <w:rFonts w:ascii="Arial" w:cs="Arial" w:eastAsia="Arial" w:hAnsi="Arial"/>
        </w:rPr>
        <w:t xml:space="preserve">7.1 Voluntary Participation</w:t>
      </w:r>
    </w:p>
    <w:p>
      <w:pPr>
        <w:spacing w:after="160"/>
      </w:pPr>
      <w:r>
        <w:rPr>
          <w:rFonts w:ascii="Arial" w:cs="Arial" w:eastAsia="Arial" w:hAnsi="Arial"/>
          <w:sz w:val="22"/>
          <w:szCs w:val="22"/>
        </w:rPr>
        <w:t xml:space="preserve">The following healthcare facilities may voluntarily participate in the program to assist patients age 62 and older with application enrollment:</w:t>
      </w:r>
    </w:p>
    <w:p>
      <w:pPr>
        <w:pStyle w:val="ListParagraph"/>
        <w:numPr>
          <w:ilvl w:val="0"/>
          <w:numId w:val="2"/>
        </w:numPr>
        <w:spacing w:after="80"/>
      </w:pPr>
      <w:r>
        <w:rPr>
          <w:rFonts w:ascii="Arial" w:cs="Arial" w:eastAsia="Arial" w:hAnsi="Arial"/>
          <w:sz w:val="22"/>
          <w:szCs w:val="22"/>
        </w:rPr>
        <w:t xml:space="preserve">Hospitals</w:t>
      </w:r>
    </w:p>
    <w:p>
      <w:pPr>
        <w:pStyle w:val="ListParagraph"/>
        <w:numPr>
          <w:ilvl w:val="0"/>
          <w:numId w:val="2"/>
        </w:numPr>
        <w:spacing w:after="80"/>
      </w:pPr>
      <w:r>
        <w:rPr>
          <w:rFonts w:ascii="Arial" w:cs="Arial" w:eastAsia="Arial" w:hAnsi="Arial"/>
          <w:sz w:val="22"/>
          <w:szCs w:val="22"/>
        </w:rPr>
        <w:t xml:space="preserve">Nursing homes and long-term care facilities</w:t>
      </w:r>
    </w:p>
    <w:p>
      <w:pPr>
        <w:pStyle w:val="ListParagraph"/>
        <w:numPr>
          <w:ilvl w:val="0"/>
          <w:numId w:val="2"/>
        </w:numPr>
        <w:spacing w:after="80"/>
      </w:pPr>
      <w:r>
        <w:rPr>
          <w:rFonts w:ascii="Arial" w:cs="Arial" w:eastAsia="Arial" w:hAnsi="Arial"/>
          <w:sz w:val="22"/>
          <w:szCs w:val="22"/>
        </w:rPr>
        <w:t xml:space="preserve">Federally Qualified Health Centers (FQHCs)</w:t>
      </w:r>
    </w:p>
    <w:p>
      <w:pPr>
        <w:pStyle w:val="ListParagraph"/>
        <w:numPr>
          <w:ilvl w:val="0"/>
          <w:numId w:val="2"/>
        </w:numPr>
        <w:spacing w:after="80"/>
      </w:pPr>
      <w:r>
        <w:rPr>
          <w:rFonts w:ascii="Arial" w:cs="Arial" w:eastAsia="Arial" w:hAnsi="Arial"/>
          <w:sz w:val="22"/>
          <w:szCs w:val="22"/>
        </w:rPr>
        <w:t xml:space="preserve">Dialysis centers</w:t>
      </w:r>
    </w:p>
    <w:p>
      <w:pPr>
        <w:pStyle w:val="ListParagraph"/>
        <w:numPr>
          <w:ilvl w:val="0"/>
          <w:numId w:val="2"/>
        </w:numPr>
        <w:spacing w:after="80"/>
      </w:pPr>
      <w:r>
        <w:rPr>
          <w:rFonts w:ascii="Arial" w:cs="Arial" w:eastAsia="Arial" w:hAnsi="Arial"/>
          <w:sz w:val="22"/>
          <w:szCs w:val="22"/>
        </w:rPr>
        <w:t xml:space="preserve">Home health agencies</w:t>
      </w:r>
    </w:p>
    <w:p>
      <w:pPr>
        <w:pStyle w:val="ListParagraph"/>
        <w:numPr>
          <w:ilvl w:val="0"/>
          <w:numId w:val="2"/>
        </w:numPr>
        <w:spacing w:after="80"/>
      </w:pPr>
      <w:r>
        <w:rPr>
          <w:rFonts w:ascii="Arial" w:cs="Arial" w:eastAsia="Arial" w:hAnsi="Arial"/>
          <w:sz w:val="22"/>
          <w:szCs w:val="22"/>
        </w:rPr>
        <w:t xml:space="preserve">Veterans Affairs medical facilities</w:t>
      </w:r>
    </w:p>
    <w:p>
      <w:pPr>
        <w:spacing w:after="120"/>
      </w:pPr>
    </w:p>
    <w:p>
      <w:pPr>
        <w:pStyle w:val="Heading3"/>
        <w:spacing w:before="240" w:after="120"/>
      </w:pPr>
      <w:r>
        <w:rPr>
          <w:rFonts w:ascii="Arial" w:cs="Arial" w:eastAsia="Arial" w:hAnsi="Arial"/>
        </w:rPr>
        <w:t xml:space="preserve">7.2 Enrollment Assistance</w:t>
      </w:r>
    </w:p>
    <w:p>
      <w:pPr>
        <w:spacing w:after="160"/>
      </w:pPr>
      <w:r>
        <w:rPr>
          <w:rFonts w:ascii="Arial" w:cs="Arial" w:eastAsia="Arial" w:hAnsi="Arial"/>
          <w:sz w:val="22"/>
          <w:szCs w:val="22"/>
        </w:rPr>
        <w:t xml:space="preserve">Upon admission of a patient age 62 or older, participating facility staff may inquire whether the patient possesses valid government-issued photo identification and, if not, whether the patient would like assistance applying for identification under this program.</w:t>
      </w:r>
    </w:p>
    <w:p>
      <w:pPr>
        <w:spacing w:after="120"/>
      </w:pPr>
    </w:p>
    <w:p>
      <w:pPr>
        <w:pStyle w:val="Heading3"/>
        <w:spacing w:before="240" w:after="120"/>
      </w:pPr>
      <w:r>
        <w:rPr>
          <w:rFonts w:ascii="Arial" w:cs="Arial" w:eastAsia="Arial" w:hAnsi="Arial"/>
        </w:rPr>
        <w:t xml:space="preserve">7.3 Patient Rights</w:t>
      </w:r>
    </w:p>
    <w:p>
      <w:pPr>
        <w:spacing w:after="160"/>
      </w:pPr>
      <w:r>
        <w:rPr>
          <w:rFonts w:ascii="Arial" w:cs="Arial" w:eastAsia="Arial" w:hAnsi="Arial"/>
          <w:sz w:val="22"/>
          <w:szCs w:val="22"/>
        </w:rPr>
        <w:t xml:space="preserve">No patient shall be required to apply for identification. Application status shall have no effect on medical treatment. Application information shall not be incorporated into medical records and shall be used solely for identification issuance purposes.</w:t>
      </w:r>
    </w:p>
    <w:p>
      <w:pPr>
        <w:spacing w:after="120"/>
      </w:pPr>
    </w:p>
    <w:p>
      <w:pPr>
        <w:pStyle w:val="Heading3"/>
        <w:spacing w:before="240" w:after="120"/>
      </w:pPr>
      <w:r>
        <w:rPr>
          <w:rFonts w:ascii="Arial" w:cs="Arial" w:eastAsia="Arial" w:hAnsi="Arial"/>
        </w:rPr>
        <w:t xml:space="preserve">7.4 Facility Reimbursement</w:t>
      </w:r>
    </w:p>
    <w:p>
      <w:pPr>
        <w:spacing w:after="160"/>
      </w:pPr>
      <w:r>
        <w:rPr>
          <w:rFonts w:ascii="Arial" w:cs="Arial" w:eastAsia="Arial" w:hAnsi="Arial"/>
          <w:sz w:val="22"/>
          <w:szCs w:val="22"/>
        </w:rPr>
        <w:t xml:space="preserve">Participating facilities shall be reimbursed as follows:</w:t>
      </w:r>
    </w:p>
    <w:p>
      <w:pPr>
        <w:pStyle w:val="ListParagraph"/>
        <w:numPr>
          <w:ilvl w:val="0"/>
          <w:numId w:val="2"/>
        </w:numPr>
        <w:spacing w:after="80"/>
      </w:pPr>
      <w:r>
        <w:rPr>
          <w:rFonts w:ascii="Arial" w:cs="Arial" w:eastAsia="Arial" w:hAnsi="Arial"/>
          <w:sz w:val="22"/>
          <w:szCs w:val="22"/>
        </w:rPr>
        <w:t xml:space="preserve">$50 per standard application submitted and processed</w:t>
      </w:r>
    </w:p>
    <w:p>
      <w:pPr>
        <w:pStyle w:val="ListParagraph"/>
        <w:numPr>
          <w:ilvl w:val="0"/>
          <w:numId w:val="2"/>
        </w:numPr>
        <w:spacing w:after="80"/>
      </w:pPr>
      <w:r>
        <w:rPr>
          <w:rFonts w:ascii="Arial" w:cs="Arial" w:eastAsia="Arial" w:hAnsi="Arial"/>
          <w:sz w:val="22"/>
          <w:szCs w:val="22"/>
        </w:rPr>
        <w:t xml:space="preserve">$75 per attestation pathway application submitted and processed</w:t>
      </w:r>
    </w:p>
    <w:p>
      <w:pPr>
        <w:pStyle w:val="ListParagraph"/>
        <w:numPr>
          <w:ilvl w:val="0"/>
          <w:numId w:val="2"/>
        </w:numPr>
        <w:spacing w:after="80"/>
      </w:pPr>
      <w:r>
        <w:rPr>
          <w:rFonts w:ascii="Arial" w:cs="Arial" w:eastAsia="Arial" w:hAnsi="Arial"/>
          <w:sz w:val="22"/>
          <w:szCs w:val="22"/>
        </w:rPr>
        <w:t xml:space="preserve">Annual participation fee up to $2,000 for staff training and materials</w:t>
      </w:r>
    </w:p>
    <w:p>
      <w:pPr>
        <w:spacing w:after="120"/>
      </w:pPr>
    </w:p>
    <w:p>
      <w:pPr>
        <w:spacing w:after="160"/>
      </w:pPr>
      <w:r>
        <w:rPr>
          <w:rFonts w:ascii="Arial" w:cs="Arial" w:eastAsia="Arial" w:hAnsi="Arial"/>
          <w:sz w:val="22"/>
          <w:szCs w:val="22"/>
        </w:rPr>
        <w:t xml:space="preserve">Reimbursement shall be paid only after the State agency confirms that the application has been processed and identification issued or denial documented.</w:t>
      </w:r>
    </w:p>
    <w:p>
      <w:pPr>
        <w:spacing w:after="120"/>
      </w:pPr>
    </w:p>
    <w:p>
      <w:pPr>
        <w:pStyle w:val="Heading3"/>
        <w:spacing w:before="240" w:after="120"/>
      </w:pPr>
      <w:r>
        <w:rPr>
          <w:rFonts w:ascii="Arial" w:cs="Arial" w:eastAsia="Arial" w:hAnsi="Arial"/>
        </w:rPr>
        <w:t xml:space="preserve">7.5 Fraud Prevention</w:t>
      </w:r>
    </w:p>
    <w:p>
      <w:pPr>
        <w:spacing w:after="160"/>
      </w:pPr>
      <w:r>
        <w:rPr>
          <w:rFonts w:ascii="Arial" w:cs="Arial" w:eastAsia="Arial" w:hAnsi="Arial"/>
          <w:sz w:val="22"/>
          <w:szCs w:val="22"/>
        </w:rPr>
        <w:t xml:space="preserve">Random audits shall be conducted of 5% of participating facilities annually. Facilities submitting fraudulent applications shall be subject to treble damages, permanent exclusion from the program, and referral to the Department of Justice.</w:t>
      </w:r>
    </w:p>
    <w:p>
      <w:pPr>
        <w:spacing w:after="120"/>
      </w:pPr>
    </w:p>
    <w:p>
      <w:pPr>
        <w:pStyle w:val="Heading2"/>
        <w:spacing w:before="300" w:after="150"/>
      </w:pPr>
      <w:r>
        <w:rPr>
          <w:rFonts w:ascii="Arial" w:cs="Arial" w:eastAsia="Arial" w:hAnsi="Arial"/>
        </w:rPr>
        <w:t xml:space="preserve">Section 8: Federal Fallback</w:t>
      </w:r>
    </w:p>
    <w:p>
      <w:pPr>
        <w:pStyle w:val="Heading3"/>
        <w:spacing w:before="240" w:after="120"/>
      </w:pPr>
      <w:r>
        <w:rPr>
          <w:rFonts w:ascii="Arial" w:cs="Arial" w:eastAsia="Arial" w:hAnsi="Arial"/>
        </w:rPr>
        <w:t xml:space="preserve">8.1 Activation</w:t>
      </w:r>
    </w:p>
    <w:p>
      <w:pPr>
        <w:spacing w:after="160"/>
      </w:pPr>
      <w:r>
        <w:rPr>
          <w:rFonts w:ascii="Arial" w:cs="Arial" w:eastAsia="Arial" w:hAnsi="Arial"/>
          <w:sz w:val="22"/>
          <w:szCs w:val="22"/>
        </w:rPr>
        <w:t xml:space="preserve">The federal fallback shall be available to applicants when:</w:t>
      </w:r>
    </w:p>
    <w:p>
      <w:pPr>
        <w:pStyle w:val="ListParagraph"/>
        <w:numPr>
          <w:ilvl w:val="0"/>
          <w:numId w:val="2"/>
        </w:numPr>
        <w:spacing w:after="80"/>
      </w:pPr>
      <w:r>
        <w:rPr>
          <w:rFonts w:ascii="Arial" w:cs="Arial" w:eastAsia="Arial" w:hAnsi="Arial"/>
          <w:sz w:val="22"/>
          <w:szCs w:val="22"/>
        </w:rPr>
        <w:t xml:space="preserve">The applicant's State of residence has declined to participate in the program; or</w:t>
      </w:r>
    </w:p>
    <w:p>
      <w:pPr>
        <w:pStyle w:val="ListParagraph"/>
        <w:numPr>
          <w:ilvl w:val="0"/>
          <w:numId w:val="2"/>
        </w:numPr>
        <w:spacing w:after="80"/>
      </w:pPr>
      <w:r>
        <w:rPr>
          <w:rFonts w:ascii="Arial" w:cs="Arial" w:eastAsia="Arial" w:hAnsi="Arial"/>
          <w:sz w:val="22"/>
          <w:szCs w:val="22"/>
        </w:rPr>
        <w:t xml:space="preserve">The State agency has failed to process the application within 30 days.</w:t>
      </w:r>
    </w:p>
    <w:p>
      <w:pPr>
        <w:spacing w:after="120"/>
      </w:pPr>
    </w:p>
    <w:p>
      <w:pPr>
        <w:pStyle w:val="Heading3"/>
        <w:spacing w:before="240" w:after="120"/>
      </w:pPr>
      <w:r>
        <w:rPr>
          <w:rFonts w:ascii="Arial" w:cs="Arial" w:eastAsia="Arial" w:hAnsi="Arial"/>
        </w:rPr>
        <w:t xml:space="preserve">8.2 Administration</w:t>
      </w:r>
    </w:p>
    <w:p>
      <w:pPr>
        <w:spacing w:after="160"/>
      </w:pPr>
      <w:r>
        <w:rPr>
          <w:rFonts w:ascii="Arial" w:cs="Arial" w:eastAsia="Arial" w:hAnsi="Arial"/>
          <w:sz w:val="22"/>
          <w:szCs w:val="22"/>
        </w:rPr>
        <w:t xml:space="preserve">The federal fallback shall be administered by the Social Security Administration through its network of field offices. SSA is designated due to its:</w:t>
      </w:r>
    </w:p>
    <w:p>
      <w:pPr>
        <w:pStyle w:val="ListParagraph"/>
        <w:numPr>
          <w:ilvl w:val="0"/>
          <w:numId w:val="2"/>
        </w:numPr>
        <w:spacing w:after="80"/>
      </w:pPr>
      <w:r>
        <w:rPr>
          <w:rFonts w:ascii="Arial" w:cs="Arial" w:eastAsia="Arial" w:hAnsi="Arial"/>
          <w:sz w:val="22"/>
          <w:szCs w:val="22"/>
        </w:rPr>
        <w:t xml:space="preserve">Existing network of over 1,200 field offices nationwide</w:t>
      </w:r>
    </w:p>
    <w:p>
      <w:pPr>
        <w:pStyle w:val="ListParagraph"/>
        <w:numPr>
          <w:ilvl w:val="0"/>
          <w:numId w:val="2"/>
        </w:numPr>
        <w:spacing w:after="80"/>
      </w:pPr>
      <w:r>
        <w:rPr>
          <w:rFonts w:ascii="Arial" w:cs="Arial" w:eastAsia="Arial" w:hAnsi="Arial"/>
          <w:sz w:val="22"/>
          <w:szCs w:val="22"/>
        </w:rPr>
        <w:t xml:space="preserve">Trusted, apolitical institutional reputation</w:t>
      </w:r>
    </w:p>
    <w:p>
      <w:pPr>
        <w:pStyle w:val="ListParagraph"/>
        <w:numPr>
          <w:ilvl w:val="0"/>
          <w:numId w:val="2"/>
        </w:numPr>
        <w:spacing w:after="80"/>
      </w:pPr>
      <w:r>
        <w:rPr>
          <w:rFonts w:ascii="Arial" w:cs="Arial" w:eastAsia="Arial" w:hAnsi="Arial"/>
          <w:sz w:val="22"/>
          <w:szCs w:val="22"/>
        </w:rPr>
        <w:t xml:space="preserve">Existing relationship with the target population (elderly, disabled)</w:t>
      </w:r>
    </w:p>
    <w:p>
      <w:pPr>
        <w:pStyle w:val="ListParagraph"/>
        <w:numPr>
          <w:ilvl w:val="0"/>
          <w:numId w:val="2"/>
        </w:numPr>
        <w:spacing w:after="80"/>
      </w:pPr>
      <w:r>
        <w:rPr>
          <w:rFonts w:ascii="Arial" w:cs="Arial" w:eastAsia="Arial" w:hAnsi="Arial"/>
          <w:sz w:val="22"/>
          <w:szCs w:val="22"/>
        </w:rPr>
        <w:t xml:space="preserve">Experience with identity verification</w:t>
      </w:r>
    </w:p>
    <w:p>
      <w:pPr>
        <w:spacing w:after="120"/>
      </w:pPr>
    </w:p>
    <w:p>
      <w:pPr>
        <w:pStyle w:val="Heading3"/>
        <w:spacing w:before="240" w:after="120"/>
      </w:pPr>
      <w:r>
        <w:rPr>
          <w:rFonts w:ascii="Arial" w:cs="Arial" w:eastAsia="Arial" w:hAnsi="Arial"/>
        </w:rPr>
        <w:t xml:space="preserve">8.3 Dedicated Funding</w:t>
      </w:r>
    </w:p>
    <w:p>
      <w:pPr>
        <w:spacing w:after="160"/>
      </w:pPr>
      <w:r>
        <w:rPr>
          <w:rFonts w:ascii="Arial" w:cs="Arial" w:eastAsia="Arial" w:hAnsi="Arial"/>
          <w:sz w:val="22"/>
          <w:szCs w:val="22"/>
        </w:rPr>
        <w:t xml:space="preserve">A separate appropriation shall be provided to SSA for program administration, including:</w:t>
      </w:r>
    </w:p>
    <w:p>
      <w:pPr>
        <w:pStyle w:val="ListParagraph"/>
        <w:numPr>
          <w:ilvl w:val="0"/>
          <w:numId w:val="2"/>
        </w:numPr>
        <w:spacing w:after="80"/>
      </w:pPr>
      <w:r>
        <w:rPr>
          <w:rFonts w:ascii="Arial" w:cs="Arial" w:eastAsia="Arial" w:hAnsi="Arial"/>
          <w:sz w:val="22"/>
          <w:szCs w:val="22"/>
        </w:rPr>
        <w:t xml:space="preserve">Temporary personnel authority to hire additional staff</w:t>
      </w:r>
    </w:p>
    <w:p>
      <w:pPr>
        <w:pStyle w:val="ListParagraph"/>
        <w:numPr>
          <w:ilvl w:val="0"/>
          <w:numId w:val="2"/>
        </w:numPr>
        <w:spacing w:after="80"/>
      </w:pPr>
      <w:r>
        <w:rPr>
          <w:rFonts w:ascii="Arial" w:cs="Arial" w:eastAsia="Arial" w:hAnsi="Arial"/>
          <w:sz w:val="22"/>
          <w:szCs w:val="22"/>
        </w:rPr>
        <w:t xml:space="preserve">Training and equipment costs</w:t>
      </w:r>
    </w:p>
    <w:p>
      <w:pPr>
        <w:pStyle w:val="ListParagraph"/>
        <w:numPr>
          <w:ilvl w:val="0"/>
          <w:numId w:val="2"/>
        </w:numPr>
        <w:spacing w:after="80"/>
      </w:pPr>
      <w:r>
        <w:rPr>
          <w:rFonts w:ascii="Arial" w:cs="Arial" w:eastAsia="Arial" w:hAnsi="Arial"/>
          <w:sz w:val="22"/>
          <w:szCs w:val="22"/>
        </w:rPr>
        <w:t xml:space="preserve">IT system modifications</w:t>
      </w:r>
    </w:p>
    <w:p>
      <w:pPr>
        <w:spacing w:after="120"/>
      </w:pPr>
    </w:p>
    <w:p>
      <w:pPr>
        <w:spacing w:after="160"/>
      </w:pPr>
      <w:r>
        <w:rPr>
          <w:rFonts w:ascii="Arial" w:cs="Arial" w:eastAsia="Arial" w:hAnsi="Arial"/>
          <w:sz w:val="22"/>
          <w:szCs w:val="22"/>
        </w:rPr>
        <w:t xml:space="preserve">Funds appropriated for this purpose shall supplement, not supplant, existing SSA operations. No funds from Social Security trust funds shall be used for program administration.</w:t>
      </w:r>
    </w:p>
    <w:p>
      <w:r>
        <w:br w:type="page"/>
      </w:r>
    </w:p>
    <w:p>
      <w:pPr>
        <w:pStyle w:val="Heading1"/>
        <w:spacing w:before="400" w:after="200"/>
      </w:pPr>
      <w:r>
        <w:rPr>
          <w:rFonts w:ascii="Arial" w:cs="Arial" w:eastAsia="Arial" w:hAnsi="Arial"/>
        </w:rPr>
        <w:t xml:space="preserve">Part V: Card Specifications</w:t>
      </w:r>
    </w:p>
    <w:p>
      <w:pPr>
        <w:pStyle w:val="Heading2"/>
        <w:spacing w:before="300" w:after="150"/>
      </w:pPr>
      <w:r>
        <w:rPr>
          <w:rFonts w:ascii="Arial" w:cs="Arial" w:eastAsia="Arial" w:hAnsi="Arial"/>
        </w:rPr>
        <w:t xml:space="preserve">Section 9: Physical Card Design</w:t>
      </w:r>
    </w:p>
    <w:p>
      <w:pPr>
        <w:pStyle w:val="Heading3"/>
        <w:spacing w:before="240" w:after="120"/>
      </w:pPr>
      <w:r>
        <w:rPr>
          <w:rFonts w:ascii="Arial" w:cs="Arial" w:eastAsia="Arial" w:hAnsi="Arial"/>
        </w:rPr>
        <w:t xml:space="preserve">9.1 Security Features</w:t>
      </w:r>
    </w:p>
    <w:p>
      <w:pPr>
        <w:spacing w:after="160"/>
      </w:pPr>
      <w:r>
        <w:rPr>
          <w:rFonts w:ascii="Arial" w:cs="Arial" w:eastAsia="Arial" w:hAnsi="Arial"/>
          <w:sz w:val="22"/>
          <w:szCs w:val="22"/>
        </w:rPr>
        <w:t xml:space="preserve">Identification cards issued under this program shall include tamper-resistant security features comparable to State-issued driver's licenses, including:</w:t>
      </w:r>
    </w:p>
    <w:p>
      <w:pPr>
        <w:pStyle w:val="ListParagraph"/>
        <w:numPr>
          <w:ilvl w:val="0"/>
          <w:numId w:val="2"/>
        </w:numPr>
        <w:spacing w:after="80"/>
      </w:pPr>
      <w:r>
        <w:rPr>
          <w:rFonts w:ascii="Arial" w:cs="Arial" w:eastAsia="Arial" w:hAnsi="Arial"/>
          <w:sz w:val="22"/>
          <w:szCs w:val="22"/>
        </w:rPr>
        <w:t xml:space="preserve">Holographic elements</w:t>
      </w:r>
    </w:p>
    <w:p>
      <w:pPr>
        <w:pStyle w:val="ListParagraph"/>
        <w:numPr>
          <w:ilvl w:val="0"/>
          <w:numId w:val="2"/>
        </w:numPr>
        <w:spacing w:after="80"/>
      </w:pPr>
      <w:r>
        <w:rPr>
          <w:rFonts w:ascii="Arial" w:cs="Arial" w:eastAsia="Arial" w:hAnsi="Arial"/>
          <w:sz w:val="22"/>
          <w:szCs w:val="22"/>
        </w:rPr>
        <w:t xml:space="preserve">Microprinting</w:t>
      </w:r>
    </w:p>
    <w:p>
      <w:pPr>
        <w:pStyle w:val="ListParagraph"/>
        <w:numPr>
          <w:ilvl w:val="0"/>
          <w:numId w:val="2"/>
        </w:numPr>
        <w:spacing w:after="80"/>
      </w:pPr>
      <w:r>
        <w:rPr>
          <w:rFonts w:ascii="Arial" w:cs="Arial" w:eastAsia="Arial" w:hAnsi="Arial"/>
          <w:sz w:val="22"/>
          <w:szCs w:val="22"/>
        </w:rPr>
        <w:t xml:space="preserve">Ultraviolet (UV) reactive ink</w:t>
      </w:r>
    </w:p>
    <w:p>
      <w:pPr>
        <w:pStyle w:val="ListParagraph"/>
        <w:numPr>
          <w:ilvl w:val="0"/>
          <w:numId w:val="2"/>
        </w:numPr>
        <w:spacing w:after="80"/>
      </w:pPr>
      <w:r>
        <w:rPr>
          <w:rFonts w:ascii="Arial" w:cs="Arial" w:eastAsia="Arial" w:hAnsi="Arial"/>
          <w:sz w:val="22"/>
          <w:szCs w:val="22"/>
        </w:rPr>
        <w:t xml:space="preserve">Laser engraving</w:t>
      </w:r>
    </w:p>
    <w:p>
      <w:pPr>
        <w:pStyle w:val="ListParagraph"/>
        <w:numPr>
          <w:ilvl w:val="0"/>
          <w:numId w:val="2"/>
        </w:numPr>
        <w:spacing w:after="80"/>
      </w:pPr>
      <w:r>
        <w:rPr>
          <w:rFonts w:ascii="Arial" w:cs="Arial" w:eastAsia="Arial" w:hAnsi="Arial"/>
          <w:sz w:val="22"/>
          <w:szCs w:val="22"/>
        </w:rPr>
        <w:t xml:space="preserve">Other features as determined by the Secretary in consultation with the Election Assistance Commission</w:t>
      </w:r>
    </w:p>
    <w:p>
      <w:pPr>
        <w:spacing w:after="120"/>
      </w:pPr>
    </w:p>
    <w:p>
      <w:pPr>
        <w:pStyle w:val="Heading3"/>
        <w:spacing w:before="240" w:after="120"/>
      </w:pPr>
      <w:r>
        <w:rPr>
          <w:rFonts w:ascii="Arial" w:cs="Arial" w:eastAsia="Arial" w:hAnsi="Arial"/>
        </w:rPr>
        <w:t xml:space="preserve">9.2 Card Information</w:t>
      </w:r>
    </w:p>
    <w:p>
      <w:pPr>
        <w:spacing w:after="160"/>
      </w:pPr>
      <w:r>
        <w:rPr>
          <w:rFonts w:ascii="Arial" w:cs="Arial" w:eastAsia="Arial" w:hAnsi="Arial"/>
          <w:sz w:val="22"/>
          <w:szCs w:val="22"/>
        </w:rPr>
        <w:t xml:space="preserve">Each card shall display:</w:t>
      </w:r>
    </w:p>
    <w:p>
      <w:pPr>
        <w:pStyle w:val="ListParagraph"/>
        <w:numPr>
          <w:ilvl w:val="0"/>
          <w:numId w:val="2"/>
        </w:numPr>
        <w:spacing w:after="80"/>
      </w:pPr>
      <w:r>
        <w:rPr>
          <w:rFonts w:ascii="Arial" w:cs="Arial" w:eastAsia="Arial" w:hAnsi="Arial"/>
          <w:sz w:val="22"/>
          <w:szCs w:val="22"/>
        </w:rPr>
        <w:t xml:space="preserve">Full legal name</w:t>
      </w:r>
    </w:p>
    <w:p>
      <w:pPr>
        <w:pStyle w:val="ListParagraph"/>
        <w:numPr>
          <w:ilvl w:val="0"/>
          <w:numId w:val="2"/>
        </w:numPr>
        <w:spacing w:after="80"/>
      </w:pPr>
      <w:r>
        <w:rPr>
          <w:rFonts w:ascii="Arial" w:cs="Arial" w:eastAsia="Arial" w:hAnsi="Arial"/>
          <w:sz w:val="22"/>
          <w:szCs w:val="22"/>
        </w:rPr>
        <w:t xml:space="preserve">Photograph</w:t>
      </w:r>
    </w:p>
    <w:p>
      <w:pPr>
        <w:pStyle w:val="ListParagraph"/>
        <w:numPr>
          <w:ilvl w:val="0"/>
          <w:numId w:val="2"/>
        </w:numPr>
        <w:spacing w:after="80"/>
      </w:pPr>
      <w:r>
        <w:rPr>
          <w:rFonts w:ascii="Arial" w:cs="Arial" w:eastAsia="Arial" w:hAnsi="Arial"/>
          <w:sz w:val="22"/>
          <w:szCs w:val="22"/>
        </w:rPr>
        <w:t xml:space="preserve">Date of birth</w:t>
      </w:r>
    </w:p>
    <w:p>
      <w:pPr>
        <w:pStyle w:val="ListParagraph"/>
        <w:numPr>
          <w:ilvl w:val="0"/>
          <w:numId w:val="2"/>
        </w:numPr>
        <w:spacing w:after="80"/>
      </w:pPr>
      <w:r>
        <w:rPr>
          <w:rFonts w:ascii="Arial" w:cs="Arial" w:eastAsia="Arial" w:hAnsi="Arial"/>
          <w:sz w:val="22"/>
          <w:szCs w:val="22"/>
        </w:rPr>
        <w:t xml:space="preserve">Address of residence</w:t>
      </w:r>
    </w:p>
    <w:p>
      <w:pPr>
        <w:pStyle w:val="ListParagraph"/>
        <w:numPr>
          <w:ilvl w:val="0"/>
          <w:numId w:val="2"/>
        </w:numPr>
        <w:spacing w:after="80"/>
      </w:pPr>
      <w:r>
        <w:rPr>
          <w:rFonts w:ascii="Arial" w:cs="Arial" w:eastAsia="Arial" w:hAnsi="Arial"/>
          <w:sz w:val="22"/>
          <w:szCs w:val="22"/>
        </w:rPr>
        <w:t xml:space="preserve">Unique card number (not linked to SSN or other identifying numbers)</w:t>
      </w:r>
    </w:p>
    <w:p>
      <w:pPr>
        <w:pStyle w:val="ListParagraph"/>
        <w:numPr>
          <w:ilvl w:val="0"/>
          <w:numId w:val="2"/>
        </w:numPr>
        <w:spacing w:after="80"/>
      </w:pPr>
      <w:r>
        <w:rPr>
          <w:rFonts w:ascii="Arial" w:cs="Arial" w:eastAsia="Arial" w:hAnsi="Arial"/>
          <w:sz w:val="22"/>
          <w:szCs w:val="22"/>
        </w:rPr>
        <w:t xml:space="preserve">Issuance date</w:t>
      </w:r>
    </w:p>
    <w:p>
      <w:pPr>
        <w:pStyle w:val="ListParagraph"/>
        <w:numPr>
          <w:ilvl w:val="0"/>
          <w:numId w:val="2"/>
        </w:numPr>
        <w:spacing w:after="80"/>
      </w:pPr>
      <w:r>
        <w:rPr>
          <w:rFonts w:ascii="Arial" w:cs="Arial" w:eastAsia="Arial" w:hAnsi="Arial"/>
          <w:sz w:val="22"/>
          <w:szCs w:val="22"/>
        </w:rPr>
        <w:t xml:space="preserve">Expiration date</w:t>
      </w:r>
    </w:p>
    <w:p>
      <w:pPr>
        <w:spacing w:after="120"/>
      </w:pPr>
    </w:p>
    <w:p>
      <w:pPr>
        <w:pStyle w:val="Heading3"/>
        <w:spacing w:before="240" w:after="120"/>
      </w:pPr>
      <w:r>
        <w:rPr>
          <w:rFonts w:ascii="Arial" w:cs="Arial" w:eastAsia="Arial" w:hAnsi="Arial"/>
        </w:rPr>
        <w:t xml:space="preserve">9.3 No Unique Identifier</w:t>
      </w:r>
    </w:p>
    <w:p>
      <w:pPr>
        <w:spacing w:after="160"/>
      </w:pPr>
      <w:r>
        <w:rPr>
          <w:rFonts w:ascii="Arial" w:cs="Arial" w:eastAsia="Arial" w:hAnsi="Arial"/>
          <w:sz w:val="22"/>
          <w:szCs w:val="22"/>
        </w:rPr>
        <w:t xml:space="preserve">The card number shall be unique to the card but shall not be linked to any voter registration database, federal database, or other system that would enable tracking of card holders or verification of voting status.</w:t>
      </w:r>
    </w:p>
    <w:p>
      <w:pPr>
        <w:spacing w:after="120"/>
      </w:pPr>
    </w:p>
    <w:p>
      <w:pPr>
        <w:pStyle w:val="Heading2"/>
        <w:spacing w:before="300" w:after="150"/>
      </w:pPr>
      <w:r>
        <w:rPr>
          <w:rFonts w:ascii="Arial" w:cs="Arial" w:eastAsia="Arial" w:hAnsi="Arial"/>
        </w:rPr>
        <w:t xml:space="preserve">Section 10: Card Validity and Expiration</w:t>
      </w:r>
    </w:p>
    <w:p>
      <w:pPr>
        <w:pStyle w:val="Heading3"/>
        <w:spacing w:before="240" w:after="120"/>
      </w:pPr>
      <w:r>
        <w:rPr>
          <w:rFonts w:ascii="Arial" w:cs="Arial" w:eastAsia="Arial" w:hAnsi="Arial"/>
        </w:rPr>
        <w:t xml:space="preserve">10.1 Validity Period</w:t>
      </w:r>
    </w:p>
    <w:p>
      <w:pPr>
        <w:spacing w:after="160"/>
      </w:pPr>
      <w:r>
        <w:rPr>
          <w:rFonts w:ascii="Arial" w:cs="Arial" w:eastAsia="Arial" w:hAnsi="Arial"/>
          <w:sz w:val="22"/>
          <w:szCs w:val="22"/>
        </w:rPr>
        <w:t xml:space="preserve">Identification documents issued under this program shall expire 13 years from the date of issuance.</w:t>
      </w:r>
    </w:p>
    <w:p>
      <w:pPr>
        <w:spacing w:after="120"/>
      </w:pPr>
    </w:p>
    <w:p>
      <w:pPr>
        <w:spacing w:after="160"/>
      </w:pPr>
      <w:r>
        <w:rPr>
          <w:rFonts w:ascii="Arial" w:cs="Arial" w:eastAsia="Arial" w:hAnsi="Arial"/>
          <w:i/>
          <w:iCs/>
          <w:sz w:val="22"/>
          <w:szCs w:val="22"/>
        </w:rPr>
        <w:t xml:space="preserve">Rationale: 13 years guarantees coverage of at least three presidential election cycles from any issuance date.</w:t>
      </w:r>
    </w:p>
    <w:p>
      <w:pPr>
        <w:spacing w:after="120"/>
      </w:pPr>
    </w:p>
    <w:p>
      <w:pPr>
        <w:pStyle w:val="Heading3"/>
        <w:spacing w:before="240" w:after="120"/>
      </w:pPr>
      <w:r>
        <w:rPr>
          <w:rFonts w:ascii="Arial" w:cs="Arial" w:eastAsia="Arial" w:hAnsi="Arial"/>
        </w:rPr>
        <w:t xml:space="preserve">10.2 No Renewal</w:t>
      </w:r>
    </w:p>
    <w:p>
      <w:pPr>
        <w:spacing w:after="160"/>
      </w:pPr>
      <w:r>
        <w:rPr>
          <w:rFonts w:ascii="Arial" w:cs="Arial" w:eastAsia="Arial" w:hAnsi="Arial"/>
          <w:sz w:val="22"/>
          <w:szCs w:val="22"/>
        </w:rPr>
        <w:t xml:space="preserve">Following program sunset, no new identification documents shall be issued and no existing documents shall be renewed under this Act. Expired documents shall not be valid for any purpose.</w:t>
      </w:r>
    </w:p>
    <w:p>
      <w:pPr>
        <w:spacing w:after="120"/>
      </w:pPr>
    </w:p>
    <w:p>
      <w:pPr>
        <w:pStyle w:val="Heading3"/>
        <w:spacing w:before="240" w:after="120"/>
      </w:pPr>
      <w:r>
        <w:rPr>
          <w:rFonts w:ascii="Arial" w:cs="Arial" w:eastAsia="Arial" w:hAnsi="Arial"/>
        </w:rPr>
        <w:t xml:space="preserve">10.3 Transition to Permanent Documentation</w:t>
      </w:r>
    </w:p>
    <w:p>
      <w:pPr>
        <w:spacing w:after="160"/>
      </w:pPr>
      <w:r>
        <w:rPr>
          <w:rFonts w:ascii="Arial" w:cs="Arial" w:eastAsia="Arial" w:hAnsi="Arial"/>
          <w:sz w:val="22"/>
          <w:szCs w:val="22"/>
        </w:rPr>
        <w:t xml:space="preserve">Upon issuance of identification under this program, the cardholder shall receive written notice substantially as follows:</w:t>
      </w:r>
    </w:p>
    <w:p>
      <w:pPr>
        <w:spacing w:after="120"/>
      </w:pPr>
    </w:p>
    <w:p>
      <w:pPr>
        <w:spacing w:after="160"/>
      </w:pPr>
      <w:r>
        <w:rPr>
          <w:rFonts w:ascii="Arial" w:cs="Arial" w:eastAsia="Arial" w:hAnsi="Arial"/>
          <w:i/>
          <w:iCs/>
          <w:sz w:val="22"/>
          <w:szCs w:val="22"/>
        </w:rPr>
        <w:t xml:space="preserve">"This identification card expires on [DATE]. During the validity period, you are encouraged to obtain permanent documentation, such as a delayed birth certificate, U.S. passport, or State-issued identification, which will remain valid after this card expires. Assistance may be available through [State agency], the Social Security Administration, or [other resources]."</w:t>
      </w:r>
    </w:p>
    <w:p>
      <w:pPr>
        <w:spacing w:after="120"/>
      </w:pPr>
    </w:p>
    <w:p>
      <w:pPr>
        <w:pStyle w:val="Heading3"/>
        <w:spacing w:before="240" w:after="120"/>
      </w:pPr>
      <w:r>
        <w:rPr>
          <w:rFonts w:ascii="Arial" w:cs="Arial" w:eastAsia="Arial" w:hAnsi="Arial"/>
        </w:rPr>
        <w:t xml:space="preserve">10.4 Delayed Birth Certificate Assistance</w:t>
      </w:r>
    </w:p>
    <w:p>
      <w:pPr>
        <w:spacing w:after="160"/>
      </w:pPr>
      <w:r>
        <w:rPr>
          <w:rFonts w:ascii="Arial" w:cs="Arial" w:eastAsia="Arial" w:hAnsi="Arial"/>
          <w:sz w:val="22"/>
          <w:szCs w:val="22"/>
        </w:rPr>
        <w:t xml:space="preserve">The Secretary shall establish procedures to assist program participants in obtaining delayed birth certificates from State vital records offices. Attestation evidence accepted for purposes of this program shall be presumptively valid for purposes of State delayed birth certificate applications, subject to State law.</w:t>
      </w:r>
    </w:p>
    <w:p>
      <w:pPr>
        <w:spacing w:after="120"/>
      </w:pPr>
    </w:p>
    <w:p>
      <w:pPr>
        <w:pStyle w:val="Heading3"/>
        <w:spacing w:before="240" w:after="120"/>
      </w:pPr>
      <w:r>
        <w:rPr>
          <w:rFonts w:ascii="Arial" w:cs="Arial" w:eastAsia="Arial" w:hAnsi="Arial"/>
        </w:rPr>
        <w:t xml:space="preserve">10.5 State Continuation</w:t>
      </w:r>
    </w:p>
    <w:p>
      <w:pPr>
        <w:spacing w:after="160"/>
      </w:pPr>
      <w:r>
        <w:rPr>
          <w:rFonts w:ascii="Arial" w:cs="Arial" w:eastAsia="Arial" w:hAnsi="Arial"/>
          <w:sz w:val="22"/>
          <w:szCs w:val="22"/>
        </w:rPr>
        <w:t xml:space="preserve">States that elect to continue issuing identification documents conforming to standards established under this Act following program sunset may do so under State authority and at State expense. Documents issued by States under this subsection shall not be subject to the expiration limitations of this section.</w:t>
      </w:r>
    </w:p>
    <w:p>
      <w:r>
        <w:br w:type="page"/>
      </w:r>
    </w:p>
    <w:p>
      <w:pPr>
        <w:pStyle w:val="Heading1"/>
        <w:spacing w:before="400" w:after="200"/>
      </w:pPr>
      <w:r>
        <w:rPr>
          <w:rFonts w:ascii="Arial" w:cs="Arial" w:eastAsia="Arial" w:hAnsi="Arial"/>
        </w:rPr>
        <w:t xml:space="preserve">Part VI: IT Architecture</w:t>
      </w:r>
    </w:p>
    <w:p>
      <w:pPr>
        <w:pStyle w:val="Heading2"/>
        <w:spacing w:before="300" w:after="150"/>
      </w:pPr>
      <w:r>
        <w:rPr>
          <w:rFonts w:ascii="Arial" w:cs="Arial" w:eastAsia="Arial" w:hAnsi="Arial"/>
        </w:rPr>
        <w:t xml:space="preserve">Section 11: Design Principles</w:t>
      </w:r>
    </w:p>
    <w:p>
      <w:pPr>
        <w:pStyle w:val="Heading3"/>
        <w:spacing w:before="240" w:after="120"/>
      </w:pPr>
      <w:r>
        <w:rPr>
          <w:rFonts w:ascii="Arial" w:cs="Arial" w:eastAsia="Arial" w:hAnsi="Arial"/>
        </w:rPr>
        <w:t xml:space="preserve">11.1 No Election Day IT Dependency</w:t>
      </w:r>
    </w:p>
    <w:p>
      <w:pPr>
        <w:spacing w:after="160"/>
      </w:pPr>
      <w:r>
        <w:rPr>
          <w:rFonts w:ascii="Arial" w:cs="Arial" w:eastAsia="Arial" w:hAnsi="Arial"/>
          <w:sz w:val="22"/>
          <w:szCs w:val="22"/>
        </w:rPr>
        <w:t xml:space="preserve">The identification document is the verification. Poll workers shall verify identification by visual inspection of the physical card, comparable to verification of driver's licenses. No database lookup, network connectivity, or electronic verification shall be required at the polling place.</w:t>
      </w:r>
    </w:p>
    <w:p>
      <w:pPr>
        <w:spacing w:after="120"/>
      </w:pPr>
    </w:p>
    <w:p>
      <w:pPr>
        <w:spacing w:after="160"/>
      </w:pPr>
      <w:r>
        <w:rPr>
          <w:rFonts w:ascii="Arial" w:cs="Arial" w:eastAsia="Arial" w:hAnsi="Arial"/>
          <w:i/>
          <w:iCs/>
          <w:sz w:val="22"/>
          <w:szCs w:val="22"/>
        </w:rPr>
        <w:t xml:space="preserve">If every federal system goes offline on Election Day, every validly-issued card remains valid. The card in hand is the credential.</w:t>
      </w:r>
    </w:p>
    <w:p>
      <w:pPr>
        <w:spacing w:after="120"/>
      </w:pPr>
    </w:p>
    <w:p>
      <w:pPr>
        <w:pStyle w:val="Heading3"/>
        <w:spacing w:before="240" w:after="120"/>
      </w:pPr>
      <w:r>
        <w:rPr>
          <w:rFonts w:ascii="Arial" w:cs="Arial" w:eastAsia="Arial" w:hAnsi="Arial"/>
        </w:rPr>
        <w:t xml:space="preserve">11.2 Federated Architecture</w:t>
      </w:r>
    </w:p>
    <w:p>
      <w:pPr>
        <w:spacing w:after="160"/>
      </w:pPr>
      <w:r>
        <w:rPr>
          <w:rFonts w:ascii="Arial" w:cs="Arial" w:eastAsia="Arial" w:hAnsi="Arial"/>
          <w:sz w:val="22"/>
          <w:szCs w:val="22"/>
        </w:rPr>
        <w:t xml:space="preserve">Birth record verification shall be conducted through direct queries to State vital records systems. No centralized federal repository of birth records shall be created or maintained under this program.</w:t>
      </w:r>
    </w:p>
    <w:p>
      <w:pPr>
        <w:spacing w:after="120"/>
      </w:pPr>
    </w:p>
    <w:p>
      <w:pPr>
        <w:pStyle w:val="Heading3"/>
        <w:spacing w:before="240" w:after="120"/>
      </w:pPr>
      <w:r>
        <w:rPr>
          <w:rFonts w:ascii="Arial" w:cs="Arial" w:eastAsia="Arial" w:hAnsi="Arial"/>
        </w:rPr>
        <w:t xml:space="preserve">11.3 No Central Database of Cardholders</w:t>
      </w:r>
    </w:p>
    <w:p>
      <w:pPr>
        <w:spacing w:after="160"/>
      </w:pPr>
      <w:r>
        <w:rPr>
          <w:rFonts w:ascii="Arial" w:cs="Arial" w:eastAsia="Arial" w:hAnsi="Arial"/>
          <w:sz w:val="22"/>
          <w:szCs w:val="22"/>
        </w:rPr>
        <w:t xml:space="preserve">No centralized federal database of program participants or cardholders shall be created or maintained. Records of applications and issuances shall be maintained by participating State agencies. Federal records shall be limited to aggregate statistics necessary for program oversight.</w:t>
      </w:r>
    </w:p>
    <w:p>
      <w:pPr>
        <w:spacing w:after="120"/>
      </w:pPr>
    </w:p>
    <w:p>
      <w:pPr>
        <w:pStyle w:val="Heading2"/>
        <w:spacing w:before="300" w:after="150"/>
      </w:pPr>
      <w:r>
        <w:rPr>
          <w:rFonts w:ascii="Arial" w:cs="Arial" w:eastAsia="Arial" w:hAnsi="Arial"/>
        </w:rPr>
        <w:t xml:space="preserve">Section 12: Production and Redundancy</w:t>
      </w:r>
    </w:p>
    <w:p>
      <w:pPr>
        <w:pStyle w:val="Heading3"/>
        <w:spacing w:before="240" w:after="120"/>
      </w:pPr>
      <w:r>
        <w:rPr>
          <w:rFonts w:ascii="Arial" w:cs="Arial" w:eastAsia="Arial" w:hAnsi="Arial"/>
        </w:rPr>
        <w:t xml:space="preserve">12.1 Distributed Production</w:t>
      </w:r>
    </w:p>
    <w:p>
      <w:pPr>
        <w:spacing w:after="160"/>
      </w:pPr>
      <w:r>
        <w:rPr>
          <w:rFonts w:ascii="Arial" w:cs="Arial" w:eastAsia="Arial" w:hAnsi="Arial"/>
          <w:sz w:val="22"/>
          <w:szCs w:val="22"/>
        </w:rPr>
        <w:t xml:space="preserve">Card production shall be distributed among at least three geographically dispersed facilities to ensure continuity in the event of facility failure or natural disaster.</w:t>
      </w:r>
    </w:p>
    <w:p>
      <w:pPr>
        <w:spacing w:after="120"/>
      </w:pPr>
    </w:p>
    <w:p>
      <w:pPr>
        <w:pStyle w:val="Heading3"/>
        <w:spacing w:before="240" w:after="120"/>
      </w:pPr>
      <w:r>
        <w:rPr>
          <w:rFonts w:ascii="Arial" w:cs="Arial" w:eastAsia="Arial" w:hAnsi="Arial"/>
        </w:rPr>
        <w:t xml:space="preserve">12.2 Paper Fallback</w:t>
      </w:r>
    </w:p>
    <w:p>
      <w:pPr>
        <w:spacing w:after="160"/>
      </w:pPr>
      <w:r>
        <w:rPr>
          <w:rFonts w:ascii="Arial" w:cs="Arial" w:eastAsia="Arial" w:hAnsi="Arial"/>
          <w:sz w:val="22"/>
          <w:szCs w:val="22"/>
        </w:rPr>
        <w:t xml:space="preserve">If electronic verification systems are unavailable, applications may be processed using certified paper copies of vital records or through the attestation pathway.</w:t>
      </w:r>
    </w:p>
    <w:p>
      <w:pPr>
        <w:spacing w:after="120"/>
      </w:pPr>
    </w:p>
    <w:p>
      <w:pPr>
        <w:pStyle w:val="Heading3"/>
        <w:spacing w:before="240" w:after="120"/>
      </w:pPr>
      <w:r>
        <w:rPr>
          <w:rFonts w:ascii="Arial" w:cs="Arial" w:eastAsia="Arial" w:hAnsi="Arial"/>
        </w:rPr>
        <w:t xml:space="preserve">12.3 Provisional Voting</w:t>
      </w:r>
    </w:p>
    <w:p>
      <w:pPr>
        <w:spacing w:after="160"/>
      </w:pPr>
      <w:r>
        <w:rPr>
          <w:rFonts w:ascii="Arial" w:cs="Arial" w:eastAsia="Arial" w:hAnsi="Arial"/>
          <w:sz w:val="22"/>
          <w:szCs w:val="22"/>
        </w:rPr>
        <w:t xml:space="preserve">An applicant whose application is pending on Election Day may cast a provisional ballot. The ballot shall be counted upon verification that the application was approved.</w:t>
      </w:r>
    </w:p>
    <w:p>
      <w:r>
        <w:br w:type="page"/>
      </w:r>
    </w:p>
    <w:p>
      <w:pPr>
        <w:pStyle w:val="Heading1"/>
        <w:spacing w:before="400" w:after="200"/>
      </w:pPr>
      <w:r>
        <w:rPr>
          <w:rFonts w:ascii="Arial" w:cs="Arial" w:eastAsia="Arial" w:hAnsi="Arial"/>
        </w:rPr>
        <w:t xml:space="preserve">Part VII: Funding</w:t>
      </w:r>
    </w:p>
    <w:p>
      <w:pPr>
        <w:pStyle w:val="Heading2"/>
        <w:spacing w:before="300" w:after="150"/>
      </w:pPr>
      <w:r>
        <w:rPr>
          <w:rFonts w:ascii="Arial" w:cs="Arial" w:eastAsia="Arial" w:hAnsi="Arial"/>
        </w:rPr>
        <w:t xml:space="preserve">Section 13: Formula-Based Allocation</w:t>
      </w:r>
    </w:p>
    <w:p>
      <w:pPr>
        <w:pStyle w:val="Heading3"/>
        <w:spacing w:before="240" w:after="120"/>
      </w:pPr>
      <w:r>
        <w:rPr>
          <w:rFonts w:ascii="Arial" w:cs="Arial" w:eastAsia="Arial" w:hAnsi="Arial"/>
        </w:rPr>
        <w:t xml:space="preserve">13.1 No Discretionary Allocation</w:t>
      </w:r>
    </w:p>
    <w:p>
      <w:pPr>
        <w:spacing w:after="160"/>
      </w:pPr>
      <w:r>
        <w:rPr>
          <w:rFonts w:ascii="Arial" w:cs="Arial" w:eastAsia="Arial" w:hAnsi="Arial"/>
          <w:sz w:val="22"/>
          <w:szCs w:val="22"/>
        </w:rPr>
        <w:t xml:space="preserve">Funds shall be allocated to participating States by formula based on:</w:t>
      </w:r>
    </w:p>
    <w:p>
      <w:pPr>
        <w:pStyle w:val="ListParagraph"/>
        <w:numPr>
          <w:ilvl w:val="0"/>
          <w:numId w:val="2"/>
        </w:numPr>
        <w:spacing w:after="80"/>
      </w:pPr>
      <w:r>
        <w:rPr>
          <w:rFonts w:ascii="Arial" w:cs="Arial" w:eastAsia="Arial" w:hAnsi="Arial"/>
          <w:sz w:val="22"/>
          <w:szCs w:val="22"/>
        </w:rPr>
        <w:t xml:space="preserve">Population lacking government-issued photo identification</w:t>
      </w:r>
    </w:p>
    <w:p>
      <w:pPr>
        <w:pStyle w:val="ListParagraph"/>
        <w:numPr>
          <w:ilvl w:val="0"/>
          <w:numId w:val="2"/>
        </w:numPr>
        <w:spacing w:after="80"/>
      </w:pPr>
      <w:r>
        <w:rPr>
          <w:rFonts w:ascii="Arial" w:cs="Arial" w:eastAsia="Arial" w:hAnsi="Arial"/>
          <w:sz w:val="22"/>
          <w:szCs w:val="22"/>
        </w:rPr>
        <w:t xml:space="preserve">Population age 62 and older</w:t>
      </w:r>
    </w:p>
    <w:p>
      <w:pPr>
        <w:pStyle w:val="ListParagraph"/>
        <w:numPr>
          <w:ilvl w:val="0"/>
          <w:numId w:val="2"/>
        </w:numPr>
        <w:spacing w:after="80"/>
      </w:pPr>
      <w:r>
        <w:rPr>
          <w:rFonts w:ascii="Arial" w:cs="Arial" w:eastAsia="Arial" w:hAnsi="Arial"/>
          <w:sz w:val="22"/>
          <w:szCs w:val="22"/>
        </w:rPr>
        <w:t xml:space="preserve">Population below 150% of the federal poverty level</w:t>
      </w:r>
    </w:p>
    <w:p>
      <w:pPr>
        <w:spacing w:after="120"/>
      </w:pPr>
    </w:p>
    <w:p>
      <w:pPr>
        <w:spacing w:after="160"/>
      </w:pPr>
      <w:r>
        <w:rPr>
          <w:rFonts w:ascii="Arial" w:cs="Arial" w:eastAsia="Arial" w:hAnsi="Arial"/>
          <w:sz w:val="22"/>
          <w:szCs w:val="22"/>
        </w:rPr>
        <w:t xml:space="preserve">The Secretary shall have no discretion to reallocate funds among participating States except for funds that would otherwise be allocated to non-participating States.</w:t>
      </w:r>
    </w:p>
    <w:p>
      <w:pPr>
        <w:spacing w:after="120"/>
      </w:pPr>
    </w:p>
    <w:p>
      <w:pPr>
        <w:pStyle w:val="Heading3"/>
        <w:spacing w:before="240" w:after="120"/>
      </w:pPr>
      <w:r>
        <w:rPr>
          <w:rFonts w:ascii="Arial" w:cs="Arial" w:eastAsia="Arial" w:hAnsi="Arial"/>
        </w:rPr>
        <w:t xml:space="preserve">13.2 Mandatory Appropriation</w:t>
      </w:r>
    </w:p>
    <w:p>
      <w:pPr>
        <w:spacing w:after="160"/>
      </w:pPr>
      <w:r>
        <w:rPr>
          <w:rFonts w:ascii="Arial" w:cs="Arial" w:eastAsia="Arial" w:hAnsi="Arial"/>
          <w:sz w:val="22"/>
          <w:szCs w:val="22"/>
        </w:rPr>
        <w:t xml:space="preserve">Funds for this program shall be appropriated on a mandatory basis. Anti-rescission language shall prevent the Executive Branch from impounding or failing to obligate appropriated funds.</w:t>
      </w:r>
    </w:p>
    <w:p>
      <w:pPr>
        <w:spacing w:after="120"/>
      </w:pPr>
    </w:p>
    <w:p>
      <w:pPr>
        <w:pStyle w:val="Heading2"/>
        <w:spacing w:before="300" w:after="150"/>
      </w:pPr>
      <w:r>
        <w:rPr>
          <w:rFonts w:ascii="Arial" w:cs="Arial" w:eastAsia="Arial" w:hAnsi="Arial"/>
        </w:rPr>
        <w:t xml:space="preserve">Section 14: Cost Estimates</w:t>
      </w:r>
    </w:p>
    <w:p>
      <w:pPr>
        <w:spacing w:after="160"/>
      </w:pPr>
      <w:r>
        <w:rPr>
          <w:rFonts w:ascii="Arial" w:cs="Arial" w:eastAsia="Arial" w:hAnsi="Arial"/>
          <w:sz w:val="22"/>
          <w:szCs w:val="22"/>
        </w:rPr>
        <w:t xml:space="preserve">Estimated program costs over the 10-year authorization period: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Card production (21M × $8)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 million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State administrative reimbursement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$200–400 million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Federal coordination and 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million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Healthcare facility reimbursement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$250–375 million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SSA dedicated funding (federal fallback)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by participation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Public awareness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million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20"/>
                <w:szCs w:val="20"/>
              </w:rPr>
              <w:t xml:space="preserve">TOTAL (10 years)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million – $1.1 billion</w:t>
            </w:r>
          </w:p>
        </w:tc>
      </w:tr>
    </w:tbl>
    <w:p>
      <w:pPr>
        <w:spacing w:after="120"/>
      </w:pPr>
    </w:p>
    <w:p>
      <w:pPr>
        <w:spacing w:after="160"/>
      </w:pPr>
      <w:r>
        <w:rPr>
          <w:rFonts w:ascii="Arial" w:cs="Arial" w:eastAsia="Arial" w:hAnsi="Arial"/>
          <w:sz w:val="22"/>
          <w:szCs w:val="22"/>
        </w:rPr>
        <w:t xml:space="preserve">Ongoing maintenance costs in Years 8–10 are estimated at $20–40 million annually. No ongoing federal costs following program sunset.</w:t>
      </w:r>
    </w:p>
    <w:p>
      <w:r>
        <w:br w:type="page"/>
      </w:r>
    </w:p>
    <w:p>
      <w:pPr>
        <w:pStyle w:val="Heading1"/>
        <w:spacing w:before="400" w:after="200"/>
      </w:pPr>
      <w:r>
        <w:rPr>
          <w:rFonts w:ascii="Arial" w:cs="Arial" w:eastAsia="Arial" w:hAnsi="Arial"/>
        </w:rPr>
        <w:t xml:space="preserve">Part VIII: Safeguards Against Weaponization</w:t>
      </w:r>
    </w:p>
    <w:p>
      <w:pPr>
        <w:pStyle w:val="Heading2"/>
        <w:spacing w:before="300" w:after="150"/>
      </w:pPr>
      <w:r>
        <w:rPr>
          <w:rFonts w:ascii="Arial" w:cs="Arial" w:eastAsia="Arial" w:hAnsi="Arial"/>
        </w:rPr>
        <w:t xml:space="preserve">Section 15: Eligibility Lock</w:t>
      </w:r>
    </w:p>
    <w:p>
      <w:pPr>
        <w:pStyle w:val="Heading3"/>
        <w:spacing w:before="240" w:after="120"/>
      </w:pPr>
      <w:r>
        <w:rPr>
          <w:rFonts w:ascii="Arial" w:cs="Arial" w:eastAsia="Arial" w:hAnsi="Arial"/>
        </w:rPr>
        <w:t xml:space="preserve">15.1 Statutory Specification</w:t>
      </w:r>
    </w:p>
    <w:p>
      <w:pPr>
        <w:spacing w:after="160"/>
      </w:pPr>
      <w:r>
        <w:rPr>
          <w:rFonts w:ascii="Arial" w:cs="Arial" w:eastAsia="Arial" w:hAnsi="Arial"/>
          <w:sz w:val="22"/>
          <w:szCs w:val="22"/>
        </w:rPr>
        <w:t xml:space="preserve">All eligibility criteria are specified in statute. No regulation promulgated under this Act may impose eligibility requirements beyond those specified in statute. Any rule purporting to add, expand, or restrict eligibility criteria shall be void.</w:t>
      </w:r>
    </w:p>
    <w:p>
      <w:pPr>
        <w:spacing w:after="120"/>
      </w:pPr>
    </w:p>
    <w:p>
      <w:pPr>
        <w:pStyle w:val="Heading3"/>
        <w:spacing w:before="240" w:after="120"/>
      </w:pPr>
      <w:r>
        <w:rPr>
          <w:rFonts w:ascii="Arial" w:cs="Arial" w:eastAsia="Arial" w:hAnsi="Arial"/>
        </w:rPr>
        <w:t xml:space="preserve">15.2 Attestation Requirements</w:t>
      </w:r>
    </w:p>
    <w:p>
      <w:pPr>
        <w:spacing w:after="160"/>
      </w:pPr>
      <w:r>
        <w:rPr>
          <w:rFonts w:ascii="Arial" w:cs="Arial" w:eastAsia="Arial" w:hAnsi="Arial"/>
          <w:sz w:val="22"/>
          <w:szCs w:val="22"/>
        </w:rPr>
        <w:t xml:space="preserve">The attestation pathway requirements are enumerated in statute. No additional requirements may be imposed by regulation.</w:t>
      </w:r>
    </w:p>
    <w:p>
      <w:pPr>
        <w:spacing w:after="120"/>
      </w:pPr>
    </w:p>
    <w:p>
      <w:pPr>
        <w:pStyle w:val="Heading2"/>
        <w:spacing w:before="300" w:after="150"/>
      </w:pPr>
      <w:r>
        <w:rPr>
          <w:rFonts w:ascii="Arial" w:cs="Arial" w:eastAsia="Arial" w:hAnsi="Arial"/>
        </w:rPr>
        <w:t xml:space="preserve">Section 16: Timing Protections</w:t>
      </w:r>
    </w:p>
    <w:p>
      <w:pPr>
        <w:pStyle w:val="Heading3"/>
        <w:spacing w:before="240" w:after="120"/>
      </w:pPr>
      <w:r>
        <w:rPr>
          <w:rFonts w:ascii="Arial" w:cs="Arial" w:eastAsia="Arial" w:hAnsi="Arial"/>
        </w:rPr>
        <w:t xml:space="preserve">16.1 Election Period Freeze</w:t>
      </w:r>
    </w:p>
    <w:p>
      <w:pPr>
        <w:spacing w:after="160"/>
      </w:pPr>
      <w:r>
        <w:rPr>
          <w:rFonts w:ascii="Arial" w:cs="Arial" w:eastAsia="Arial" w:hAnsi="Arial"/>
          <w:sz w:val="22"/>
          <w:szCs w:val="22"/>
        </w:rPr>
        <w:t xml:space="preserve">No scheduled maintenance, system closures, or processing suspensions shall occur during the period beginning 90 days before and ending 30 days after any federal election.</w:t>
      </w:r>
    </w:p>
    <w:p>
      <w:pPr>
        <w:spacing w:after="120"/>
      </w:pPr>
    </w:p>
    <w:p>
      <w:pPr>
        <w:pStyle w:val="Heading3"/>
        <w:spacing w:before="240" w:after="120"/>
      </w:pPr>
      <w:r>
        <w:rPr>
          <w:rFonts w:ascii="Arial" w:cs="Arial" w:eastAsia="Arial" w:hAnsi="Arial"/>
        </w:rPr>
        <w:t xml:space="preserve">16.2 Emergency Exception</w:t>
      </w:r>
    </w:p>
    <w:p>
      <w:pPr>
        <w:spacing w:after="160"/>
      </w:pPr>
      <w:r>
        <w:rPr>
          <w:rFonts w:ascii="Arial" w:cs="Arial" w:eastAsia="Arial" w:hAnsi="Arial"/>
          <w:sz w:val="22"/>
          <w:szCs w:val="22"/>
        </w:rPr>
        <w:t xml:space="preserve">Emergency maintenance during the protected period requires:</w:t>
      </w:r>
    </w:p>
    <w:p>
      <w:pPr>
        <w:pStyle w:val="ListParagraph"/>
        <w:numPr>
          <w:ilvl w:val="0"/>
          <w:numId w:val="2"/>
        </w:numPr>
        <w:spacing w:after="80"/>
      </w:pPr>
      <w:r>
        <w:rPr>
          <w:rFonts w:ascii="Arial" w:cs="Arial" w:eastAsia="Arial" w:hAnsi="Arial"/>
          <w:sz w:val="22"/>
          <w:szCs w:val="22"/>
        </w:rPr>
        <w:t xml:space="preserve">Certification by the Secretary that the maintenance is necessary to prevent imminent system failure</w:t>
      </w:r>
    </w:p>
    <w:p>
      <w:pPr>
        <w:pStyle w:val="ListParagraph"/>
        <w:numPr>
          <w:ilvl w:val="0"/>
          <w:numId w:val="2"/>
        </w:numPr>
        <w:spacing w:after="80"/>
      </w:pPr>
      <w:r>
        <w:rPr>
          <w:rFonts w:ascii="Arial" w:cs="Arial" w:eastAsia="Arial" w:hAnsi="Arial"/>
          <w:sz w:val="22"/>
          <w:szCs w:val="22"/>
        </w:rPr>
        <w:t xml:space="preserve">Notification to Congress within 24 hours</w:t>
      </w:r>
    </w:p>
    <w:p>
      <w:pPr>
        <w:pStyle w:val="ListParagraph"/>
        <w:numPr>
          <w:ilvl w:val="0"/>
          <w:numId w:val="2"/>
        </w:numPr>
        <w:spacing w:after="80"/>
      </w:pPr>
      <w:r>
        <w:rPr>
          <w:rFonts w:ascii="Arial" w:cs="Arial" w:eastAsia="Arial" w:hAnsi="Arial"/>
          <w:sz w:val="22"/>
          <w:szCs w:val="22"/>
        </w:rPr>
        <w:t xml:space="preserve">Public disclosure of the nature and duration of the maintenance</w:t>
      </w:r>
    </w:p>
    <w:p>
      <w:pPr>
        <w:spacing w:after="120"/>
      </w:pPr>
    </w:p>
    <w:p>
      <w:pPr>
        <w:pStyle w:val="Heading2"/>
        <w:spacing w:before="300" w:after="150"/>
      </w:pPr>
      <w:r>
        <w:rPr>
          <w:rFonts w:ascii="Arial" w:cs="Arial" w:eastAsia="Arial" w:hAnsi="Arial"/>
        </w:rPr>
        <w:t xml:space="preserve">Section 17: Data Protections</w:t>
      </w:r>
    </w:p>
    <w:p>
      <w:pPr>
        <w:pStyle w:val="Heading3"/>
        <w:spacing w:before="240" w:after="120"/>
      </w:pPr>
      <w:r>
        <w:rPr>
          <w:rFonts w:ascii="Arial" w:cs="Arial" w:eastAsia="Arial" w:hAnsi="Arial"/>
        </w:rPr>
        <w:t xml:space="preserve">17.1 Firewalls</w:t>
      </w:r>
    </w:p>
    <w:p>
      <w:pPr>
        <w:spacing w:after="160"/>
      </w:pPr>
      <w:r>
        <w:rPr>
          <w:rFonts w:ascii="Arial" w:cs="Arial" w:eastAsia="Arial" w:hAnsi="Arial"/>
          <w:sz w:val="22"/>
          <w:szCs w:val="22"/>
        </w:rPr>
        <w:t xml:space="preserve">Information collected under this program shall not be shared with:</w:t>
      </w:r>
    </w:p>
    <w:p>
      <w:pPr>
        <w:pStyle w:val="ListParagraph"/>
        <w:numPr>
          <w:ilvl w:val="0"/>
          <w:numId w:val="2"/>
        </w:numPr>
        <w:spacing w:after="80"/>
      </w:pPr>
      <w:r>
        <w:rPr>
          <w:rFonts w:ascii="Arial" w:cs="Arial" w:eastAsia="Arial" w:hAnsi="Arial"/>
          <w:sz w:val="22"/>
          <w:szCs w:val="22"/>
        </w:rPr>
        <w:t xml:space="preserve">Immigration enforcement agencies</w:t>
      </w:r>
    </w:p>
    <w:p>
      <w:pPr>
        <w:pStyle w:val="ListParagraph"/>
        <w:numPr>
          <w:ilvl w:val="0"/>
          <w:numId w:val="2"/>
        </w:numPr>
        <w:spacing w:after="80"/>
      </w:pPr>
      <w:r>
        <w:rPr>
          <w:rFonts w:ascii="Arial" w:cs="Arial" w:eastAsia="Arial" w:hAnsi="Arial"/>
          <w:sz w:val="22"/>
          <w:szCs w:val="22"/>
        </w:rPr>
        <w:t xml:space="preserve">Law enforcement agencies (except pursuant to a judicial warrant)</w:t>
      </w:r>
    </w:p>
    <w:p>
      <w:pPr>
        <w:pStyle w:val="ListParagraph"/>
        <w:numPr>
          <w:ilvl w:val="0"/>
          <w:numId w:val="2"/>
        </w:numPr>
        <w:spacing w:after="80"/>
      </w:pPr>
      <w:r>
        <w:rPr>
          <w:rFonts w:ascii="Arial" w:cs="Arial" w:eastAsia="Arial" w:hAnsi="Arial"/>
          <w:sz w:val="22"/>
          <w:szCs w:val="22"/>
        </w:rPr>
        <w:t xml:space="preserve">Any agency for purposes other than identification issuance</w:t>
      </w:r>
    </w:p>
    <w:p>
      <w:pPr>
        <w:spacing w:after="120"/>
      </w:pPr>
    </w:p>
    <w:p>
      <w:pPr>
        <w:pStyle w:val="Heading3"/>
        <w:spacing w:before="240" w:after="120"/>
      </w:pPr>
      <w:r>
        <w:rPr>
          <w:rFonts w:ascii="Arial" w:cs="Arial" w:eastAsia="Arial" w:hAnsi="Arial"/>
        </w:rPr>
        <w:t xml:space="preserve">17.2 No Inference</w:t>
      </w:r>
    </w:p>
    <w:p>
      <w:pPr>
        <w:spacing w:after="160"/>
      </w:pPr>
      <w:r>
        <w:rPr>
          <w:rFonts w:ascii="Arial" w:cs="Arial" w:eastAsia="Arial" w:hAnsi="Arial"/>
          <w:sz w:val="22"/>
          <w:szCs w:val="22"/>
        </w:rPr>
        <w:t xml:space="preserve">Application for or receipt of identification under this program shall not be used to infer immigration status, criminal history, or eligibility for any benefit program.</w:t>
      </w:r>
    </w:p>
    <w:p>
      <w:pPr>
        <w:spacing w:after="120"/>
      </w:pPr>
    </w:p>
    <w:p>
      <w:pPr>
        <w:pStyle w:val="Heading3"/>
        <w:spacing w:before="240" w:after="120"/>
      </w:pPr>
      <w:r>
        <w:rPr>
          <w:rFonts w:ascii="Arial" w:cs="Arial" w:eastAsia="Arial" w:hAnsi="Arial"/>
        </w:rPr>
        <w:t xml:space="preserve">17.3 Violation Penalties</w:t>
      </w:r>
    </w:p>
    <w:p>
      <w:pPr>
        <w:spacing w:after="160"/>
      </w:pPr>
      <w:r>
        <w:rPr>
          <w:rFonts w:ascii="Arial" w:cs="Arial" w:eastAsia="Arial" w:hAnsi="Arial"/>
          <w:sz w:val="22"/>
          <w:szCs w:val="22"/>
        </w:rPr>
        <w:t xml:space="preserve">Any federal employee who violates the data protection provisions of this section shall be subject to termination and a misdemeanor penalty of up to $10,000.</w:t>
      </w:r>
    </w:p>
    <w:p>
      <w:pPr>
        <w:spacing w:after="120"/>
      </w:pPr>
    </w:p>
    <w:p>
      <w:pPr>
        <w:pStyle w:val="Heading2"/>
        <w:spacing w:before="300" w:after="150"/>
      </w:pPr>
      <w:r>
        <w:rPr>
          <w:rFonts w:ascii="Arial" w:cs="Arial" w:eastAsia="Arial" w:hAnsi="Arial"/>
        </w:rPr>
        <w:t xml:space="preserve">Section 18: Voter Notification</w:t>
      </w:r>
    </w:p>
    <w:p>
      <w:pPr>
        <w:pStyle w:val="Heading3"/>
        <w:spacing w:before="240" w:after="120"/>
      </w:pPr>
      <w:r>
        <w:rPr>
          <w:rFonts w:ascii="Arial" w:cs="Arial" w:eastAsia="Arial" w:hAnsi="Arial"/>
        </w:rPr>
        <w:t xml:space="preserve">18.1 90-Day Reminder</w:t>
      </w:r>
    </w:p>
    <w:p>
      <w:pPr>
        <w:spacing w:after="160"/>
      </w:pPr>
      <w:r>
        <w:rPr>
          <w:rFonts w:ascii="Arial" w:cs="Arial" w:eastAsia="Arial" w:hAnsi="Arial"/>
          <w:sz w:val="22"/>
          <w:szCs w:val="22"/>
        </w:rPr>
        <w:t xml:space="preserve">Primary election notifications sent to registered voters (typically 120 days before the general election) shall include a reminder to apply for identification under this program at least 90 days before the election if the voter lacks valid photo identification.</w:t>
      </w:r>
    </w:p>
    <w:p>
      <w:pPr>
        <w:spacing w:after="120"/>
      </w:pPr>
    </w:p>
    <w:p>
      <w:pPr>
        <w:pStyle w:val="Heading3"/>
        <w:spacing w:before="240" w:after="120"/>
      </w:pPr>
      <w:r>
        <w:rPr>
          <w:rFonts w:ascii="Arial" w:cs="Arial" w:eastAsia="Arial" w:hAnsi="Arial"/>
        </w:rPr>
        <w:t xml:space="preserve">18.2 Purpose</w:t>
      </w:r>
    </w:p>
    <w:p>
      <w:pPr>
        <w:spacing w:after="160"/>
      </w:pPr>
      <w:r>
        <w:rPr>
          <w:rFonts w:ascii="Arial" w:cs="Arial" w:eastAsia="Arial" w:hAnsi="Arial"/>
          <w:sz w:val="22"/>
          <w:szCs w:val="22"/>
        </w:rPr>
        <w:t xml:space="preserve">The 90-day reminder:</w:t>
      </w:r>
    </w:p>
    <w:p>
      <w:pPr>
        <w:pStyle w:val="ListParagraph"/>
        <w:numPr>
          <w:ilvl w:val="0"/>
          <w:numId w:val="2"/>
        </w:numPr>
        <w:spacing w:after="80"/>
      </w:pPr>
      <w:r>
        <w:rPr>
          <w:rFonts w:ascii="Arial" w:cs="Arial" w:eastAsia="Arial" w:hAnsi="Arial"/>
          <w:sz w:val="22"/>
          <w:szCs w:val="22"/>
        </w:rPr>
        <w:t xml:space="preserve">Creates documented notice that voters were informed of the program</w:t>
      </w:r>
    </w:p>
    <w:p>
      <w:pPr>
        <w:pStyle w:val="ListParagraph"/>
        <w:numPr>
          <w:ilvl w:val="0"/>
          <w:numId w:val="2"/>
        </w:numPr>
        <w:spacing w:after="80"/>
      </w:pPr>
      <w:r>
        <w:rPr>
          <w:rFonts w:ascii="Arial" w:cs="Arial" w:eastAsia="Arial" w:hAnsi="Arial"/>
          <w:sz w:val="22"/>
          <w:szCs w:val="22"/>
        </w:rPr>
        <w:t xml:space="preserve">Front-loads application demand before processing bottlenecks</w:t>
      </w:r>
    </w:p>
    <w:p>
      <w:pPr>
        <w:pStyle w:val="ListParagraph"/>
        <w:numPr>
          <w:ilvl w:val="0"/>
          <w:numId w:val="2"/>
        </w:numPr>
        <w:spacing w:after="80"/>
      </w:pPr>
      <w:r>
        <w:rPr>
          <w:rFonts w:ascii="Arial" w:cs="Arial" w:eastAsia="Arial" w:hAnsi="Arial"/>
          <w:sz w:val="22"/>
          <w:szCs w:val="22"/>
        </w:rPr>
        <w:t xml:space="preserve">Provides political cover against claims of deliberate exclusion</w:t>
      </w:r>
    </w:p>
    <w:p>
      <w:r>
        <w:br w:type="page"/>
      </w:r>
    </w:p>
    <w:p>
      <w:pPr>
        <w:pStyle w:val="Heading1"/>
        <w:spacing w:before="400" w:after="200"/>
      </w:pPr>
      <w:r>
        <w:rPr>
          <w:rFonts w:ascii="Arial" w:cs="Arial" w:eastAsia="Arial" w:hAnsi="Arial"/>
        </w:rPr>
        <w:t xml:space="preserve">Part IX: Oversight and Enforcement</w:t>
      </w:r>
    </w:p>
    <w:p>
      <w:pPr>
        <w:pStyle w:val="Heading2"/>
        <w:spacing w:before="300" w:after="150"/>
      </w:pPr>
      <w:r>
        <w:rPr>
          <w:rFonts w:ascii="Arial" w:cs="Arial" w:eastAsia="Arial" w:hAnsi="Arial"/>
        </w:rPr>
        <w:t xml:space="preserve">Section 19: Trigger-Based Certification</w:t>
      </w:r>
    </w:p>
    <w:p>
      <w:pPr>
        <w:pStyle w:val="Heading3"/>
        <w:spacing w:before="240" w:after="120"/>
      </w:pPr>
      <w:r>
        <w:rPr>
          <w:rFonts w:ascii="Arial" w:cs="Arial" w:eastAsia="Arial" w:hAnsi="Arial"/>
        </w:rPr>
        <w:t xml:space="preserve">19.1 Prerequisite for ID Requirements</w:t>
      </w:r>
    </w:p>
    <w:p>
      <w:pPr>
        <w:spacing w:after="160"/>
      </w:pPr>
      <w:r>
        <w:rPr>
          <w:rFonts w:ascii="Arial" w:cs="Arial" w:eastAsia="Arial" w:hAnsi="Arial"/>
          <w:sz w:val="22"/>
          <w:szCs w:val="22"/>
        </w:rPr>
        <w:t xml:space="preserve">No State law requiring presentation of identification for voting in federal elections shall be enforceable until the Government Accountability Office certifies that:</w:t>
      </w:r>
    </w:p>
    <w:p>
      <w:pPr>
        <w:pStyle w:val="ListParagraph"/>
        <w:numPr>
          <w:ilvl w:val="0"/>
          <w:numId w:val="3"/>
        </w:numPr>
        <w:spacing w:after="80"/>
      </w:pPr>
      <w:r>
        <w:rPr>
          <w:rFonts w:ascii="Arial" w:cs="Arial" w:eastAsia="Arial" w:hAnsi="Arial"/>
          <w:sz w:val="22"/>
          <w:szCs w:val="22"/>
        </w:rPr>
        <w:t xml:space="preserve">At least 95% of eligible citizens in the State have been issued identification under this program or had their application adjudicated;</w:t>
      </w:r>
    </w:p>
    <w:p>
      <w:pPr>
        <w:pStyle w:val="ListParagraph"/>
        <w:numPr>
          <w:ilvl w:val="0"/>
          <w:numId w:val="3"/>
        </w:numPr>
        <w:spacing w:after="80"/>
      </w:pPr>
      <w:r>
        <w:rPr>
          <w:rFonts w:ascii="Arial" w:cs="Arial" w:eastAsia="Arial" w:hAnsi="Arial"/>
          <w:sz w:val="22"/>
          <w:szCs w:val="22"/>
        </w:rPr>
        <w:t xml:space="preserve">Issuance rates among hard-to-reach populations are within 3 percentage points of the general population;</w:t>
      </w:r>
    </w:p>
    <w:p>
      <w:pPr>
        <w:pStyle w:val="ListParagraph"/>
        <w:numPr>
          <w:ilvl w:val="0"/>
          <w:numId w:val="3"/>
        </w:numPr>
        <w:spacing w:after="80"/>
      </w:pPr>
      <w:r>
        <w:rPr>
          <w:rFonts w:ascii="Arial" w:cs="Arial" w:eastAsia="Arial" w:hAnsi="Arial"/>
          <w:sz w:val="22"/>
          <w:szCs w:val="22"/>
        </w:rPr>
        <w:t xml:space="preserve">Average application processing time does not exceed 30 days;</w:t>
      </w:r>
    </w:p>
    <w:p>
      <w:pPr>
        <w:pStyle w:val="ListParagraph"/>
        <w:numPr>
          <w:ilvl w:val="0"/>
          <w:numId w:val="3"/>
        </w:numPr>
        <w:spacing w:after="80"/>
      </w:pPr>
      <w:r>
        <w:rPr>
          <w:rFonts w:ascii="Arial" w:cs="Arial" w:eastAsia="Arial" w:hAnsi="Arial"/>
          <w:sz w:val="22"/>
          <w:szCs w:val="22"/>
        </w:rPr>
        <w:t xml:space="preserve">Denial rate does not exceed 2%.</w:t>
      </w:r>
    </w:p>
    <w:p>
      <w:pPr>
        <w:spacing w:after="120"/>
      </w:pPr>
    </w:p>
    <w:p>
      <w:pPr>
        <w:pStyle w:val="Heading3"/>
        <w:spacing w:before="240" w:after="120"/>
      </w:pPr>
      <w:r>
        <w:rPr>
          <w:rFonts w:ascii="Arial" w:cs="Arial" w:eastAsia="Arial" w:hAnsi="Arial"/>
        </w:rPr>
        <w:t xml:space="preserve">19.2 Hard-to-Reach Populations</w:t>
      </w:r>
    </w:p>
    <w:p>
      <w:pPr>
        <w:spacing w:after="160"/>
      </w:pPr>
      <w:r>
        <w:rPr>
          <w:rFonts w:ascii="Arial" w:cs="Arial" w:eastAsia="Arial" w:hAnsi="Arial"/>
          <w:sz w:val="22"/>
          <w:szCs w:val="22"/>
        </w:rPr>
        <w:t xml:space="preserve">For purposes of certification, "hard-to-reach populations" means:</w:t>
      </w:r>
    </w:p>
    <w:p>
      <w:pPr>
        <w:pStyle w:val="ListParagraph"/>
        <w:numPr>
          <w:ilvl w:val="0"/>
          <w:numId w:val="2"/>
        </w:numPr>
        <w:spacing w:after="80"/>
      </w:pPr>
      <w:r>
        <w:rPr>
          <w:rFonts w:ascii="Arial" w:cs="Arial" w:eastAsia="Arial" w:hAnsi="Arial"/>
          <w:sz w:val="22"/>
          <w:szCs w:val="22"/>
        </w:rPr>
        <w:t xml:space="preserve">Individuals age 65 and older</w:t>
      </w:r>
    </w:p>
    <w:p>
      <w:pPr>
        <w:pStyle w:val="ListParagraph"/>
        <w:numPr>
          <w:ilvl w:val="0"/>
          <w:numId w:val="2"/>
        </w:numPr>
        <w:spacing w:after="80"/>
      </w:pPr>
      <w:r>
        <w:rPr>
          <w:rFonts w:ascii="Arial" w:cs="Arial" w:eastAsia="Arial" w:hAnsi="Arial"/>
          <w:sz w:val="22"/>
          <w:szCs w:val="22"/>
        </w:rPr>
        <w:t xml:space="preserve">Individuals without driver's licenses</w:t>
      </w:r>
    </w:p>
    <w:p>
      <w:pPr>
        <w:pStyle w:val="ListParagraph"/>
        <w:numPr>
          <w:ilvl w:val="0"/>
          <w:numId w:val="2"/>
        </w:numPr>
        <w:spacing w:after="80"/>
      </w:pPr>
      <w:r>
        <w:rPr>
          <w:rFonts w:ascii="Arial" w:cs="Arial" w:eastAsia="Arial" w:hAnsi="Arial"/>
          <w:sz w:val="22"/>
          <w:szCs w:val="22"/>
        </w:rPr>
        <w:t xml:space="preserve">Individuals with household income below 150% of the federal poverty level</w:t>
      </w:r>
    </w:p>
    <w:p>
      <w:pPr>
        <w:pStyle w:val="ListParagraph"/>
        <w:numPr>
          <w:ilvl w:val="0"/>
          <w:numId w:val="2"/>
        </w:numPr>
        <w:spacing w:after="80"/>
      </w:pPr>
      <w:r>
        <w:rPr>
          <w:rFonts w:ascii="Arial" w:cs="Arial" w:eastAsia="Arial" w:hAnsi="Arial"/>
          <w:sz w:val="22"/>
          <w:szCs w:val="22"/>
        </w:rPr>
        <w:t xml:space="preserve">Individuals residing more than 25 miles from the nearest DMV office</w:t>
      </w:r>
    </w:p>
    <w:p>
      <w:pPr>
        <w:pStyle w:val="ListParagraph"/>
        <w:numPr>
          <w:ilvl w:val="0"/>
          <w:numId w:val="2"/>
        </w:numPr>
        <w:spacing w:after="80"/>
      </w:pPr>
      <w:r>
        <w:rPr>
          <w:rFonts w:ascii="Arial" w:cs="Arial" w:eastAsia="Arial" w:hAnsi="Arial"/>
          <w:sz w:val="22"/>
          <w:szCs w:val="22"/>
        </w:rPr>
        <w:t xml:space="preserve">Nursing home and long-term care facility residents</w:t>
      </w:r>
    </w:p>
    <w:p>
      <w:pPr>
        <w:pStyle w:val="ListParagraph"/>
        <w:numPr>
          <w:ilvl w:val="0"/>
          <w:numId w:val="2"/>
        </w:numPr>
        <w:spacing w:after="80"/>
      </w:pPr>
      <w:r>
        <w:rPr>
          <w:rFonts w:ascii="Arial" w:cs="Arial" w:eastAsia="Arial" w:hAnsi="Arial"/>
          <w:sz w:val="22"/>
          <w:szCs w:val="22"/>
        </w:rPr>
        <w:t xml:space="preserve">Individuals experiencing homelessness</w:t>
      </w:r>
    </w:p>
    <w:p>
      <w:pPr>
        <w:spacing w:after="120"/>
      </w:pPr>
    </w:p>
    <w:p>
      <w:pPr>
        <w:pStyle w:val="Heading3"/>
        <w:spacing w:before="240" w:after="120"/>
      </w:pPr>
      <w:r>
        <w:rPr>
          <w:rFonts w:ascii="Arial" w:cs="Arial" w:eastAsia="Arial" w:hAnsi="Arial"/>
        </w:rPr>
        <w:t xml:space="preserve">19.3 Demographic Breakdown</w:t>
      </w:r>
    </w:p>
    <w:p>
      <w:pPr>
        <w:spacing w:after="160"/>
      </w:pPr>
      <w:r>
        <w:rPr>
          <w:rFonts w:ascii="Arial" w:cs="Arial" w:eastAsia="Arial" w:hAnsi="Arial"/>
          <w:sz w:val="22"/>
          <w:szCs w:val="22"/>
        </w:rPr>
        <w:t xml:space="preserve">Certification metrics shall be reported separately by race and ethnicity.</w:t>
      </w:r>
    </w:p>
    <w:p>
      <w:pPr>
        <w:spacing w:after="120"/>
      </w:pPr>
    </w:p>
    <w:p>
      <w:pPr>
        <w:pStyle w:val="Heading3"/>
        <w:spacing w:before="240" w:after="120"/>
      </w:pPr>
      <w:r>
        <w:rPr>
          <w:rFonts w:ascii="Arial" w:cs="Arial" w:eastAsia="Arial" w:hAnsi="Arial"/>
        </w:rPr>
        <w:t xml:space="preserve">19.4 Automatic Suspension</w:t>
      </w:r>
    </w:p>
    <w:p>
      <w:pPr>
        <w:spacing w:after="160"/>
      </w:pPr>
      <w:r>
        <w:rPr>
          <w:rFonts w:ascii="Arial" w:cs="Arial" w:eastAsia="Arial" w:hAnsi="Arial"/>
          <w:sz w:val="22"/>
          <w:szCs w:val="22"/>
        </w:rPr>
        <w:t xml:space="preserve">If benchmarks slip below certification thresholds following initial certification, any ID requirement shall be automatically suspended until benchmarks are again met.</w:t>
      </w:r>
    </w:p>
    <w:p>
      <w:pPr>
        <w:spacing w:after="120"/>
      </w:pPr>
    </w:p>
    <w:p>
      <w:pPr>
        <w:pStyle w:val="Heading3"/>
        <w:spacing w:before="240" w:after="120"/>
      </w:pPr>
      <w:r>
        <w:rPr>
          <w:rFonts w:ascii="Arial" w:cs="Arial" w:eastAsia="Arial" w:hAnsi="Arial"/>
        </w:rPr>
        <w:t xml:space="preserve">19.5 Baseline Survey</w:t>
      </w:r>
    </w:p>
    <w:p>
      <w:pPr>
        <w:spacing w:after="160"/>
      </w:pPr>
      <w:r>
        <w:rPr>
          <w:rFonts w:ascii="Arial" w:cs="Arial" w:eastAsia="Arial" w:hAnsi="Arial"/>
          <w:sz w:val="22"/>
          <w:szCs w:val="22"/>
        </w:rPr>
        <w:t xml:space="preserve">The Secretary shall conduct a baseline survey before program launch to establish the denominator of eligible citizens lacking identification in each State.</w:t>
      </w:r>
    </w:p>
    <w:p>
      <w:pPr>
        <w:spacing w:after="120"/>
      </w:pPr>
    </w:p>
    <w:p>
      <w:pPr>
        <w:pStyle w:val="Heading2"/>
        <w:spacing w:before="300" w:after="150"/>
      </w:pPr>
      <w:r>
        <w:rPr>
          <w:rFonts w:ascii="Arial" w:cs="Arial" w:eastAsia="Arial" w:hAnsi="Arial"/>
        </w:rPr>
        <w:t xml:space="preserve">Section 20: GAO Oversight</w:t>
      </w:r>
    </w:p>
    <w:p>
      <w:pPr>
        <w:pStyle w:val="Heading3"/>
        <w:spacing w:before="240" w:after="120"/>
      </w:pPr>
      <w:r>
        <w:rPr>
          <w:rFonts w:ascii="Arial" w:cs="Arial" w:eastAsia="Arial" w:hAnsi="Arial"/>
        </w:rPr>
        <w:t xml:space="preserve">20.1 Annual Audits</w:t>
      </w:r>
    </w:p>
    <w:p>
      <w:pPr>
        <w:spacing w:after="160"/>
      </w:pPr>
      <w:r>
        <w:rPr>
          <w:rFonts w:ascii="Arial" w:cs="Arial" w:eastAsia="Arial" w:hAnsi="Arial"/>
          <w:sz w:val="22"/>
          <w:szCs w:val="22"/>
        </w:rPr>
        <w:t xml:space="preserve">The Government Accountability Office shall conduct annual audits of:</w:t>
      </w:r>
    </w:p>
    <w:p>
      <w:pPr>
        <w:pStyle w:val="ListParagraph"/>
        <w:numPr>
          <w:ilvl w:val="0"/>
          <w:numId w:val="2"/>
        </w:numPr>
        <w:spacing w:after="80"/>
      </w:pPr>
      <w:r>
        <w:rPr>
          <w:rFonts w:ascii="Arial" w:cs="Arial" w:eastAsia="Arial" w:hAnsi="Arial"/>
          <w:sz w:val="22"/>
          <w:szCs w:val="22"/>
        </w:rPr>
        <w:t xml:space="preserve">Approval and denial rates by State and county</w:t>
      </w:r>
    </w:p>
    <w:p>
      <w:pPr>
        <w:pStyle w:val="ListParagraph"/>
        <w:numPr>
          <w:ilvl w:val="0"/>
          <w:numId w:val="2"/>
        </w:numPr>
        <w:spacing w:after="80"/>
      </w:pPr>
      <w:r>
        <w:rPr>
          <w:rFonts w:ascii="Arial" w:cs="Arial" w:eastAsia="Arial" w:hAnsi="Arial"/>
          <w:sz w:val="22"/>
          <w:szCs w:val="22"/>
        </w:rPr>
        <w:t xml:space="preserve">Processing times by State and county</w:t>
      </w:r>
    </w:p>
    <w:p>
      <w:pPr>
        <w:pStyle w:val="ListParagraph"/>
        <w:numPr>
          <w:ilvl w:val="0"/>
          <w:numId w:val="2"/>
        </w:numPr>
        <w:spacing w:after="80"/>
      </w:pPr>
      <w:r>
        <w:rPr>
          <w:rFonts w:ascii="Arial" w:cs="Arial" w:eastAsia="Arial" w:hAnsi="Arial"/>
          <w:sz w:val="22"/>
          <w:szCs w:val="22"/>
        </w:rPr>
        <w:t xml:space="preserve">Demographic breakdown of applicants, approvals, and denials</w:t>
      </w:r>
    </w:p>
    <w:p>
      <w:pPr>
        <w:pStyle w:val="ListParagraph"/>
        <w:numPr>
          <w:ilvl w:val="0"/>
          <w:numId w:val="2"/>
        </w:numPr>
        <w:spacing w:after="80"/>
      </w:pPr>
      <w:r>
        <w:rPr>
          <w:rFonts w:ascii="Arial" w:cs="Arial" w:eastAsia="Arial" w:hAnsi="Arial"/>
          <w:sz w:val="22"/>
          <w:szCs w:val="22"/>
        </w:rPr>
        <w:t xml:space="preserve">Healthcare facility participation and reimbursement</w:t>
      </w:r>
    </w:p>
    <w:p>
      <w:pPr>
        <w:pStyle w:val="ListParagraph"/>
        <w:numPr>
          <w:ilvl w:val="0"/>
          <w:numId w:val="2"/>
        </w:numPr>
        <w:spacing w:after="80"/>
      </w:pPr>
      <w:r>
        <w:rPr>
          <w:rFonts w:ascii="Arial" w:cs="Arial" w:eastAsia="Arial" w:hAnsi="Arial"/>
          <w:sz w:val="22"/>
          <w:szCs w:val="22"/>
        </w:rPr>
        <w:t xml:space="preserve">Federal fallback utilization</w:t>
      </w:r>
    </w:p>
    <w:p>
      <w:pPr>
        <w:spacing w:after="120"/>
      </w:pPr>
    </w:p>
    <w:p>
      <w:pPr>
        <w:pStyle w:val="Heading3"/>
        <w:spacing w:before="240" w:after="120"/>
      </w:pPr>
      <w:r>
        <w:rPr>
          <w:rFonts w:ascii="Arial" w:cs="Arial" w:eastAsia="Arial" w:hAnsi="Arial"/>
        </w:rPr>
        <w:t xml:space="preserve">20.2 Disparate Impact Triggers</w:t>
      </w:r>
    </w:p>
    <w:p>
      <w:pPr>
        <w:spacing w:after="160"/>
      </w:pPr>
      <w:r>
        <w:rPr>
          <w:rFonts w:ascii="Arial" w:cs="Arial" w:eastAsia="Arial" w:hAnsi="Arial"/>
          <w:sz w:val="22"/>
          <w:szCs w:val="22"/>
        </w:rPr>
        <w:t xml:space="preserve">If denial rates among any demographic group exceed denial rates for the general population by more than 5 percentage points for two consecutive reporting periods, GAO shall initiate an investigation and the administering agency shall develop a remediation plan within 120 days.</w:t>
      </w:r>
    </w:p>
    <w:p>
      <w:pPr>
        <w:spacing w:after="120"/>
      </w:pPr>
    </w:p>
    <w:p>
      <w:pPr>
        <w:pStyle w:val="Heading3"/>
        <w:spacing w:before="240" w:after="120"/>
      </w:pPr>
      <w:r>
        <w:rPr>
          <w:rFonts w:ascii="Arial" w:cs="Arial" w:eastAsia="Arial" w:hAnsi="Arial"/>
        </w:rPr>
        <w:t xml:space="preserve">20.3 Public Reporting</w:t>
      </w:r>
    </w:p>
    <w:p>
      <w:pPr>
        <w:spacing w:after="160"/>
      </w:pPr>
      <w:r>
        <w:rPr>
          <w:rFonts w:ascii="Arial" w:cs="Arial" w:eastAsia="Arial" w:hAnsi="Arial"/>
          <w:sz w:val="22"/>
          <w:szCs w:val="22"/>
        </w:rPr>
        <w:t xml:space="preserve">All audit findings shall be transmitted to Congress and made publicly available.</w:t>
      </w:r>
    </w:p>
    <w:p>
      <w:pPr>
        <w:spacing w:after="120"/>
      </w:pPr>
    </w:p>
    <w:p>
      <w:pPr>
        <w:pStyle w:val="Heading3"/>
        <w:spacing w:before="240" w:after="120"/>
      </w:pPr>
      <w:r>
        <w:rPr>
          <w:rFonts w:ascii="Arial" w:cs="Arial" w:eastAsia="Arial" w:hAnsi="Arial"/>
        </w:rPr>
        <w:t xml:space="preserve">20.4 Year 7 Assessment</w:t>
      </w:r>
    </w:p>
    <w:p>
      <w:pPr>
        <w:spacing w:after="160"/>
      </w:pPr>
      <w:r>
        <w:rPr>
          <w:rFonts w:ascii="Arial" w:cs="Arial" w:eastAsia="Arial" w:hAnsi="Arial"/>
          <w:sz w:val="22"/>
          <w:szCs w:val="22"/>
        </w:rPr>
        <w:t xml:space="preserve">In Year 7 of the program, GAO shall conduct a comprehensive assessment of whether the program has achieved its purpose and make recommendations regarding reauthorization.</w:t>
      </w:r>
    </w:p>
    <w:p>
      <w:pPr>
        <w:spacing w:after="120"/>
      </w:pPr>
    </w:p>
    <w:p>
      <w:pPr>
        <w:pStyle w:val="Heading2"/>
        <w:spacing w:before="300" w:after="150"/>
      </w:pPr>
      <w:r>
        <w:rPr>
          <w:rFonts w:ascii="Arial" w:cs="Arial" w:eastAsia="Arial" w:hAnsi="Arial"/>
        </w:rPr>
        <w:t xml:space="preserve">Section 21: Private Right of Action</w:t>
      </w:r>
    </w:p>
    <w:p>
      <w:pPr>
        <w:pStyle w:val="Heading3"/>
        <w:spacing w:before="240" w:after="120"/>
      </w:pPr>
      <w:r>
        <w:rPr>
          <w:rFonts w:ascii="Arial" w:cs="Arial" w:eastAsia="Arial" w:hAnsi="Arial"/>
        </w:rPr>
        <w:t xml:space="preserve">21.1 Standing</w:t>
      </w:r>
    </w:p>
    <w:p>
      <w:pPr>
        <w:spacing w:after="160"/>
      </w:pPr>
      <w:r>
        <w:rPr>
          <w:rFonts w:ascii="Arial" w:cs="Arial" w:eastAsia="Arial" w:hAnsi="Arial"/>
          <w:sz w:val="22"/>
          <w:szCs w:val="22"/>
        </w:rPr>
        <w:t xml:space="preserve">Any citizen whose application is denied or who does not receive identification within 60 days of application may bring an action in federal district court.</w:t>
      </w:r>
    </w:p>
    <w:p>
      <w:pPr>
        <w:spacing w:after="120"/>
      </w:pPr>
    </w:p>
    <w:p>
      <w:pPr>
        <w:pStyle w:val="Heading3"/>
        <w:spacing w:before="240" w:after="120"/>
      </w:pPr>
      <w:r>
        <w:rPr>
          <w:rFonts w:ascii="Arial" w:cs="Arial" w:eastAsia="Arial" w:hAnsi="Arial"/>
        </w:rPr>
        <w:t xml:space="preserve">21.2 Remedies</w:t>
      </w:r>
    </w:p>
    <w:p>
      <w:pPr>
        <w:spacing w:after="160"/>
      </w:pPr>
      <w:r>
        <w:rPr>
          <w:rFonts w:ascii="Arial" w:cs="Arial" w:eastAsia="Arial" w:hAnsi="Arial"/>
          <w:sz w:val="22"/>
          <w:szCs w:val="22"/>
        </w:rPr>
        <w:t xml:space="preserve">Courts may:</w:t>
      </w:r>
    </w:p>
    <w:p>
      <w:pPr>
        <w:pStyle w:val="ListParagraph"/>
        <w:numPr>
          <w:ilvl w:val="0"/>
          <w:numId w:val="2"/>
        </w:numPr>
        <w:spacing w:after="80"/>
      </w:pPr>
      <w:r>
        <w:rPr>
          <w:rFonts w:ascii="Arial" w:cs="Arial" w:eastAsia="Arial" w:hAnsi="Arial"/>
          <w:sz w:val="22"/>
          <w:szCs w:val="22"/>
        </w:rPr>
        <w:t xml:space="preserve">Order issuance of identification</w:t>
      </w:r>
    </w:p>
    <w:p>
      <w:pPr>
        <w:pStyle w:val="ListParagraph"/>
        <w:numPr>
          <w:ilvl w:val="0"/>
          <w:numId w:val="2"/>
        </w:numPr>
        <w:spacing w:after="80"/>
      </w:pPr>
      <w:r>
        <w:rPr>
          <w:rFonts w:ascii="Arial" w:cs="Arial" w:eastAsia="Arial" w:hAnsi="Arial"/>
          <w:sz w:val="22"/>
          <w:szCs w:val="22"/>
        </w:rPr>
        <w:t xml:space="preserve">Award compensatory damages</w:t>
      </w:r>
    </w:p>
    <w:p>
      <w:pPr>
        <w:pStyle w:val="ListParagraph"/>
        <w:numPr>
          <w:ilvl w:val="0"/>
          <w:numId w:val="2"/>
        </w:numPr>
        <w:spacing w:after="80"/>
      </w:pPr>
      <w:r>
        <w:rPr>
          <w:rFonts w:ascii="Arial" w:cs="Arial" w:eastAsia="Arial" w:hAnsi="Arial"/>
          <w:sz w:val="22"/>
          <w:szCs w:val="22"/>
        </w:rPr>
        <w:t xml:space="preserve">Award attorney's fees to prevailing plaintiffs</w:t>
      </w:r>
    </w:p>
    <w:p>
      <w:pPr>
        <w:spacing w:after="120"/>
      </w:pPr>
    </w:p>
    <w:p>
      <w:pPr>
        <w:pStyle w:val="Heading3"/>
        <w:spacing w:before="240" w:after="120"/>
      </w:pPr>
      <w:r>
        <w:rPr>
          <w:rFonts w:ascii="Arial" w:cs="Arial" w:eastAsia="Arial" w:hAnsi="Arial"/>
        </w:rPr>
        <w:t xml:space="preserve">21.3 Class Actions</w:t>
      </w:r>
    </w:p>
    <w:p>
      <w:pPr>
        <w:spacing w:after="160"/>
      </w:pPr>
      <w:r>
        <w:rPr>
          <w:rFonts w:ascii="Arial" w:cs="Arial" w:eastAsia="Arial" w:hAnsi="Arial"/>
          <w:sz w:val="22"/>
          <w:szCs w:val="22"/>
        </w:rPr>
        <w:t xml:space="preserve">Class certification shall be available for claims alleging systematic denial or delay.</w:t>
      </w:r>
    </w:p>
    <w:p>
      <w:r>
        <w:br w:type="page"/>
      </w:r>
    </w:p>
    <w:p>
      <w:pPr>
        <w:pStyle w:val="Heading1"/>
        <w:spacing w:before="400" w:after="200"/>
      </w:pPr>
      <w:r>
        <w:rPr>
          <w:rFonts w:ascii="Arial" w:cs="Arial" w:eastAsia="Arial" w:hAnsi="Arial"/>
        </w:rPr>
        <w:t xml:space="preserve">Part X: Fraud Prevention</w:t>
      </w:r>
    </w:p>
    <w:p>
      <w:pPr>
        <w:pStyle w:val="Heading2"/>
        <w:spacing w:before="300" w:after="150"/>
      </w:pPr>
      <w:r>
        <w:rPr>
          <w:rFonts w:ascii="Arial" w:cs="Arial" w:eastAsia="Arial" w:hAnsi="Arial"/>
        </w:rPr>
        <w:t xml:space="preserve">Section 22: Criminal Penalties</w:t>
      </w:r>
    </w:p>
    <w:p>
      <w:pPr>
        <w:pStyle w:val="Heading3"/>
        <w:spacing w:before="240" w:after="120"/>
      </w:pPr>
      <w:r>
        <w:rPr>
          <w:rFonts w:ascii="Arial" w:cs="Arial" w:eastAsia="Arial" w:hAnsi="Arial"/>
        </w:rPr>
        <w:t xml:space="preserve">22.1 Counterfeiting</w:t>
      </w:r>
    </w:p>
    <w:p>
      <w:pPr>
        <w:spacing w:after="160"/>
      </w:pPr>
      <w:r>
        <w:rPr>
          <w:rFonts w:ascii="Arial" w:cs="Arial" w:eastAsia="Arial" w:hAnsi="Arial"/>
          <w:sz w:val="22"/>
          <w:szCs w:val="22"/>
        </w:rPr>
        <w:t xml:space="preserve">Whoever knowingly produces, possesses, or uses a counterfeit identification document purporting to be issued under this program shall be fined, imprisoned for not more than 10 years, or both.</w:t>
      </w:r>
    </w:p>
    <w:p>
      <w:pPr>
        <w:spacing w:after="120"/>
      </w:pPr>
    </w:p>
    <w:p>
      <w:pPr>
        <w:pStyle w:val="Heading3"/>
        <w:spacing w:before="240" w:after="120"/>
      </w:pPr>
      <w:r>
        <w:rPr>
          <w:rFonts w:ascii="Arial" w:cs="Arial" w:eastAsia="Arial" w:hAnsi="Arial"/>
        </w:rPr>
        <w:t xml:space="preserve">22.2 False Attestation</w:t>
      </w:r>
    </w:p>
    <w:p>
      <w:pPr>
        <w:spacing w:after="160"/>
      </w:pPr>
      <w:r>
        <w:rPr>
          <w:rFonts w:ascii="Arial" w:cs="Arial" w:eastAsia="Arial" w:hAnsi="Arial"/>
          <w:sz w:val="22"/>
          <w:szCs w:val="22"/>
        </w:rPr>
        <w:t xml:space="preserve">Whoever knowingly makes a false statement under oath in an attestation submitted under this program shall be subject to prosecution for perjury.</w:t>
      </w:r>
    </w:p>
    <w:p>
      <w:pPr>
        <w:spacing w:after="120"/>
      </w:pPr>
    </w:p>
    <w:p>
      <w:pPr>
        <w:pStyle w:val="Heading3"/>
        <w:spacing w:before="240" w:after="120"/>
      </w:pPr>
      <w:r>
        <w:rPr>
          <w:rFonts w:ascii="Arial" w:cs="Arial" w:eastAsia="Arial" w:hAnsi="Arial"/>
        </w:rPr>
        <w:t xml:space="preserve">22.3 Application Fraud</w:t>
      </w:r>
    </w:p>
    <w:p>
      <w:pPr>
        <w:spacing w:after="160"/>
      </w:pPr>
      <w:r>
        <w:rPr>
          <w:rFonts w:ascii="Arial" w:cs="Arial" w:eastAsia="Arial" w:hAnsi="Arial"/>
          <w:sz w:val="22"/>
          <w:szCs w:val="22"/>
        </w:rPr>
        <w:t xml:space="preserve">Whoever knowingly submits a fraudulent application or assists another in submitting a fraudulent application shall be fined, imprisoned for not more than 5 years, or both.</w:t>
      </w:r>
    </w:p>
    <w:p>
      <w:pPr>
        <w:spacing w:after="120"/>
      </w:pPr>
    </w:p>
    <w:p>
      <w:pPr>
        <w:pStyle w:val="Heading2"/>
        <w:spacing w:before="300" w:after="150"/>
      </w:pPr>
      <w:r>
        <w:rPr>
          <w:rFonts w:ascii="Arial" w:cs="Arial" w:eastAsia="Arial" w:hAnsi="Arial"/>
        </w:rPr>
        <w:t xml:space="preserve">Section 23: Administrative Safeguards</w:t>
      </w:r>
    </w:p>
    <w:p>
      <w:pPr>
        <w:pStyle w:val="Heading3"/>
        <w:spacing w:before="240" w:after="120"/>
      </w:pPr>
      <w:r>
        <w:rPr>
          <w:rFonts w:ascii="Arial" w:cs="Arial" w:eastAsia="Arial" w:hAnsi="Arial"/>
        </w:rPr>
        <w:t xml:space="preserve">23.1 Identity Theft Prevention</w:t>
      </w:r>
    </w:p>
    <w:p>
      <w:pPr>
        <w:spacing w:after="160"/>
      </w:pPr>
      <w:r>
        <w:rPr>
          <w:rFonts w:ascii="Arial" w:cs="Arial" w:eastAsia="Arial" w:hAnsi="Arial"/>
          <w:sz w:val="22"/>
          <w:szCs w:val="22"/>
        </w:rPr>
        <w:t xml:space="preserve">Prior to issuing identification, the issuing agency shall:</w:t>
      </w:r>
    </w:p>
    <w:p>
      <w:pPr>
        <w:pStyle w:val="ListParagraph"/>
        <w:numPr>
          <w:ilvl w:val="0"/>
          <w:numId w:val="2"/>
        </w:numPr>
        <w:spacing w:after="80"/>
      </w:pPr>
      <w:r>
        <w:rPr>
          <w:rFonts w:ascii="Arial" w:cs="Arial" w:eastAsia="Arial" w:hAnsi="Arial"/>
          <w:sz w:val="22"/>
          <w:szCs w:val="22"/>
        </w:rPr>
        <w:t xml:space="preserve">Verify the applicant's address through USPS, IRS, or SSA records</w:t>
      </w:r>
    </w:p>
    <w:p>
      <w:pPr>
        <w:pStyle w:val="ListParagraph"/>
        <w:numPr>
          <w:ilvl w:val="0"/>
          <w:numId w:val="2"/>
        </w:numPr>
        <w:spacing w:after="80"/>
      </w:pPr>
      <w:r>
        <w:rPr>
          <w:rFonts w:ascii="Arial" w:cs="Arial" w:eastAsia="Arial" w:hAnsi="Arial"/>
          <w:sz w:val="22"/>
          <w:szCs w:val="22"/>
        </w:rPr>
        <w:t xml:space="preserve">Check for duplicate applications under the same identifying information</w:t>
      </w:r>
    </w:p>
    <w:p>
      <w:pPr>
        <w:pStyle w:val="ListParagraph"/>
        <w:numPr>
          <w:ilvl w:val="0"/>
          <w:numId w:val="2"/>
        </w:numPr>
        <w:spacing w:after="80"/>
      </w:pPr>
      <w:r>
        <w:rPr>
          <w:rFonts w:ascii="Arial" w:cs="Arial" w:eastAsia="Arial" w:hAnsi="Arial"/>
          <w:sz w:val="22"/>
          <w:szCs w:val="22"/>
        </w:rPr>
        <w:t xml:space="preserve">Send notification to any prior address of record</w:t>
      </w:r>
    </w:p>
    <w:p>
      <w:pPr>
        <w:spacing w:after="120"/>
      </w:pPr>
    </w:p>
    <w:p>
      <w:pPr>
        <w:pStyle w:val="Heading3"/>
        <w:spacing w:before="240" w:after="120"/>
      </w:pPr>
      <w:r>
        <w:rPr>
          <w:rFonts w:ascii="Arial" w:cs="Arial" w:eastAsia="Arial" w:hAnsi="Arial"/>
        </w:rPr>
        <w:t xml:space="preserve">23.2 Non-Citizen Fraud Prevention</w:t>
      </w:r>
    </w:p>
    <w:p>
      <w:pPr>
        <w:spacing w:after="160"/>
      </w:pPr>
      <w:r>
        <w:rPr>
          <w:rFonts w:ascii="Arial" w:cs="Arial" w:eastAsia="Arial" w:hAnsi="Arial"/>
          <w:sz w:val="22"/>
          <w:szCs w:val="22"/>
        </w:rPr>
        <w:t xml:space="preserve">Citizenship verification through birth records, naturalization records, or SSA citizenship status is required for all applicants. The attestation pathway is limited to applicants whose SSN was issued before 1972 or who have 40 or more years of continuous SSA history.</w:t>
      </w:r>
    </w:p>
    <w:p>
      <w:pPr>
        <w:spacing w:after="120"/>
      </w:pPr>
    </w:p>
    <w:p>
      <w:pPr>
        <w:pStyle w:val="Heading3"/>
        <w:spacing w:before="240" w:after="120"/>
      </w:pPr>
      <w:r>
        <w:rPr>
          <w:rFonts w:ascii="Arial" w:cs="Arial" w:eastAsia="Arial" w:hAnsi="Arial"/>
        </w:rPr>
        <w:t xml:space="preserve">23.3 State-Level Bad Faith</w:t>
      </w:r>
    </w:p>
    <w:p>
      <w:pPr>
        <w:spacing w:after="160"/>
      </w:pPr>
      <w:r>
        <w:rPr>
          <w:rFonts w:ascii="Arial" w:cs="Arial" w:eastAsia="Arial" w:hAnsi="Arial"/>
          <w:sz w:val="22"/>
          <w:szCs w:val="22"/>
        </w:rPr>
        <w:t xml:space="preserve">If a State's denial rate exceeds 5% for two consecutive months:</w:t>
      </w:r>
    </w:p>
    <w:p>
      <w:pPr>
        <w:pStyle w:val="ListParagraph"/>
        <w:numPr>
          <w:ilvl w:val="0"/>
          <w:numId w:val="3"/>
        </w:numPr>
        <w:spacing w:after="80"/>
      </w:pPr>
      <w:r>
        <w:rPr>
          <w:rFonts w:ascii="Arial" w:cs="Arial" w:eastAsia="Arial" w:hAnsi="Arial"/>
          <w:sz w:val="22"/>
          <w:szCs w:val="22"/>
        </w:rPr>
        <w:t xml:space="preserve">GAO shall initiate an audit</w:t>
      </w:r>
    </w:p>
    <w:p>
      <w:pPr>
        <w:pStyle w:val="ListParagraph"/>
        <w:numPr>
          <w:ilvl w:val="0"/>
          <w:numId w:val="3"/>
        </w:numPr>
        <w:spacing w:after="80"/>
      </w:pPr>
      <w:r>
        <w:rPr>
          <w:rFonts w:ascii="Arial" w:cs="Arial" w:eastAsia="Arial" w:hAnsi="Arial"/>
          <w:sz w:val="22"/>
          <w:szCs w:val="22"/>
        </w:rPr>
        <w:t xml:space="preserve">The State shall develop a remediation plan within 60 days</w:t>
      </w:r>
    </w:p>
    <w:p>
      <w:pPr>
        <w:pStyle w:val="ListParagraph"/>
        <w:numPr>
          <w:ilvl w:val="0"/>
          <w:numId w:val="3"/>
        </w:numPr>
        <w:spacing w:after="80"/>
      </w:pPr>
      <w:r>
        <w:rPr>
          <w:rFonts w:ascii="Arial" w:cs="Arial" w:eastAsia="Arial" w:hAnsi="Arial"/>
          <w:sz w:val="22"/>
          <w:szCs w:val="22"/>
        </w:rPr>
        <w:t xml:space="preserve">If the State fails to remediate, the Secretary may assume processing for that State through the federal fallback</w:t>
      </w:r>
    </w:p>
    <w:p>
      <w:pPr>
        <w:spacing w:after="120"/>
      </w:pPr>
    </w:p>
    <w:p>
      <w:pPr>
        <w:spacing w:after="160"/>
      </w:pPr>
      <w:r>
        <w:rPr>
          <w:rFonts w:ascii="Arial" w:cs="Arial" w:eastAsia="Arial" w:hAnsi="Arial"/>
          <w:sz w:val="22"/>
          <w:szCs w:val="22"/>
        </w:rPr>
        <w:t xml:space="preserve">Denial standards shall be limited to citizenship, identity, or material falsehood. No other grounds for denial are permitted.</w:t>
      </w:r>
    </w:p>
    <w:p>
      <w:pPr>
        <w:spacing w:after="120"/>
      </w:pPr>
    </w:p>
    <w:p>
      <w:pPr>
        <w:pStyle w:val="Heading2"/>
        <w:spacing w:before="300" w:after="150"/>
      </w:pPr>
      <w:r>
        <w:rPr>
          <w:rFonts w:ascii="Arial" w:cs="Arial" w:eastAsia="Arial" w:hAnsi="Arial"/>
        </w:rPr>
        <w:t xml:space="preserve">Section 24: Transparency Reporting</w:t>
      </w:r>
    </w:p>
    <w:p>
      <w:pPr>
        <w:pStyle w:val="Heading3"/>
        <w:spacing w:before="240" w:after="120"/>
      </w:pPr>
      <w:r>
        <w:rPr>
          <w:rFonts w:ascii="Arial" w:cs="Arial" w:eastAsia="Arial" w:hAnsi="Arial"/>
        </w:rPr>
        <w:t xml:space="preserve">24.1 Quarterly Reports</w:t>
      </w:r>
    </w:p>
    <w:p>
      <w:pPr>
        <w:spacing w:after="160"/>
      </w:pPr>
      <w:r>
        <w:rPr>
          <w:rFonts w:ascii="Arial" w:cs="Arial" w:eastAsia="Arial" w:hAnsi="Arial"/>
          <w:sz w:val="22"/>
          <w:szCs w:val="22"/>
        </w:rPr>
        <w:t xml:space="preserve">The Secretary shall publish quarterly reports including:</w:t>
      </w:r>
    </w:p>
    <w:p>
      <w:pPr>
        <w:pStyle w:val="ListParagraph"/>
        <w:numPr>
          <w:ilvl w:val="0"/>
          <w:numId w:val="2"/>
        </w:numPr>
        <w:spacing w:after="80"/>
      </w:pPr>
      <w:r>
        <w:rPr>
          <w:rFonts w:ascii="Arial" w:cs="Arial" w:eastAsia="Arial" w:hAnsi="Arial"/>
          <w:sz w:val="22"/>
          <w:szCs w:val="22"/>
        </w:rPr>
        <w:t xml:space="preserve">Applications received by State</w:t>
      </w:r>
    </w:p>
    <w:p>
      <w:pPr>
        <w:pStyle w:val="ListParagraph"/>
        <w:numPr>
          <w:ilvl w:val="0"/>
          <w:numId w:val="2"/>
        </w:numPr>
        <w:spacing w:after="80"/>
      </w:pPr>
      <w:r>
        <w:rPr>
          <w:rFonts w:ascii="Arial" w:cs="Arial" w:eastAsia="Arial" w:hAnsi="Arial"/>
          <w:sz w:val="22"/>
          <w:szCs w:val="22"/>
        </w:rPr>
        <w:t xml:space="preserve">Attestation pathway utilization</w:t>
      </w:r>
    </w:p>
    <w:p>
      <w:pPr>
        <w:pStyle w:val="ListParagraph"/>
        <w:numPr>
          <w:ilvl w:val="0"/>
          <w:numId w:val="2"/>
        </w:numPr>
        <w:spacing w:after="80"/>
      </w:pPr>
      <w:r>
        <w:rPr>
          <w:rFonts w:ascii="Arial" w:cs="Arial" w:eastAsia="Arial" w:hAnsi="Arial"/>
          <w:sz w:val="22"/>
          <w:szCs w:val="22"/>
        </w:rPr>
        <w:t xml:space="preserve">Fraud referrals and prosecutions</w:t>
      </w:r>
    </w:p>
    <w:p>
      <w:pPr>
        <w:pStyle w:val="ListParagraph"/>
        <w:numPr>
          <w:ilvl w:val="0"/>
          <w:numId w:val="2"/>
        </w:numPr>
        <w:spacing w:after="80"/>
      </w:pPr>
      <w:r>
        <w:rPr>
          <w:rFonts w:ascii="Arial" w:cs="Arial" w:eastAsia="Arial" w:hAnsi="Arial"/>
          <w:sz w:val="22"/>
          <w:szCs w:val="22"/>
        </w:rPr>
        <w:t xml:space="preserve">Comparison to driver's license fraud rates and overall voter fraud rates</w:t>
      </w:r>
    </w:p>
    <w:p>
      <w:pPr>
        <w:spacing w:after="120"/>
      </w:pPr>
    </w:p>
    <w:p>
      <w:pPr>
        <w:pStyle w:val="Heading3"/>
        <w:spacing w:before="240" w:after="120"/>
      </w:pPr>
      <w:r>
        <w:rPr>
          <w:rFonts w:ascii="Arial" w:cs="Arial" w:eastAsia="Arial" w:hAnsi="Arial"/>
        </w:rPr>
        <w:t xml:space="preserve">24.2 Rapid Response</w:t>
      </w:r>
    </w:p>
    <w:p>
      <w:pPr>
        <w:spacing w:after="160"/>
      </w:pPr>
      <w:r>
        <w:rPr>
          <w:rFonts w:ascii="Arial" w:cs="Arial" w:eastAsia="Arial" w:hAnsi="Arial"/>
          <w:sz w:val="22"/>
          <w:szCs w:val="22"/>
        </w:rPr>
        <w:t xml:space="preserve">Allegations of systematic fraud shall be:</w:t>
      </w:r>
    </w:p>
    <w:p>
      <w:pPr>
        <w:pStyle w:val="ListParagraph"/>
        <w:numPr>
          <w:ilvl w:val="0"/>
          <w:numId w:val="2"/>
        </w:numPr>
        <w:spacing w:after="80"/>
      </w:pPr>
      <w:r>
        <w:rPr>
          <w:rFonts w:ascii="Arial" w:cs="Arial" w:eastAsia="Arial" w:hAnsi="Arial"/>
          <w:sz w:val="22"/>
          <w:szCs w:val="22"/>
        </w:rPr>
        <w:t xml:space="preserve">Acknowledged within 48 hours</w:t>
      </w:r>
    </w:p>
    <w:p>
      <w:pPr>
        <w:pStyle w:val="ListParagraph"/>
        <w:numPr>
          <w:ilvl w:val="0"/>
          <w:numId w:val="2"/>
        </w:numPr>
        <w:spacing w:after="80"/>
      </w:pPr>
      <w:r>
        <w:rPr>
          <w:rFonts w:ascii="Arial" w:cs="Arial" w:eastAsia="Arial" w:hAnsi="Arial"/>
          <w:sz w:val="22"/>
          <w:szCs w:val="22"/>
        </w:rPr>
        <w:t xml:space="preserve">Subject to preliminary findings within 14 days</w:t>
      </w:r>
    </w:p>
    <w:p>
      <w:pPr>
        <w:pStyle w:val="ListParagraph"/>
        <w:numPr>
          <w:ilvl w:val="0"/>
          <w:numId w:val="2"/>
        </w:numPr>
        <w:spacing w:after="80"/>
      </w:pPr>
      <w:r>
        <w:rPr>
          <w:rFonts w:ascii="Arial" w:cs="Arial" w:eastAsia="Arial" w:hAnsi="Arial"/>
          <w:sz w:val="22"/>
          <w:szCs w:val="22"/>
        </w:rPr>
        <w:t xml:space="preserve">Subject to a full report within 60 days</w:t>
      </w:r>
    </w:p>
    <w:p>
      <w:r>
        <w:br w:type="page"/>
      </w:r>
    </w:p>
    <w:p>
      <w:pPr>
        <w:pStyle w:val="Heading1"/>
        <w:spacing w:before="400" w:after="200"/>
      </w:pPr>
      <w:r>
        <w:rPr>
          <w:rFonts w:ascii="Arial" w:cs="Arial" w:eastAsia="Arial" w:hAnsi="Arial"/>
        </w:rPr>
        <w:t xml:space="preserve">Part XI: Sunset and Termination</w:t>
      </w:r>
    </w:p>
    <w:p>
      <w:pPr>
        <w:pStyle w:val="Heading2"/>
        <w:spacing w:before="300" w:after="150"/>
      </w:pPr>
      <w:r>
        <w:rPr>
          <w:rFonts w:ascii="Arial" w:cs="Arial" w:eastAsia="Arial" w:hAnsi="Arial"/>
        </w:rPr>
        <w:t xml:space="preserve">Section 25: Program Duration</w:t>
      </w:r>
    </w:p>
    <w:p>
      <w:pPr>
        <w:pStyle w:val="Heading3"/>
        <w:spacing w:before="240" w:after="120"/>
      </w:pPr>
      <w:r>
        <w:rPr>
          <w:rFonts w:ascii="Arial" w:cs="Arial" w:eastAsia="Arial" w:hAnsi="Arial"/>
        </w:rPr>
        <w:t xml:space="preserve">25.1 Authorization Period</w:t>
      </w:r>
    </w:p>
    <w:p>
      <w:pPr>
        <w:spacing w:after="160"/>
      </w:pPr>
      <w:r>
        <w:rPr>
          <w:rFonts w:ascii="Arial" w:cs="Arial" w:eastAsia="Arial" w:hAnsi="Arial"/>
          <w:sz w:val="22"/>
          <w:szCs w:val="22"/>
        </w:rPr>
        <w:t xml:space="preserve">This program is authorized for 10 years from the date of enactment. Following the authorization period, no new applications shall be accepted and no new identification documents shall be issued under this Act.</w:t>
      </w:r>
    </w:p>
    <w:p>
      <w:pPr>
        <w:spacing w:after="120"/>
      </w:pPr>
    </w:p>
    <w:p>
      <w:pPr>
        <w:pStyle w:val="Heading3"/>
        <w:spacing w:before="240" w:after="120"/>
      </w:pPr>
      <w:r>
        <w:rPr>
          <w:rFonts w:ascii="Arial" w:cs="Arial" w:eastAsia="Arial" w:hAnsi="Arial"/>
        </w:rPr>
        <w:t xml:space="preserve">25.2 Card Validity After Sunset</w:t>
      </w:r>
    </w:p>
    <w:p>
      <w:pPr>
        <w:spacing w:after="160"/>
      </w:pPr>
      <w:r>
        <w:rPr>
          <w:rFonts w:ascii="Arial" w:cs="Arial" w:eastAsia="Arial" w:hAnsi="Arial"/>
          <w:sz w:val="22"/>
          <w:szCs w:val="22"/>
        </w:rPr>
        <w:t xml:space="preserve">Identification documents issued prior to program sunset shall remain valid until their individual expiration dates (13 years from issuance). The last cards issued in Year 10 will expire in Year 23.</w:t>
      </w:r>
    </w:p>
    <w:p>
      <w:pPr>
        <w:spacing w:after="120"/>
      </w:pPr>
    </w:p>
    <w:p>
      <w:pPr>
        <w:pStyle w:val="Heading3"/>
        <w:spacing w:before="240" w:after="120"/>
      </w:pPr>
      <w:r>
        <w:rPr>
          <w:rFonts w:ascii="Arial" w:cs="Arial" w:eastAsia="Arial" w:hAnsi="Arial"/>
        </w:rPr>
        <w:t xml:space="preserve">25.3 Reauthorization</w:t>
      </w:r>
    </w:p>
    <w:p>
      <w:pPr>
        <w:spacing w:after="160"/>
      </w:pPr>
      <w:r>
        <w:rPr>
          <w:rFonts w:ascii="Arial" w:cs="Arial" w:eastAsia="Arial" w:hAnsi="Arial"/>
          <w:sz w:val="22"/>
          <w:szCs w:val="22"/>
        </w:rPr>
        <w:t xml:space="preserve">The program may be reauthorized by Act of Congress. Reauthorization shall not be automatic.</w:t>
      </w:r>
    </w:p>
    <w:p>
      <w:pPr>
        <w:spacing w:after="120"/>
      </w:pPr>
    </w:p>
    <w:p>
      <w:pPr>
        <w:pStyle w:val="Heading2"/>
        <w:spacing w:before="300" w:after="150"/>
      </w:pPr>
      <w:r>
        <w:rPr>
          <w:rFonts w:ascii="Arial" w:cs="Arial" w:eastAsia="Arial" w:hAnsi="Arial"/>
        </w:rPr>
        <w:t xml:space="preserve">Section 26: Post-Sunset Transition</w:t>
      </w:r>
    </w:p>
    <w:p>
      <w:pPr>
        <w:pStyle w:val="Heading3"/>
        <w:spacing w:before="240" w:after="120"/>
      </w:pPr>
      <w:r>
        <w:rPr>
          <w:rFonts w:ascii="Arial" w:cs="Arial" w:eastAsia="Arial" w:hAnsi="Arial"/>
        </w:rPr>
        <w:t xml:space="preserve">26.1 State Continuation</w:t>
      </w:r>
    </w:p>
    <w:p>
      <w:pPr>
        <w:spacing w:after="160"/>
      </w:pPr>
      <w:r>
        <w:rPr>
          <w:rFonts w:ascii="Arial" w:cs="Arial" w:eastAsia="Arial" w:hAnsi="Arial"/>
          <w:sz w:val="22"/>
          <w:szCs w:val="22"/>
        </w:rPr>
        <w:t xml:space="preserve">States may elect to continue the program under State authority and at State expense. Application records shall be transferred to continuing States upon request.</w:t>
      </w:r>
    </w:p>
    <w:p>
      <w:pPr>
        <w:spacing w:after="120"/>
      </w:pPr>
    </w:p>
    <w:p>
      <w:pPr>
        <w:pStyle w:val="Heading3"/>
        <w:spacing w:before="240" w:after="120"/>
      </w:pPr>
      <w:r>
        <w:rPr>
          <w:rFonts w:ascii="Arial" w:cs="Arial" w:eastAsia="Arial" w:hAnsi="Arial"/>
        </w:rPr>
        <w:t xml:space="preserve">26.2 Record Retention</w:t>
      </w:r>
    </w:p>
    <w:p>
      <w:pPr>
        <w:spacing w:after="160"/>
      </w:pPr>
      <w:r>
        <w:rPr>
          <w:rFonts w:ascii="Arial" w:cs="Arial" w:eastAsia="Arial" w:hAnsi="Arial"/>
          <w:sz w:val="22"/>
          <w:szCs w:val="22"/>
        </w:rPr>
        <w:t xml:space="preserve">Application records for non-continuing States shall be archived by the National Archives and Records Administration for 20 years following program sunset.</w:t>
      </w:r>
    </w:p>
    <w:p>
      <w:pPr>
        <w:spacing w:after="120"/>
      </w:pPr>
    </w:p>
    <w:p>
      <w:pPr>
        <w:pStyle w:val="Heading3"/>
        <w:spacing w:before="240" w:after="120"/>
      </w:pPr>
      <w:r>
        <w:rPr>
          <w:rFonts w:ascii="Arial" w:cs="Arial" w:eastAsia="Arial" w:hAnsi="Arial"/>
        </w:rPr>
        <w:t xml:space="preserve">26.3 Residual Cases</w:t>
      </w:r>
    </w:p>
    <w:p>
      <w:pPr>
        <w:spacing w:after="160"/>
      </w:pPr>
      <w:r>
        <w:rPr>
          <w:rFonts w:ascii="Arial" w:cs="Arial" w:eastAsia="Arial" w:hAnsi="Arial"/>
          <w:sz w:val="22"/>
          <w:szCs w:val="22"/>
        </w:rPr>
        <w:t xml:space="preserve">Individuals who would have been eligible for the attestation pathway but did not apply prior to sunset may seek documentation through existing processes at the Department of State (for CRBA) or State vital records offices (for delayed birth certificates).</w:t>
      </w:r>
    </w:p>
    <w:p>
      <w:pPr>
        <w:spacing w:after="120"/>
      </w:pPr>
    </w:p>
    <w:p>
      <w:pPr>
        <w:pStyle w:val="Heading2"/>
        <w:spacing w:before="300" w:after="150"/>
      </w:pPr>
      <w:r>
        <w:rPr>
          <w:rFonts w:ascii="Arial" w:cs="Arial" w:eastAsia="Arial" w:hAnsi="Arial"/>
        </w:rPr>
        <w:t xml:space="preserve">Section 27: Sense of Congress</w:t>
      </w:r>
    </w:p>
    <w:p>
      <w:pPr>
        <w:spacing w:after="160"/>
      </w:pPr>
      <w:r>
        <w:rPr>
          <w:rFonts w:ascii="Arial" w:cs="Arial" w:eastAsia="Arial" w:hAnsi="Arial"/>
          <w:sz w:val="22"/>
          <w:szCs w:val="22"/>
        </w:rPr>
        <w:t xml:space="preserve">It is the sense of Congress that:</w:t>
      </w:r>
    </w:p>
    <w:p>
      <w:pPr>
        <w:pStyle w:val="ListParagraph"/>
        <w:numPr>
          <w:ilvl w:val="0"/>
          <w:numId w:val="3"/>
        </w:numPr>
        <w:spacing w:after="80"/>
      </w:pPr>
      <w:r>
        <w:rPr>
          <w:rFonts w:ascii="Arial" w:cs="Arial" w:eastAsia="Arial" w:hAnsi="Arial"/>
          <w:sz w:val="22"/>
          <w:szCs w:val="22"/>
        </w:rPr>
        <w:t xml:space="preserve">This program is established for the purpose of expanding access to identification, not to create a precondition for voting restrictions;</w:t>
      </w:r>
    </w:p>
    <w:p>
      <w:pPr>
        <w:pStyle w:val="ListParagraph"/>
        <w:numPr>
          <w:ilvl w:val="0"/>
          <w:numId w:val="3"/>
        </w:numPr>
        <w:spacing w:after="80"/>
      </w:pPr>
      <w:r>
        <w:rPr>
          <w:rFonts w:ascii="Arial" w:cs="Arial" w:eastAsia="Arial" w:hAnsi="Arial"/>
          <w:sz w:val="22"/>
          <w:szCs w:val="22"/>
        </w:rPr>
        <w:t xml:space="preserve">The existence of this program shall not be cited as justification for imposing identification requirements in States that have not achieved GAO certification;</w:t>
      </w:r>
    </w:p>
    <w:p>
      <w:pPr>
        <w:pStyle w:val="ListParagraph"/>
        <w:numPr>
          <w:ilvl w:val="0"/>
          <w:numId w:val="3"/>
        </w:numPr>
        <w:spacing w:after="80"/>
      </w:pPr>
      <w:r>
        <w:rPr>
          <w:rFonts w:ascii="Arial" w:cs="Arial" w:eastAsia="Arial" w:hAnsi="Arial"/>
          <w:sz w:val="22"/>
          <w:szCs w:val="22"/>
        </w:rPr>
        <w:t xml:space="preserve">The sunset of this program reflects the bounded nature of the documentation problem it addresses, not a judgment that access to identification is unimportant.</w:t>
      </w:r>
    </w:p>
    <w:p>
      <w:r>
        <w:br w:type="page"/>
      </w:r>
    </w:p>
    <w:p>
      <w:pPr>
        <w:pStyle w:val="Heading1"/>
        <w:spacing w:before="400" w:after="200"/>
      </w:pPr>
      <w:r>
        <w:rPr>
          <w:rFonts w:ascii="Arial" w:cs="Arial" w:eastAsia="Arial" w:hAnsi="Arial"/>
        </w:rPr>
        <w:t xml:space="preserve">Part XII: Construction and Severability</w:t>
      </w:r>
    </w:p>
    <w:p>
      <w:pPr>
        <w:pStyle w:val="Heading2"/>
        <w:spacing w:before="300" w:after="150"/>
      </w:pPr>
      <w:r>
        <w:rPr>
          <w:rFonts w:ascii="Arial" w:cs="Arial" w:eastAsia="Arial" w:hAnsi="Arial"/>
        </w:rPr>
        <w:t xml:space="preserve">Section 28: Severability</w:t>
      </w:r>
    </w:p>
    <w:p>
      <w:pPr>
        <w:spacing w:after="160"/>
      </w:pPr>
      <w:r>
        <w:rPr>
          <w:rFonts w:ascii="Arial" w:cs="Arial" w:eastAsia="Arial" w:hAnsi="Arial"/>
          <w:sz w:val="22"/>
          <w:szCs w:val="22"/>
        </w:rPr>
        <w:t xml:space="preserve">If any provision of this Act is held invalid, the remainder of the Act shall continue in effect.</w:t>
      </w:r>
    </w:p>
    <w:p>
      <w:pPr>
        <w:spacing w:after="120"/>
      </w:pPr>
    </w:p>
    <w:p>
      <w:pPr>
        <w:pStyle w:val="Heading2"/>
        <w:spacing w:before="300" w:after="150"/>
      </w:pPr>
      <w:r>
        <w:rPr>
          <w:rFonts w:ascii="Arial" w:cs="Arial" w:eastAsia="Arial" w:hAnsi="Arial"/>
        </w:rPr>
        <w:t xml:space="preserve">Section 29: Prohibitions</w:t>
      </w:r>
    </w:p>
    <w:p>
      <w:pPr>
        <w:spacing w:after="160"/>
      </w:pPr>
      <w:r>
        <w:rPr>
          <w:rFonts w:ascii="Arial" w:cs="Arial" w:eastAsia="Arial" w:hAnsi="Arial"/>
          <w:sz w:val="22"/>
          <w:szCs w:val="22"/>
        </w:rPr>
        <w:t xml:space="preserve">Nothing in this Act shall be construed to:</w:t>
      </w:r>
    </w:p>
    <w:p>
      <w:pPr>
        <w:pStyle w:val="ListParagraph"/>
        <w:numPr>
          <w:ilvl w:val="0"/>
          <w:numId w:val="2"/>
        </w:numPr>
        <w:spacing w:after="80"/>
      </w:pPr>
      <w:r>
        <w:rPr>
          <w:rFonts w:ascii="Arial" w:cs="Arial" w:eastAsia="Arial" w:hAnsi="Arial"/>
          <w:sz w:val="22"/>
          <w:szCs w:val="22"/>
        </w:rPr>
        <w:t xml:space="preserve">Authorize the collection of biometric data</w:t>
      </w:r>
    </w:p>
    <w:p>
      <w:pPr>
        <w:pStyle w:val="ListParagraph"/>
        <w:numPr>
          <w:ilvl w:val="0"/>
          <w:numId w:val="2"/>
        </w:numPr>
        <w:spacing w:after="80"/>
      </w:pPr>
      <w:r>
        <w:rPr>
          <w:rFonts w:ascii="Arial" w:cs="Arial" w:eastAsia="Arial" w:hAnsi="Arial"/>
          <w:sz w:val="22"/>
          <w:szCs w:val="22"/>
        </w:rPr>
        <w:t xml:space="preserve">Create a national identification registry</w:t>
      </w:r>
    </w:p>
    <w:p>
      <w:pPr>
        <w:pStyle w:val="ListParagraph"/>
        <w:numPr>
          <w:ilvl w:val="0"/>
          <w:numId w:val="2"/>
        </w:numPr>
        <w:spacing w:after="80"/>
      </w:pPr>
      <w:r>
        <w:rPr>
          <w:rFonts w:ascii="Arial" w:cs="Arial" w:eastAsia="Arial" w:hAnsi="Arial"/>
          <w:sz w:val="22"/>
          <w:szCs w:val="22"/>
        </w:rPr>
        <w:t xml:space="preserve">Permit sharing of information with immigration enforcement agencies</w:t>
      </w:r>
    </w:p>
    <w:p>
      <w:pPr>
        <w:pStyle w:val="ListParagraph"/>
        <w:numPr>
          <w:ilvl w:val="0"/>
          <w:numId w:val="2"/>
        </w:numPr>
        <w:spacing w:after="80"/>
      </w:pPr>
      <w:r>
        <w:rPr>
          <w:rFonts w:ascii="Arial" w:cs="Arial" w:eastAsia="Arial" w:hAnsi="Arial"/>
          <w:sz w:val="22"/>
          <w:szCs w:val="22"/>
        </w:rPr>
        <w:t xml:space="preserve">Require electronic verification of identification at the polling place</w:t>
      </w:r>
    </w:p>
    <w:p>
      <w:pPr>
        <w:pStyle w:val="ListParagraph"/>
        <w:numPr>
          <w:ilvl w:val="0"/>
          <w:numId w:val="2"/>
        </w:numPr>
        <w:spacing w:after="80"/>
      </w:pPr>
      <w:r>
        <w:rPr>
          <w:rFonts w:ascii="Arial" w:cs="Arial" w:eastAsia="Arial" w:hAnsi="Arial"/>
          <w:sz w:val="22"/>
          <w:szCs w:val="22"/>
        </w:rPr>
        <w:t xml:space="preserve">Preempt State authority over voter registration or election administration</w:t>
      </w:r>
    </w:p>
    <w:p>
      <w:pPr>
        <w:spacing w:after="120"/>
      </w:pPr>
    </w:p>
    <w:p>
      <w:pPr>
        <w:pStyle w:val="Heading2"/>
        <w:spacing w:before="300" w:after="150"/>
      </w:pPr>
      <w:r>
        <w:rPr>
          <w:rFonts w:ascii="Arial" w:cs="Arial" w:eastAsia="Arial" w:hAnsi="Arial"/>
        </w:rPr>
        <w:t xml:space="preserve">Section 30: Anti-Poison Pill</w:t>
      </w:r>
    </w:p>
    <w:p>
      <w:pPr>
        <w:spacing w:after="160"/>
      </w:pPr>
      <w:r>
        <w:rPr>
          <w:rFonts w:ascii="Arial" w:cs="Arial" w:eastAsia="Arial" w:hAnsi="Arial"/>
          <w:sz w:val="22"/>
          <w:szCs w:val="22"/>
        </w:rPr>
        <w:t xml:space="preserve">No amendment to this Act that would add any of the prohibited elements in Section 29 shall be in order in either House of Congress.</w:t>
      </w:r>
    </w:p>
    <w:p>
      <w:r>
        <w:br w:type="page"/>
      </w:r>
    </w:p>
    <w:p>
      <w:pPr>
        <w:pStyle w:val="Heading1"/>
        <w:spacing w:before="400" w:after="200"/>
      </w:pPr>
      <w:r>
        <w:rPr>
          <w:rFonts w:ascii="Arial" w:cs="Arial" w:eastAsia="Arial" w:hAnsi="Arial"/>
        </w:rPr>
        <w:t xml:space="preserve">Appendix A: Political Framing</w:t>
      </w:r>
    </w:p>
    <w:p>
      <w:pPr>
        <w:spacing w:after="120"/>
      </w:pPr>
    </w:p>
    <w:p>
      <w:pPr>
        <w:pStyle w:val="Heading2"/>
        <w:spacing w:before="300" w:after="150"/>
      </w:pPr>
      <w:r>
        <w:rPr>
          <w:rFonts w:ascii="Arial" w:cs="Arial" w:eastAsia="Arial" w:hAnsi="Arial"/>
        </w:rPr>
        <w:t xml:space="preserve">To ID Requirement Proponents</w:t>
      </w:r>
    </w:p>
    <w:p>
      <w:pPr>
        <w:spacing w:after="160"/>
      </w:pPr>
      <w:r>
        <w:rPr>
          <w:rFonts w:ascii="Arial" w:cs="Arial" w:eastAsia="Arial" w:hAnsi="Arial"/>
          <w:i/>
          <w:iCs/>
          <w:sz w:val="22"/>
          <w:szCs w:val="22"/>
        </w:rPr>
        <w:t xml:space="preserve">"After this program, the 'lack of access' objection is gone. Anyone who wants ID will have had every opportunity—free, with full government support, for 10 years. The program sunsets, so there's no permanent bureaucracy. If you want voter ID requirements, this removes the strongest objection."</w:t>
      </w:r>
    </w:p>
    <w:p>
      <w:pPr>
        <w:spacing w:after="120"/>
      </w:pPr>
    </w:p>
    <w:p>
      <w:pPr>
        <w:pStyle w:val="Heading2"/>
        <w:spacing w:before="300" w:after="150"/>
      </w:pPr>
      <w:r>
        <w:rPr>
          <w:rFonts w:ascii="Arial" w:cs="Arial" w:eastAsia="Arial" w:hAnsi="Arial"/>
        </w:rPr>
        <w:t xml:space="preserve">To Access Advocates</w:t>
      </w:r>
    </w:p>
    <w:p>
      <w:pPr>
        <w:spacing w:after="160"/>
      </w:pPr>
      <w:r>
        <w:rPr>
          <w:rFonts w:ascii="Arial" w:cs="Arial" w:eastAsia="Arial" w:hAnsi="Arial"/>
          <w:i/>
          <w:iCs/>
          <w:sz w:val="22"/>
          <w:szCs w:val="22"/>
        </w:rPr>
        <w:t xml:space="preserve">"No requirement takes effect until access is proven through independent certification. The program is time-limited—we're clearing a historical backlog, not creating surveillance infrastructure. Hard cases get attestation pathways. The burden is on government to deliver, not on citizens to navigate broken systems."</w:t>
      </w:r>
    </w:p>
    <w:p>
      <w:pPr>
        <w:spacing w:after="120"/>
      </w:pPr>
    </w:p>
    <w:p>
      <w:pPr>
        <w:pStyle w:val="Heading2"/>
        <w:spacing w:before="300" w:after="150"/>
      </w:pPr>
      <w:r>
        <w:rPr>
          <w:rFonts w:ascii="Arial" w:cs="Arial" w:eastAsia="Arial" w:hAnsi="Arial"/>
        </w:rPr>
        <w:t xml:space="preserve">To Fiscal Conservatives</w:t>
      </w:r>
    </w:p>
    <w:p>
      <w:pPr>
        <w:spacing w:after="160"/>
      </w:pPr>
      <w:r>
        <w:rPr>
          <w:rFonts w:ascii="Arial" w:cs="Arial" w:eastAsia="Arial" w:hAnsi="Arial"/>
          <w:i/>
          <w:iCs/>
          <w:sz w:val="22"/>
          <w:szCs w:val="22"/>
        </w:rPr>
        <w:t xml:space="preserve">"$700 million to $1 billion over 10 years to solve a problem affecting 21 million people, then it ends. Compare that to permanent bureaucracy or endless litigation. The program has a sunset—if it works, great; if not, it expires anyway."</w:t>
      </w:r>
    </w:p>
    <w:p>
      <w:pPr>
        <w:spacing w:after="120"/>
      </w:pPr>
    </w:p>
    <w:p>
      <w:pPr>
        <w:pStyle w:val="Heading2"/>
        <w:spacing w:before="300" w:after="150"/>
      </w:pPr>
      <w:r>
        <w:rPr>
          <w:rFonts w:ascii="Arial" w:cs="Arial" w:eastAsia="Arial" w:hAnsi="Arial"/>
        </w:rPr>
        <w:t xml:space="preserve">To Federalism Advocates</w:t>
      </w:r>
    </w:p>
    <w:p>
      <w:pPr>
        <w:spacing w:after="160"/>
      </w:pPr>
      <w:r>
        <w:rPr>
          <w:rFonts w:ascii="Arial" w:cs="Arial" w:eastAsia="Arial" w:hAnsi="Arial"/>
          <w:i/>
          <w:iCs/>
          <w:sz w:val="22"/>
          <w:szCs w:val="22"/>
        </w:rPr>
        <w:t xml:space="preserve">"States choose whether to participate. No mandates, no coercion, no penalty for opting out. Federal fallback exists but doesn't override State authority. This respects the Tenth Amendment."</w:t>
      </w:r>
    </w:p>
    <w:p>
      <w:r>
        <w:br w:type="page"/>
      </w:r>
    </w:p>
    <w:p>
      <w:pPr>
        <w:pStyle w:val="Heading1"/>
        <w:spacing w:before="400" w:after="200"/>
      </w:pPr>
      <w:r>
        <w:rPr>
          <w:rFonts w:ascii="Arial" w:cs="Arial" w:eastAsia="Arial" w:hAnsi="Arial"/>
        </w:rPr>
        <w:t xml:space="preserve">Appendix B: Design Philosophy</w:t>
      </w:r>
    </w:p>
    <w:p>
      <w:pPr>
        <w:spacing w:after="120"/>
      </w:pPr>
    </w:p>
    <w:p>
      <w:pPr>
        <w:pStyle w:val="Heading2"/>
        <w:spacing w:before="300" w:after="150"/>
      </w:pPr>
      <w:r>
        <w:rPr>
          <w:rFonts w:ascii="Arial" w:cs="Arial" w:eastAsia="Arial" w:hAnsi="Arial"/>
        </w:rPr>
        <w:t xml:space="preserve">One-Time Backlog Clearance</w:t>
      </w:r>
    </w:p>
    <w:p>
      <w:pPr>
        <w:spacing w:after="160"/>
      </w:pPr>
      <w:r>
        <w:rPr>
          <w:rFonts w:ascii="Arial" w:cs="Arial" w:eastAsia="Arial" w:hAnsi="Arial"/>
          <w:sz w:val="22"/>
          <w:szCs w:val="22"/>
        </w:rPr>
        <w:t xml:space="preserve">This program is structured as a one-time backlog clearance, not permanent infrastructure:</w:t>
      </w:r>
    </w:p>
    <w:p>
      <w:pPr>
        <w:pStyle w:val="ListParagraph"/>
        <w:numPr>
          <w:ilvl w:val="0"/>
          <w:numId w:val="2"/>
        </w:numPr>
        <w:spacing w:after="80"/>
      </w:pPr>
      <w:r>
        <w:rPr>
          <w:rFonts w:ascii="Arial" w:cs="Arial" w:eastAsia="Arial" w:hAnsi="Arial"/>
          <w:sz w:val="22"/>
          <w:szCs w:val="22"/>
        </w:rPr>
        <w:t xml:space="preserve">The "never issued birth certificate" population is finite and declining through mortality</w:t>
      </w:r>
    </w:p>
    <w:p>
      <w:pPr>
        <w:pStyle w:val="ListParagraph"/>
        <w:numPr>
          <w:ilvl w:val="0"/>
          <w:numId w:val="2"/>
        </w:numPr>
        <w:spacing w:after="80"/>
      </w:pPr>
      <w:r>
        <w:rPr>
          <w:rFonts w:ascii="Arial" w:cs="Arial" w:eastAsia="Arial" w:hAnsi="Arial"/>
          <w:sz w:val="22"/>
          <w:szCs w:val="22"/>
        </w:rPr>
        <w:t xml:space="preserve">Documents lost or destroyed can be recovered or replaced as a one-time fix</w:t>
      </w:r>
    </w:p>
    <w:p>
      <w:pPr>
        <w:pStyle w:val="ListParagraph"/>
        <w:numPr>
          <w:ilvl w:val="0"/>
          <w:numId w:val="2"/>
        </w:numPr>
        <w:spacing w:after="80"/>
      </w:pPr>
      <w:r>
        <w:rPr>
          <w:rFonts w:ascii="Arial" w:cs="Arial" w:eastAsia="Arial" w:hAnsi="Arial"/>
          <w:sz w:val="22"/>
          <w:szCs w:val="22"/>
        </w:rPr>
        <w:t xml:space="preserve">Ongoing new cases (disaster, homelessness) represent a small annual flow manageable through normal State processes</w:t>
      </w:r>
    </w:p>
    <w:p>
      <w:pPr>
        <w:pStyle w:val="ListParagraph"/>
        <w:numPr>
          <w:ilvl w:val="0"/>
          <w:numId w:val="2"/>
        </w:numPr>
        <w:spacing w:after="80"/>
      </w:pPr>
      <w:r>
        <w:rPr>
          <w:rFonts w:ascii="Arial" w:cs="Arial" w:eastAsia="Arial" w:hAnsi="Arial"/>
          <w:sz w:val="22"/>
          <w:szCs w:val="22"/>
        </w:rPr>
        <w:t xml:space="preserve">After 10 years, the problem is substantially solved; the program ends</w:t>
      </w:r>
    </w:p>
    <w:p>
      <w:pPr>
        <w:pStyle w:val="ListParagraph"/>
        <w:numPr>
          <w:ilvl w:val="0"/>
          <w:numId w:val="2"/>
        </w:numPr>
        <w:spacing w:after="80"/>
      </w:pPr>
      <w:r>
        <w:rPr>
          <w:rFonts w:ascii="Arial" w:cs="Arial" w:eastAsia="Arial" w:hAnsi="Arial"/>
          <w:sz w:val="22"/>
          <w:szCs w:val="22"/>
        </w:rPr>
        <w:t xml:space="preserve">No permanent federal bureaucracy; no surveillance infrastructure; no ratchet toward mandates</w:t>
      </w:r>
    </w:p>
    <w:p>
      <w:pPr>
        <w:spacing w:after="120"/>
      </w:pPr>
    </w:p>
    <w:p>
      <w:pPr>
        <w:pStyle w:val="Heading2"/>
        <w:spacing w:before="300" w:after="150"/>
      </w:pPr>
      <w:r>
        <w:rPr>
          <w:rFonts w:ascii="Arial" w:cs="Arial" w:eastAsia="Arial" w:hAnsi="Arial"/>
        </w:rPr>
        <w:t xml:space="preserve">Voluntary at Every Level</w:t>
      </w:r>
    </w:p>
    <w:p>
      <w:pPr>
        <w:spacing w:after="160"/>
      </w:pPr>
      <w:r>
        <w:rPr>
          <w:rFonts w:ascii="Arial" w:cs="Arial" w:eastAsia="Arial" w:hAnsi="Arial"/>
          <w:sz w:val="22"/>
          <w:szCs w:val="22"/>
        </w:rPr>
        <w:t xml:space="preserve">States choose to participate; citizens choose to apply; healthcare facilities choose to assist. No compulsion anywhere in the system.</w:t>
      </w:r>
    </w:p>
    <w:p>
      <w:pPr>
        <w:spacing w:after="120"/>
      </w:pPr>
    </w:p>
    <w:p>
      <w:pPr>
        <w:pStyle w:val="Heading2"/>
        <w:spacing w:before="300" w:after="150"/>
      </w:pPr>
      <w:r>
        <w:rPr>
          <w:rFonts w:ascii="Arial" w:cs="Arial" w:eastAsia="Arial" w:hAnsi="Arial"/>
        </w:rPr>
        <w:t xml:space="preserve">Multiple Pathways, No Dead Ends</w:t>
      </w:r>
    </w:p>
    <w:p>
      <w:pPr>
        <w:spacing w:after="160"/>
      </w:pPr>
      <w:r>
        <w:rPr>
          <w:rFonts w:ascii="Arial" w:cs="Arial" w:eastAsia="Arial" w:hAnsi="Arial"/>
          <w:sz w:val="22"/>
          <w:szCs w:val="22"/>
        </w:rPr>
        <w:t xml:space="preserve">Healthcare facilities, State DMVs, SSA offices, normal ID channels. If one path doesn't work, others are available.</w:t>
      </w:r>
    </w:p>
    <w:p>
      <w:pPr>
        <w:spacing w:after="120"/>
      </w:pPr>
    </w:p>
    <w:p>
      <w:pPr>
        <w:pStyle w:val="Heading2"/>
        <w:spacing w:before="300" w:after="150"/>
      </w:pPr>
      <w:r>
        <w:rPr>
          <w:rFonts w:ascii="Arial" w:cs="Arial" w:eastAsia="Arial" w:hAnsi="Arial"/>
        </w:rPr>
        <w:t xml:space="preserve">Physical Card Eliminates Election Day IT Risk</w:t>
      </w:r>
    </w:p>
    <w:p>
      <w:pPr>
        <w:spacing w:after="160"/>
      </w:pPr>
      <w:r>
        <w:rPr>
          <w:rFonts w:ascii="Arial" w:cs="Arial" w:eastAsia="Arial" w:hAnsi="Arial"/>
          <w:sz w:val="22"/>
          <w:szCs w:val="22"/>
        </w:rPr>
        <w:t xml:space="preserve">The card is the verification. No database lookup, no network dependency, no system to crash. Poll worker looks at card; voter votes.</w:t>
      </w:r>
    </w:p>
    <w:p>
      <w:pPr>
        <w:spacing w:after="120"/>
      </w:pPr>
    </w:p>
    <w:p>
      <w:pPr>
        <w:pStyle w:val="Heading2"/>
        <w:spacing w:before="300" w:after="150"/>
      </w:pPr>
      <w:r>
        <w:rPr>
          <w:rFonts w:ascii="Arial" w:cs="Arial" w:eastAsia="Arial" w:hAnsi="Arial"/>
        </w:rPr>
        <w:t xml:space="preserve">Structural Resistance to Weaponization</w:t>
      </w:r>
    </w:p>
    <w:p>
      <w:pPr>
        <w:pStyle w:val="ListParagraph"/>
        <w:numPr>
          <w:ilvl w:val="0"/>
          <w:numId w:val="2"/>
        </w:numPr>
        <w:spacing w:after="80"/>
      </w:pPr>
      <w:r>
        <w:rPr>
          <w:rFonts w:ascii="Arial" w:cs="Arial" w:eastAsia="Arial" w:hAnsi="Arial"/>
          <w:sz w:val="22"/>
          <w:szCs w:val="22"/>
        </w:rPr>
        <w:t xml:space="preserve">Formula funding eliminates discretion</w:t>
      </w:r>
    </w:p>
    <w:p>
      <w:pPr>
        <w:pStyle w:val="ListParagraph"/>
        <w:numPr>
          <w:ilvl w:val="0"/>
          <w:numId w:val="2"/>
        </w:numPr>
        <w:spacing w:after="80"/>
      </w:pPr>
      <w:r>
        <w:rPr>
          <w:rFonts w:ascii="Arial" w:cs="Arial" w:eastAsia="Arial" w:hAnsi="Arial"/>
          <w:sz w:val="22"/>
          <w:szCs w:val="22"/>
        </w:rPr>
        <w:t xml:space="preserve">Locked eligibility criteria prevent regulatory drift</w:t>
      </w:r>
    </w:p>
    <w:p>
      <w:pPr>
        <w:pStyle w:val="ListParagraph"/>
        <w:numPr>
          <w:ilvl w:val="0"/>
          <w:numId w:val="2"/>
        </w:numPr>
        <w:spacing w:after="80"/>
      </w:pPr>
      <w:r>
        <w:rPr>
          <w:rFonts w:ascii="Arial" w:cs="Arial" w:eastAsia="Arial" w:hAnsi="Arial"/>
          <w:sz w:val="22"/>
          <w:szCs w:val="22"/>
        </w:rPr>
        <w:t xml:space="preserve">Data firewalls prevent enforcement sharing</w:t>
      </w:r>
    </w:p>
    <w:p>
      <w:pPr>
        <w:pStyle w:val="ListParagraph"/>
        <w:numPr>
          <w:ilvl w:val="0"/>
          <w:numId w:val="2"/>
        </w:numPr>
        <w:spacing w:after="80"/>
      </w:pPr>
      <w:r>
        <w:rPr>
          <w:rFonts w:ascii="Arial" w:cs="Arial" w:eastAsia="Arial" w:hAnsi="Arial"/>
          <w:sz w:val="22"/>
          <w:szCs w:val="22"/>
        </w:rPr>
        <w:t xml:space="preserve">Independent oversight through GAO, not the administering agency</w:t>
      </w:r>
    </w:p>
    <w:p>
      <w:pPr>
        <w:pStyle w:val="ListParagraph"/>
        <w:numPr>
          <w:ilvl w:val="0"/>
          <w:numId w:val="2"/>
        </w:numPr>
        <w:spacing w:after="80"/>
      </w:pPr>
      <w:r>
        <w:rPr>
          <w:rFonts w:ascii="Arial" w:cs="Arial" w:eastAsia="Arial" w:hAnsi="Arial"/>
          <w:sz w:val="22"/>
          <w:szCs w:val="22"/>
        </w:rPr>
        <w:t xml:space="preserve">Private right of action provides individual remedy</w:t>
      </w:r>
    </w:p>
    <w:p>
      <w:pPr>
        <w:pStyle w:val="ListParagraph"/>
        <w:numPr>
          <w:ilvl w:val="0"/>
          <w:numId w:val="2"/>
        </w:numPr>
        <w:spacing w:after="80"/>
      </w:pPr>
      <w:r>
        <w:rPr>
          <w:rFonts w:ascii="Arial" w:cs="Arial" w:eastAsia="Arial" w:hAnsi="Arial"/>
          <w:sz w:val="22"/>
          <w:szCs w:val="22"/>
        </w:rPr>
        <w:t xml:space="preserve">Sunset prevents permanent infrastructure capture</w:t>
      </w:r>
    </w:p>
    <w:p>
      <w:pPr>
        <w:spacing w:after="120"/>
      </w:pPr>
    </w:p>
    <w:p>
      <w:pPr>
        <w:spacing w:before="800"/>
        <w:jc w:val="center"/>
      </w:pPr>
      <w:r>
        <w:rPr>
          <w:rFonts w:ascii="Arial" w:cs="Arial" w:eastAsia="Arial" w:hAnsi="Arial"/>
          <w:b/>
          <w:b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Voluntary Federal Voter ID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7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7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2026-02-15T21:20:39.652Z</dcterms:created>
  <dcterms:modified xsi:type="dcterms:W3CDTF">2026-02-15T21:20:39.653Z</dcterms:modified>
</cp:coreProperties>
</file>

<file path=docProps/custom.xml><?xml version="1.0" encoding="utf-8"?>
<Properties xmlns="http://schemas.openxmlformats.org/officeDocument/2006/custom-properties" xmlns:vt="http://schemas.openxmlformats.org/officeDocument/2006/docPropsVTypes"/>
</file>