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Pr="000B2DD8" w:rsidRDefault="0027538B" w:rsidP="0027538B">
      <w:pPr>
        <w:jc w:val="center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IL DIRETTORE</w:t>
      </w:r>
    </w:p>
    <w:p w14:paraId="6FAB939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</w:p>
    <w:p w14:paraId="643BCA30" w14:textId="31287857" w:rsidR="0027538B" w:rsidRDefault="0027538B" w:rsidP="0027538B">
      <w:pPr>
        <w:jc w:val="both"/>
        <w:rPr>
          <w:rFonts w:ascii="Arial" w:hAnsi="Arial"/>
          <w:color w:val="000000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RICHIAMATO </w:t>
      </w:r>
      <w:r w:rsidRPr="000B2DD8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0B2DD8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0B2DD8" w:rsidRPr="00F45EA4">
        <w:rPr>
          <w:rFonts w:ascii="Arial" w:hAnsi="Arial"/>
          <w:color w:val="000000"/>
          <w:sz w:val="22"/>
          <w:szCs w:val="22"/>
        </w:rPr>
        <w:t>;</w:t>
      </w:r>
    </w:p>
    <w:p w14:paraId="789D5CCC" w14:textId="77777777" w:rsidR="000B2DD8" w:rsidRPr="000B2DD8" w:rsidRDefault="000B2DD8" w:rsidP="0027538B">
      <w:pPr>
        <w:jc w:val="both"/>
        <w:rPr>
          <w:rFonts w:ascii="Arial" w:hAnsi="Arial"/>
          <w:b/>
          <w:sz w:val="22"/>
          <w:szCs w:val="22"/>
        </w:rPr>
      </w:pPr>
    </w:p>
    <w:p w14:paraId="64C86E1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VISTI:</w:t>
      </w:r>
    </w:p>
    <w:p w14:paraId="7834AD0A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 xml:space="preserve"> </w:t>
      </w:r>
    </w:p>
    <w:p w14:paraId="241F48BE" w14:textId="73C35171" w:rsidR="000B2DD8" w:rsidRDefault="0027538B" w:rsidP="000B2DD8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PREMESSO </w:t>
      </w:r>
      <w:r w:rsidRPr="000B2DD8">
        <w:rPr>
          <w:rFonts w:ascii="Arial" w:hAnsi="Arial" w:cs="Arial"/>
          <w:b w:val="0"/>
          <w:bCs w:val="0"/>
          <w:sz w:val="22"/>
          <w:szCs w:val="22"/>
        </w:rPr>
        <w:t xml:space="preserve">che, con istanza acquisita agli atti di questo Ente con protocollo </w:t>
      </w:r>
      <w:r w:rsidRPr="000B2DD8">
        <w:rPr>
          <w:rFonts w:ascii="Arial" w:hAnsi="Arial" w:cs="Arial"/>
          <w:sz w:val="22"/>
          <w:szCs w:val="22"/>
        </w:rPr>
        <w:t xml:space="preserve">n.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>del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 il</w:t>
      </w:r>
      <w:r w:rsidR="00D738F5">
        <w:rPr>
          <w:rFonts w:ascii="Arial" w:hAnsi="Arial" w:cs="Arial"/>
          <w:b w:val="0"/>
          <w:bCs w:val="0"/>
          <w:sz w:val="22"/>
          <w:szCs w:val="22"/>
        </w:rPr>
        <w:t>/la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Sig./Sig.ra</w:t>
      </w:r>
      <w:r w:rsidR="000B2DD8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0B2DD8" w:rsidRPr="00F45EA4">
        <w:rPr>
          <w:rFonts w:ascii="Arial" w:hAnsi="Arial" w:cs="Arial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ha chiesto </w:t>
      </w:r>
      <w:r w:rsidR="000B2DD8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="000B2DD8" w:rsidRPr="000B2DD8">
        <w:rPr>
          <w:rFonts w:ascii="Arial" w:hAnsi="Arial" w:cs="Arial"/>
          <w:sz w:val="22"/>
          <w:szCs w:val="22"/>
          <w:u w:val="single"/>
        </w:rPr>
        <w:t>proroga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all’</w:t>
      </w:r>
      <w:r w:rsidR="000B2DD8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</w:t>
      </w:r>
      <w:r w:rsidR="000B2DD8" w:rsidRPr="00F45EA4">
        <w:rPr>
          <w:rFonts w:ascii="Arial" w:hAnsi="Arial" w:cs="Arial"/>
          <w:bCs w:val="0"/>
          <w:sz w:val="22"/>
          <w:szCs w:val="22"/>
        </w:rPr>
        <w:t>;</w:t>
      </w:r>
    </w:p>
    <w:p w14:paraId="4C582FD4" w14:textId="6E2FB7EC" w:rsidR="000B2DD8" w:rsidRDefault="000B2DD8" w:rsidP="000B2DD8">
      <w:pPr>
        <w:pStyle w:val="Corpotesto"/>
        <w:rPr>
          <w:lang w:bidi="ar-SA"/>
        </w:rPr>
      </w:pPr>
    </w:p>
    <w:p w14:paraId="6D42620A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proofErr w:type="gramStart"/>
      <w:r w:rsidRPr="00F45EA4">
        <w:rPr>
          <w:rFonts w:ascii="Arial" w:hAnsi="Arial" w:cs="Arial"/>
          <w:sz w:val="22"/>
          <w:szCs w:val="22"/>
        </w:rPr>
        <w:t>determina.richiestaParere.poliziaLocale</w:t>
      </w:r>
      <w:proofErr w:type="gramEnd"/>
      <w:r w:rsidRPr="00F45EA4">
        <w:rPr>
          <w:rFonts w:ascii="Arial" w:hAnsi="Arial" w:cs="Arial"/>
          <w:sz w:val="22"/>
          <w:szCs w:val="22"/>
        </w:rPr>
        <w:t>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26B80D2D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7DDE2E6B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proofErr w:type="gramStart"/>
      <w:r w:rsidRPr="00F45EA4">
        <w:rPr>
          <w:rFonts w:ascii="Arial" w:hAnsi="Arial" w:cs="Arial"/>
          <w:sz w:val="22"/>
          <w:szCs w:val="22"/>
        </w:rPr>
        <w:t>determina.parere</w:t>
      </w:r>
      <w:proofErr w:type="gramEnd"/>
      <w:r w:rsidRPr="00F45EA4">
        <w:rPr>
          <w:rFonts w:ascii="Arial" w:hAnsi="Arial" w:cs="Arial"/>
          <w:sz w:val="22"/>
          <w:szCs w:val="22"/>
        </w:rPr>
        <w:t>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bCs w:val="0"/>
          <w:sz w:val="22"/>
          <w:szCs w:val="22"/>
        </w:rPr>
        <w:t>con le seguenti prescrizioni:</w:t>
      </w:r>
      <w:r w:rsidRPr="00F45EA4">
        <w:rPr>
          <w:rFonts w:ascii="Arial" w:hAnsi="Arial" w:cs="Arial"/>
          <w:sz w:val="22"/>
          <w:szCs w:val="22"/>
        </w:rPr>
        <w:t xml:space="preserve"> </w:t>
      </w:r>
    </w:p>
    <w:p w14:paraId="4FA7AC1E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i/>
          <w:sz w:val="22"/>
          <w:szCs w:val="22"/>
        </w:rPr>
      </w:pPr>
    </w:p>
    <w:p w14:paraId="6E82CE71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b/>
          <w:i/>
          <w:sz w:val="22"/>
          <w:szCs w:val="22"/>
        </w:rPr>
        <w:t>determina.parere</w:t>
      </w:r>
      <w:proofErr w:type="gramEnd"/>
      <w:r w:rsidRPr="00F45EA4">
        <w:rPr>
          <w:rFonts w:ascii="Arial" w:hAnsi="Arial" w:cs="Arial"/>
          <w:b/>
          <w:i/>
          <w:sz w:val="22"/>
          <w:szCs w:val="22"/>
        </w:rPr>
        <w:t>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7FFC659E" w14:textId="5F366103" w:rsidR="0027538B" w:rsidRPr="000B2DD8" w:rsidRDefault="0027538B" w:rsidP="000B2DD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0D34F2B" w14:textId="4FF43B5E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bCs/>
          <w:color w:val="000000"/>
          <w:sz w:val="22"/>
          <w:szCs w:val="22"/>
          <w:lang w:bidi="ar-SA"/>
        </w:rPr>
        <w:t xml:space="preserve">DATO ATTO </w:t>
      </w:r>
      <w:r w:rsidRPr="000B2DD8">
        <w:rPr>
          <w:rFonts w:ascii="Arial" w:hAnsi="Arial"/>
          <w:color w:val="000000"/>
          <w:sz w:val="22"/>
          <w:szCs w:val="22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07/07/2011;</w:t>
      </w:r>
    </w:p>
    <w:p w14:paraId="1590E656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72E1302E" w14:textId="116D4310" w:rsidR="0027538B" w:rsidRPr="000B2DD8" w:rsidRDefault="0027538B" w:rsidP="0027538B">
      <w:pPr>
        <w:jc w:val="both"/>
        <w:rPr>
          <w:rFonts w:ascii="Arial" w:hAnsi="Arial"/>
          <w:sz w:val="22"/>
          <w:szCs w:val="22"/>
          <w:lang w:bidi="he-IL"/>
        </w:rPr>
      </w:pPr>
      <w:r w:rsidRPr="000B2DD8">
        <w:rPr>
          <w:rFonts w:ascii="Arial" w:hAnsi="Arial"/>
          <w:b/>
          <w:sz w:val="22"/>
          <w:szCs w:val="22"/>
        </w:rPr>
        <w:t>ACCERTATA</w:t>
      </w:r>
      <w:r w:rsidRPr="000B2DD8">
        <w:rPr>
          <w:rFonts w:ascii="Arial" w:hAnsi="Arial"/>
          <w:sz w:val="22"/>
          <w:szCs w:val="22"/>
        </w:rPr>
        <w:t xml:space="preserve"> la regolarità della documentazione prodotta;</w:t>
      </w:r>
    </w:p>
    <w:p w14:paraId="440244BB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261382B1" w14:textId="77777777" w:rsidR="0027538B" w:rsidRPr="000B2DD8" w:rsidRDefault="0027538B" w:rsidP="0027538B">
      <w:pPr>
        <w:jc w:val="both"/>
        <w:rPr>
          <w:rFonts w:ascii="Arial" w:hAnsi="Arial"/>
          <w:b/>
          <w:sz w:val="22"/>
          <w:szCs w:val="22"/>
          <w:lang w:bidi="he-IL"/>
        </w:rPr>
      </w:pPr>
    </w:p>
    <w:p w14:paraId="55898216" w14:textId="77777777" w:rsidR="0027538B" w:rsidRPr="000B2DD8" w:rsidRDefault="0027538B" w:rsidP="0027538B">
      <w:pPr>
        <w:jc w:val="both"/>
        <w:rPr>
          <w:rFonts w:ascii="Arial" w:hAnsi="Arial"/>
          <w:b/>
          <w:bCs/>
          <w:sz w:val="22"/>
          <w:szCs w:val="22"/>
        </w:rPr>
      </w:pPr>
      <w:r w:rsidRPr="000B2DD8">
        <w:rPr>
          <w:rFonts w:ascii="Arial" w:hAnsi="Arial"/>
          <w:b/>
          <w:bCs/>
          <w:sz w:val="22"/>
          <w:szCs w:val="22"/>
        </w:rPr>
        <w:t>VISTI:</w:t>
      </w:r>
    </w:p>
    <w:p w14:paraId="398194A4" w14:textId="0F06BD53" w:rsidR="0027538B" w:rsidRPr="00546763" w:rsidRDefault="0027538B" w:rsidP="00507DC6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 xml:space="preserve">la documentazione agli atti d’Ufficio relativa al rilascio </w:t>
      </w:r>
      <w:r w:rsidR="00BA7010" w:rsidRPr="00546763">
        <w:rPr>
          <w:rFonts w:ascii="Arial" w:hAnsi="Arial"/>
          <w:sz w:val="22"/>
          <w:szCs w:val="22"/>
        </w:rPr>
        <w:t xml:space="preserve">della concessione temporanea di suolo pubblico </w:t>
      </w:r>
      <w:r w:rsidRPr="00546763">
        <w:rPr>
          <w:rFonts w:ascii="Arial" w:hAnsi="Arial"/>
          <w:sz w:val="22"/>
          <w:szCs w:val="22"/>
        </w:rPr>
        <w:t>già concesso al</w:t>
      </w:r>
      <w:r w:rsidR="00BF0197">
        <w:rPr>
          <w:rFonts w:ascii="Arial" w:hAnsi="Arial"/>
          <w:sz w:val="22"/>
          <w:szCs w:val="22"/>
        </w:rPr>
        <w:t>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>a</w:t>
      </w:r>
      <w:r w:rsidR="00BF0197">
        <w:rPr>
          <w:rFonts w:ascii="Arial" w:hAnsi="Arial"/>
          <w:iCs/>
          <w:color w:val="000000"/>
          <w:sz w:val="22"/>
          <w:szCs w:val="22"/>
        </w:rPr>
        <w:t>lla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 </w:t>
      </w:r>
      <w:r w:rsidR="00546763" w:rsidRPr="00546763">
        <w:rPr>
          <w:rFonts w:ascii="Arial" w:hAnsi="Arial"/>
          <w:kern w:val="0"/>
          <w:sz w:val="22"/>
          <w:szCs w:val="22"/>
          <w:lang w:eastAsia="it-IT"/>
        </w:rPr>
        <w:t>Sig./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Sig.ra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proofErr w:type="gramStart"/>
      <w:r w:rsidR="00546763" w:rsidRPr="00546763">
        <w:rPr>
          <w:rFonts w:ascii="Arial" w:hAnsi="Arial"/>
          <w:b/>
          <w:bCs/>
          <w:sz w:val="22"/>
          <w:szCs w:val="22"/>
        </w:rPr>
        <w:t>pratica.firmatario</w:t>
      </w:r>
      <w:proofErr w:type="gramEnd"/>
      <w:r w:rsidR="00546763" w:rsidRPr="00546763">
        <w:rPr>
          <w:rFonts w:ascii="Arial" w:hAnsi="Arial"/>
          <w:b/>
          <w:bCs/>
          <w:sz w:val="22"/>
          <w:szCs w:val="22"/>
        </w:rPr>
        <w:t>.cognome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b/>
          <w:bCs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/>
          <w:sz w:val="22"/>
          <w:szCs w:val="22"/>
        </w:rPr>
        <w:t xml:space="preserve">in 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546763" w:rsidRPr="00F45EA4">
        <w:rPr>
          <w:rFonts w:ascii="Arial" w:hAnsi="Arial"/>
          <w:sz w:val="22"/>
          <w:szCs w:val="22"/>
        </w:rPr>
        <w:t xml:space="preserve"> in Bari</w:t>
      </w:r>
    </w:p>
    <w:p w14:paraId="3B30335E" w14:textId="77777777" w:rsidR="0027538B" w:rsidRPr="000B2DD8" w:rsidRDefault="0027538B" w:rsidP="0027538B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0B2DD8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lastRenderedPageBreak/>
        <w:t xml:space="preserve">DATO ATTO </w:t>
      </w:r>
      <w:r w:rsidRPr="000B2DD8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0B2DD8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432F642E" w14:textId="77777777" w:rsidR="0027538B" w:rsidRPr="000B2DD8" w:rsidRDefault="0027538B" w:rsidP="0027538B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</w:p>
    <w:p w14:paraId="0C231A0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RITENUTO</w:t>
      </w:r>
      <w:r w:rsidRPr="000B2DD8">
        <w:rPr>
          <w:rFonts w:ascii="Arial" w:hAnsi="Arial"/>
          <w:sz w:val="22"/>
          <w:szCs w:val="22"/>
        </w:rPr>
        <w:t xml:space="preserve">, </w:t>
      </w:r>
    </w:p>
    <w:p w14:paraId="4646622D" w14:textId="77777777" w:rsidR="004444F6" w:rsidRDefault="004444F6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9BBD94F" w14:textId="694521A3" w:rsidR="00546763" w:rsidRPr="00F45EA4" w:rsidRDefault="0027538B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per quanto sopra, di accogliere l’istanza di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proroga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 della concessione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temporanea di suolo pubblico</w:t>
      </w:r>
      <w:r w:rsidR="00546763"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sz w:val="22"/>
          <w:szCs w:val="22"/>
        </w:rPr>
        <w:t xml:space="preserve">a </w:t>
      </w:r>
      <w:r w:rsidR="00546763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546763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proofErr w:type="gramStart"/>
      <w:r w:rsidR="00546763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546763" w:rsidRPr="00F45EA4">
        <w:rPr>
          <w:rFonts w:ascii="Arial" w:hAnsi="Arial" w:cs="Arial"/>
          <w:sz w:val="22"/>
          <w:szCs w:val="22"/>
        </w:rPr>
        <w:t>.co</w:t>
      </w:r>
      <w:r w:rsidR="00FF12A4">
        <w:rPr>
          <w:rFonts w:ascii="Arial" w:hAnsi="Arial" w:cs="Arial"/>
          <w:sz w:val="22"/>
          <w:szCs w:val="22"/>
        </w:rPr>
        <w:t>g</w:t>
      </w:r>
      <w:r w:rsidR="00546763" w:rsidRPr="00F45EA4">
        <w:rPr>
          <w:rFonts w:ascii="Arial" w:hAnsi="Arial" w:cs="Arial"/>
          <w:sz w:val="22"/>
          <w:szCs w:val="22"/>
        </w:rPr>
        <w:t>nome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546763" w:rsidRPr="00D738F5">
        <w:rPr>
          <w:rFonts w:ascii="Arial" w:hAnsi="Arial" w:cs="Arial"/>
          <w:b w:val="0"/>
          <w:bCs w:val="0"/>
          <w:sz w:val="22"/>
          <w:szCs w:val="22"/>
        </w:rPr>
        <w:t>,</w:t>
      </w:r>
      <w:r w:rsidR="00546763" w:rsidRPr="00F45EA4">
        <w:rPr>
          <w:rFonts w:ascii="Arial" w:hAnsi="Arial" w:cs="Arial"/>
          <w:sz w:val="22"/>
          <w:szCs w:val="22"/>
        </w:rPr>
        <w:t xml:space="preserve"> </w:t>
      </w:r>
      <w:bookmarkStart w:id="0" w:name="_Hlk100910938"/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46763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546763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0"/>
      <w:r w:rsidR="00546763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546763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546763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296114A2" w14:textId="668C907A" w:rsidR="0027538B" w:rsidRPr="00546763" w:rsidRDefault="0027538B" w:rsidP="00546763">
      <w:pPr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</w:p>
    <w:p w14:paraId="0C614FB7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DATO ATTO </w:t>
      </w:r>
      <w:r w:rsidRPr="000B2DD8">
        <w:rPr>
          <w:rFonts w:ascii="Arial" w:hAnsi="Arial"/>
          <w:sz w:val="22"/>
          <w:szCs w:val="22"/>
        </w:rPr>
        <w:t>che, la concessione è sottoposta alle norme regolamentari e al C.d.S.;</w:t>
      </w:r>
    </w:p>
    <w:p w14:paraId="0C3BD030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DAE7775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0B2DD8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29C248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0F2AE2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AECFB11" w14:textId="77777777" w:rsidR="0027538B" w:rsidRPr="000B2DD8" w:rsidRDefault="0027538B" w:rsidP="0027538B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40688248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Cs/>
          <w:color w:val="000000"/>
          <w:sz w:val="22"/>
          <w:szCs w:val="22"/>
        </w:rPr>
        <w:t>il</w:t>
      </w:r>
      <w:r w:rsidRPr="000B2DD8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45AEC76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0B2DD8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0B2DD8">
        <w:rPr>
          <w:rFonts w:ascii="Arial" w:hAnsi="Arial" w:cs="Arial"/>
          <w:color w:val="000000"/>
          <w:sz w:val="22"/>
          <w:szCs w:val="22"/>
        </w:rPr>
        <w:t>;</w:t>
      </w:r>
    </w:p>
    <w:p w14:paraId="2F2E185A" w14:textId="46808CE0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0B2DD8">
        <w:rPr>
          <w:rFonts w:ascii="Arial" w:hAnsi="Arial" w:cs="Arial"/>
          <w:sz w:val="22"/>
          <w:szCs w:val="22"/>
        </w:rPr>
        <w:t>ss.mm.ii</w:t>
      </w:r>
      <w:proofErr w:type="spellEnd"/>
      <w:r w:rsidRPr="000B2DD8">
        <w:rPr>
          <w:rFonts w:ascii="Arial" w:hAnsi="Arial" w:cs="Arial"/>
          <w:sz w:val="22"/>
          <w:szCs w:val="22"/>
        </w:rPr>
        <w:t>.);</w:t>
      </w:r>
    </w:p>
    <w:p w14:paraId="1668F1FD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0B2DD8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0B2DD8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0B2DD8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0B2DD8">
        <w:rPr>
          <w:rFonts w:ascii="Arial" w:hAnsi="Arial"/>
          <w:sz w:val="22"/>
          <w:szCs w:val="22"/>
        </w:rPr>
        <w:t>Deliberazione di Consiglio Comunale n. 9/2021;</w:t>
      </w:r>
    </w:p>
    <w:p w14:paraId="64778318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4131C3F5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Pr="000B2DD8" w:rsidRDefault="0027538B" w:rsidP="0027538B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432FC8C7" w14:textId="77777777" w:rsidR="0027538B" w:rsidRPr="000B2DD8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>D E T E R M I N A</w:t>
      </w:r>
    </w:p>
    <w:p w14:paraId="1B3649F2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0CBF7F9D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mallCaps/>
          <w:sz w:val="22"/>
          <w:szCs w:val="22"/>
        </w:rPr>
      </w:pPr>
      <w:r w:rsidRPr="000B2DD8">
        <w:rPr>
          <w:rFonts w:ascii="Arial" w:hAnsi="Arial" w:cs="Arial"/>
          <w:smallCaps/>
          <w:sz w:val="22"/>
          <w:szCs w:val="22"/>
        </w:rPr>
        <w:t>Per i motivi espressi in narrativa che qui s’intendono integralmente riportati</w:t>
      </w:r>
    </w:p>
    <w:p w14:paraId="298F7471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73564245" w14:textId="70230B74" w:rsidR="0027538B" w:rsidRDefault="00546763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kern w:val="0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>PROROGARE</w:t>
      </w:r>
      <w:r w:rsidR="0027538B" w:rsidRPr="00546763">
        <w:rPr>
          <w:rFonts w:ascii="Arial" w:hAnsi="Arial"/>
          <w:sz w:val="22"/>
          <w:szCs w:val="22"/>
        </w:rPr>
        <w:t xml:space="preserve">, </w:t>
      </w:r>
      <w:r w:rsidR="0027538B" w:rsidRPr="00546763">
        <w:rPr>
          <w:rFonts w:ascii="Arial" w:hAnsi="Arial"/>
          <w:b w:val="0"/>
          <w:bCs w:val="0"/>
          <w:sz w:val="22"/>
          <w:szCs w:val="22"/>
        </w:rPr>
        <w:t>al</w:t>
      </w:r>
      <w:r w:rsidR="00D738F5">
        <w:rPr>
          <w:rFonts w:ascii="Arial" w:hAnsi="Arial"/>
          <w:b w:val="0"/>
          <w:bCs w:val="0"/>
          <w:sz w:val="22"/>
          <w:szCs w:val="22"/>
        </w:rPr>
        <w:t>/alla</w:t>
      </w:r>
      <w:r w:rsidR="0027538B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kern w:val="0"/>
          <w:sz w:val="22"/>
          <w:szCs w:val="22"/>
        </w:rPr>
        <w:t xml:space="preserve"> </w:t>
      </w:r>
      <w:r w:rsidRPr="00F45EA4">
        <w:rPr>
          <w:rFonts w:ascii="Arial" w:hAnsi="Arial" w:cs="Arial"/>
          <w:kern w:val="0"/>
          <w:sz w:val="22"/>
          <w:szCs w:val="22"/>
        </w:rPr>
        <w:lastRenderedPageBreak/>
        <w:t>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446719F5" w14:textId="77777777" w:rsidR="00546763" w:rsidRPr="00546763" w:rsidRDefault="00546763" w:rsidP="00546763">
      <w:pPr>
        <w:pStyle w:val="Corpotesto"/>
        <w:rPr>
          <w:lang w:bidi="ar-SA"/>
        </w:rPr>
      </w:pPr>
    </w:p>
    <w:p w14:paraId="4F394548" w14:textId="7437EB8F" w:rsidR="0027538B" w:rsidRPr="00546763" w:rsidRDefault="0027538B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DARE ATTO 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>che la durata della concessione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Pr="000B2DD8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5FB4865" w14:textId="1099E2E3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1" w:name="_Hlk10091092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BF0197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l</w:t>
      </w:r>
      <w:r w:rsidR="00D738F5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/alla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.ra </w:t>
      </w:r>
      <w:bookmarkStart w:id="2" w:name="_Hlk100745022"/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Pr="00F45EA4">
        <w:rPr>
          <w:rFonts w:ascii="Arial" w:hAnsi="Arial" w:cs="Arial"/>
          <w:sz w:val="22"/>
          <w:szCs w:val="22"/>
        </w:rPr>
        <w:t>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bookmarkEnd w:id="1"/>
      <w:r w:rsidRPr="00F45EA4">
        <w:rPr>
          <w:rFonts w:ascii="Arial" w:hAnsi="Arial" w:cs="Arial"/>
          <w:sz w:val="22"/>
          <w:szCs w:val="22"/>
        </w:rPr>
        <w:t xml:space="preserve"> </w:t>
      </w:r>
      <w:bookmarkEnd w:id="2"/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44153A42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D68E1A5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 al parere 36868/2022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quale parte integrante e sostanziale del presente provvedimento unitamente agli elaborati grafici;</w:t>
      </w:r>
    </w:p>
    <w:p w14:paraId="3BA577D2" w14:textId="77777777" w:rsidR="00925E26" w:rsidRPr="00F45EA4" w:rsidRDefault="00925E26" w:rsidP="00925E26">
      <w:pPr>
        <w:pStyle w:val="Corpotesto"/>
        <w:numPr>
          <w:ilvl w:val="0"/>
          <w:numId w:val="27"/>
        </w:numPr>
        <w:tabs>
          <w:tab w:val="left" w:pos="288"/>
        </w:tabs>
        <w:autoSpaceDN/>
        <w:spacing w:after="0" w:line="276" w:lineRule="auto"/>
        <w:jc w:val="both"/>
        <w:textAlignment w:val="auto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55F276F3" w14:textId="77777777" w:rsidR="00925E26" w:rsidRPr="00F45EA4" w:rsidRDefault="00925E26" w:rsidP="00925E26">
      <w:pPr>
        <w:tabs>
          <w:tab w:val="left" w:pos="288"/>
        </w:tabs>
        <w:jc w:val="both"/>
        <w:rPr>
          <w:rFonts w:ascii="Arial" w:hAnsi="Arial"/>
          <w:sz w:val="22"/>
          <w:szCs w:val="22"/>
        </w:rPr>
      </w:pPr>
    </w:p>
    <w:p w14:paraId="51CA22F1" w14:textId="4B4ED3F8" w:rsid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19F49E40" w14:textId="2002F0E2" w:rsidR="00586DAA" w:rsidRPr="00586DAA" w:rsidRDefault="00586DAA" w:rsidP="00586DAA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586DAA">
        <w:rPr>
          <w:rFonts w:ascii="Tahoma" w:hAnsi="Tahoma" w:cs="Tahoma"/>
          <w:b/>
          <w:bCs/>
          <w:sz w:val="22"/>
          <w:szCs w:val="22"/>
        </w:rPr>
        <w:t xml:space="preserve">- </w:t>
      </w:r>
      <w:r w:rsidRPr="00586DAA">
        <w:rPr>
          <w:rFonts w:ascii="Tahoma" w:hAnsi="Tahoma" w:cs="Tahoma"/>
          <w:bCs/>
          <w:sz w:val="22"/>
          <w:szCs w:val="22"/>
        </w:rPr>
        <w:t xml:space="preserve">la presente concessione è esente dal </w:t>
      </w:r>
      <w:r w:rsidRPr="00586DAA">
        <w:rPr>
          <w:rFonts w:ascii="Tahoma" w:hAnsi="Tahoma" w:cs="Tahoma"/>
          <w:bCs/>
          <w:sz w:val="22"/>
          <w:szCs w:val="22"/>
          <w:u w:val="single"/>
        </w:rPr>
        <w:t>pagamento del CUP – Canone Unico Patrimoniale,</w:t>
      </w:r>
      <w:r w:rsidRPr="00586DAA">
        <w:rPr>
          <w:rFonts w:ascii="Tahoma" w:hAnsi="Tahoma" w:cs="Tahoma"/>
          <w:bCs/>
          <w:sz w:val="22"/>
          <w:szCs w:val="22"/>
        </w:rPr>
        <w:t xml:space="preserve"> relativo all’occupazione medesima, rientrando nell’ipotesi di esenzione prevista dall’art. 1 co. 833 L. 160/2019;</w:t>
      </w:r>
    </w:p>
    <w:p w14:paraId="1022093B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04C8C86C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25BD7C40" w14:textId="77777777" w:rsidR="00925E26" w:rsidRPr="00F45EA4" w:rsidRDefault="00925E26" w:rsidP="00925E26">
      <w:pPr>
        <w:pStyle w:val="Corpotesto"/>
        <w:numPr>
          <w:ilvl w:val="0"/>
          <w:numId w:val="28"/>
        </w:numPr>
        <w:tabs>
          <w:tab w:val="left" w:pos="288"/>
          <w:tab w:val="left" w:pos="360"/>
        </w:tabs>
        <w:autoSpaceDN/>
        <w:spacing w:after="0" w:line="283" w:lineRule="exact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715472BF" w14:textId="77777777" w:rsidR="00925E26" w:rsidRPr="00F45EA4" w:rsidRDefault="00925E26" w:rsidP="00925E26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4FC2FEE0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06B8AA06" w14:textId="77777777" w:rsidR="00925E26" w:rsidRPr="00F45EA4" w:rsidRDefault="00925E26" w:rsidP="00925E26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755F691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684E968D" w14:textId="77777777" w:rsidR="00925E26" w:rsidRPr="00F45EA4" w:rsidRDefault="00925E26" w:rsidP="00925E26">
      <w:pPr>
        <w:jc w:val="both"/>
        <w:rPr>
          <w:rFonts w:ascii="Arial" w:hAnsi="Arial"/>
          <w:sz w:val="22"/>
          <w:szCs w:val="22"/>
        </w:rPr>
      </w:pPr>
    </w:p>
    <w:p w14:paraId="29F29649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5A7C3A0C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6ACBBBCB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che alla presente determinazione sia data adeguata pubblicità con pubblicazione online all’albo pretorio del Comune di Bari per </w:t>
      </w:r>
      <w:proofErr w:type="gramStart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proofErr w:type="gramEnd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giorni consecutivi;</w:t>
      </w:r>
    </w:p>
    <w:p w14:paraId="24F047FE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3106AED2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686D7611" w14:textId="58899EBC" w:rsidR="00925E26" w:rsidRPr="00F45EA4" w:rsidRDefault="00D738F5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lastRenderedPageBreak/>
        <w:t>a</w:t>
      </w:r>
      <w:r w:rsidR="00925E26" w:rsidRPr="00F45EA4">
        <w:rPr>
          <w:rFonts w:ascii="Arial" w:hAnsi="Arial"/>
          <w:color w:val="000000"/>
          <w:sz w:val="22"/>
          <w:szCs w:val="22"/>
        </w:rPr>
        <w:t>l</w:t>
      </w:r>
      <w:r>
        <w:rPr>
          <w:rFonts w:ascii="Arial" w:hAnsi="Arial"/>
          <w:color w:val="000000"/>
          <w:sz w:val="22"/>
          <w:szCs w:val="22"/>
        </w:rPr>
        <w:t>/alla</w:t>
      </w:r>
      <w:r w:rsidR="00925E26" w:rsidRPr="00F45EA4">
        <w:rPr>
          <w:rFonts w:ascii="Arial" w:hAnsi="Arial"/>
          <w:color w:val="000000"/>
          <w:sz w:val="22"/>
          <w:szCs w:val="22"/>
        </w:rPr>
        <w:t xml:space="preserve"> Sig./Sig.ra </w:t>
      </w:r>
      <w:r w:rsidR="00925E26" w:rsidRPr="00F45EA4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="00925E26" w:rsidRPr="00F45EA4">
        <w:rPr>
          <w:rFonts w:ascii="Arial" w:hAnsi="Arial"/>
          <w:sz w:val="22"/>
          <w:szCs w:val="22"/>
        </w:rPr>
        <w:t>pratica.firmatario</w:t>
      </w:r>
      <w:proofErr w:type="gramEnd"/>
      <w:r w:rsidR="00925E26" w:rsidRPr="00F45EA4">
        <w:rPr>
          <w:rFonts w:ascii="Arial" w:hAnsi="Arial"/>
          <w:sz w:val="22"/>
          <w:szCs w:val="22"/>
        </w:rPr>
        <w:t>.cognome</w:t>
      </w:r>
      <w:proofErr w:type="spellEnd"/>
      <w:r w:rsidR="00925E26" w:rsidRPr="00F45EA4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sz w:val="22"/>
          <w:szCs w:val="22"/>
        </w:rPr>
        <w:t xml:space="preserve"> </w:t>
      </w:r>
      <w:r w:rsidR="00FF12A4" w:rsidRPr="00F45EA4">
        <w:rPr>
          <w:rFonts w:ascii="Arial" w:hAnsi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/>
          <w:sz w:val="22"/>
          <w:szCs w:val="22"/>
        </w:rPr>
        <w:t>+++</w:t>
      </w:r>
      <w:r w:rsidR="00FF12A4" w:rsidRPr="00F45EA4">
        <w:rPr>
          <w:rFonts w:ascii="Arial" w:hAnsi="Arial"/>
          <w:color w:val="000000"/>
          <w:sz w:val="22"/>
          <w:szCs w:val="22"/>
        </w:rPr>
        <w:t>;</w:t>
      </w:r>
      <w:r w:rsidR="00925E26" w:rsidRPr="00F45EA4">
        <w:rPr>
          <w:rFonts w:ascii="Arial" w:hAnsi="Arial"/>
          <w:color w:val="000000"/>
          <w:sz w:val="22"/>
          <w:szCs w:val="22"/>
        </w:rPr>
        <w:t>;</w:t>
      </w:r>
    </w:p>
    <w:p w14:paraId="4A576AD4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>al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F45EA4">
        <w:rPr>
          <w:rFonts w:ascii="Arial" w:hAnsi="Arial"/>
          <w:color w:val="000000"/>
          <w:sz w:val="22"/>
          <w:szCs w:val="22"/>
        </w:rPr>
        <w:t xml:space="preserve">Corpo di Polizia </w:t>
      </w:r>
      <w:r>
        <w:rPr>
          <w:rFonts w:ascii="Arial" w:hAnsi="Arial"/>
          <w:color w:val="000000"/>
          <w:sz w:val="22"/>
          <w:szCs w:val="22"/>
        </w:rPr>
        <w:t>Locale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16AA1C23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bCs/>
          <w:color w:val="000000"/>
          <w:sz w:val="22"/>
          <w:szCs w:val="22"/>
        </w:rPr>
        <w:t>alla Ripartizione Tributi;</w:t>
      </w:r>
    </w:p>
    <w:p w14:paraId="17062B6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bookmarkStart w:id="3" w:name="_Hlk100745109"/>
      <w:r w:rsidRPr="00F45EA4">
        <w:rPr>
          <w:rFonts w:ascii="Arial" w:hAnsi="Arial"/>
          <w:color w:val="000000"/>
          <w:sz w:val="22"/>
          <w:szCs w:val="22"/>
        </w:rPr>
        <w:t>alla “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/>
          <w:sz w:val="22"/>
          <w:szCs w:val="22"/>
        </w:rPr>
        <w:t>utente.concessionario</w:t>
      </w:r>
      <w:proofErr w:type="gramEnd"/>
      <w:r w:rsidRPr="00F45EA4">
        <w:rPr>
          <w:rFonts w:ascii="Arial" w:hAnsi="Arial"/>
          <w:sz w:val="22"/>
          <w:szCs w:val="22"/>
        </w:rPr>
        <w:t>.ragioneSociale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 xml:space="preserve">”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utente.concessionario.indirizzo</w:t>
      </w:r>
      <w:proofErr w:type="spellEnd"/>
      <w:r w:rsidRPr="00F45EA4">
        <w:rPr>
          <w:rFonts w:ascii="Arial" w:hAnsi="Arial"/>
          <w:sz w:val="22"/>
          <w:szCs w:val="22"/>
        </w:rPr>
        <w:t xml:space="preserve">+++ </w:t>
      </w:r>
      <w:r w:rsidRPr="00F45EA4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3"/>
    <w:p w14:paraId="62BAF8B6" w14:textId="77777777" w:rsidR="00925E26" w:rsidRPr="00F45EA4" w:rsidRDefault="00925E26" w:rsidP="00925E26">
      <w:pPr>
        <w:tabs>
          <w:tab w:val="left" w:pos="228"/>
          <w:tab w:val="left" w:pos="9638"/>
        </w:tabs>
        <w:ind w:left="283"/>
        <w:jc w:val="both"/>
        <w:rPr>
          <w:rFonts w:ascii="Arial" w:hAnsi="Arial"/>
          <w:sz w:val="22"/>
          <w:szCs w:val="22"/>
        </w:rPr>
      </w:pPr>
    </w:p>
    <w:p w14:paraId="38F049A7" w14:textId="17276216" w:rsidR="00DA417E" w:rsidRP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</w:p>
    <w:sectPr w:rsidR="00DA417E" w:rsidRPr="00925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C463" w14:textId="77777777" w:rsidR="00314555" w:rsidRDefault="00314555">
      <w:r>
        <w:separator/>
      </w:r>
    </w:p>
  </w:endnote>
  <w:endnote w:type="continuationSeparator" w:id="0">
    <w:p w14:paraId="591436F8" w14:textId="77777777" w:rsidR="00314555" w:rsidRDefault="0031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08D4" w14:textId="77777777" w:rsidR="00314555" w:rsidRDefault="00314555">
      <w:r>
        <w:rPr>
          <w:color w:val="000000"/>
        </w:rPr>
        <w:separator/>
      </w:r>
    </w:p>
  </w:footnote>
  <w:footnote w:type="continuationSeparator" w:id="0">
    <w:p w14:paraId="69D0DB00" w14:textId="77777777" w:rsidR="00314555" w:rsidRDefault="00314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D7833"/>
    <w:multiLevelType w:val="hybridMultilevel"/>
    <w:tmpl w:val="D472A278"/>
    <w:lvl w:ilvl="0" w:tplc="81087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3CE43CAD"/>
    <w:multiLevelType w:val="hybridMultilevel"/>
    <w:tmpl w:val="B87AB356"/>
    <w:lvl w:ilvl="0" w:tplc="904AF76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680B"/>
    <w:multiLevelType w:val="hybridMultilevel"/>
    <w:tmpl w:val="6B6EF1D6"/>
    <w:lvl w:ilvl="0" w:tplc="5BA09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417">
    <w:abstractNumId w:val="6"/>
  </w:num>
  <w:num w:numId="2" w16cid:durableId="2076932293">
    <w:abstractNumId w:val="20"/>
  </w:num>
  <w:num w:numId="3" w16cid:durableId="1066227656">
    <w:abstractNumId w:val="23"/>
  </w:num>
  <w:num w:numId="4" w16cid:durableId="6948570">
    <w:abstractNumId w:val="9"/>
  </w:num>
  <w:num w:numId="5" w16cid:durableId="764618754">
    <w:abstractNumId w:val="8"/>
  </w:num>
  <w:num w:numId="6" w16cid:durableId="2030720098">
    <w:abstractNumId w:val="24"/>
  </w:num>
  <w:num w:numId="7" w16cid:durableId="1712147333">
    <w:abstractNumId w:val="17"/>
  </w:num>
  <w:num w:numId="8" w16cid:durableId="1630042721">
    <w:abstractNumId w:val="19"/>
  </w:num>
  <w:num w:numId="9" w16cid:durableId="1954633231">
    <w:abstractNumId w:val="13"/>
  </w:num>
  <w:num w:numId="10" w16cid:durableId="1323584939">
    <w:abstractNumId w:val="7"/>
  </w:num>
  <w:num w:numId="11" w16cid:durableId="1387490691">
    <w:abstractNumId w:val="22"/>
  </w:num>
  <w:num w:numId="12" w16cid:durableId="743796775">
    <w:abstractNumId w:val="24"/>
  </w:num>
  <w:num w:numId="13" w16cid:durableId="999886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540452">
    <w:abstractNumId w:val="10"/>
  </w:num>
  <w:num w:numId="15" w16cid:durableId="1597900469">
    <w:abstractNumId w:val="18"/>
  </w:num>
  <w:num w:numId="16" w16cid:durableId="903612656">
    <w:abstractNumId w:val="5"/>
  </w:num>
  <w:num w:numId="17" w16cid:durableId="1511916720">
    <w:abstractNumId w:val="1"/>
  </w:num>
  <w:num w:numId="18" w16cid:durableId="209743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0609837">
    <w:abstractNumId w:val="14"/>
  </w:num>
  <w:num w:numId="20" w16cid:durableId="1521773683">
    <w:abstractNumId w:val="3"/>
  </w:num>
  <w:num w:numId="21" w16cid:durableId="33240392">
    <w:abstractNumId w:val="2"/>
  </w:num>
  <w:num w:numId="22" w16cid:durableId="1999765900">
    <w:abstractNumId w:val="25"/>
  </w:num>
  <w:num w:numId="23" w16cid:durableId="1167751797">
    <w:abstractNumId w:val="4"/>
  </w:num>
  <w:num w:numId="24" w16cid:durableId="1583368291">
    <w:abstractNumId w:val="12"/>
  </w:num>
  <w:num w:numId="25" w16cid:durableId="1527405128">
    <w:abstractNumId w:val="15"/>
  </w:num>
  <w:num w:numId="26" w16cid:durableId="1798643702">
    <w:abstractNumId w:val="16"/>
  </w:num>
  <w:num w:numId="27" w16cid:durableId="17852154">
    <w:abstractNumId w:val="21"/>
  </w:num>
  <w:num w:numId="28" w16cid:durableId="135603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B2DD8"/>
    <w:rsid w:val="000C2434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1C614B"/>
    <w:rsid w:val="00203C63"/>
    <w:rsid w:val="0021297B"/>
    <w:rsid w:val="00251E87"/>
    <w:rsid w:val="00267479"/>
    <w:rsid w:val="0027538B"/>
    <w:rsid w:val="00285049"/>
    <w:rsid w:val="002A3423"/>
    <w:rsid w:val="002D7BF8"/>
    <w:rsid w:val="00312C8E"/>
    <w:rsid w:val="00314555"/>
    <w:rsid w:val="003262D1"/>
    <w:rsid w:val="00354C97"/>
    <w:rsid w:val="003735A2"/>
    <w:rsid w:val="00380D7C"/>
    <w:rsid w:val="00386969"/>
    <w:rsid w:val="00393BB4"/>
    <w:rsid w:val="00422657"/>
    <w:rsid w:val="00426852"/>
    <w:rsid w:val="004444F6"/>
    <w:rsid w:val="00447649"/>
    <w:rsid w:val="00460B1F"/>
    <w:rsid w:val="004D52E8"/>
    <w:rsid w:val="005001E1"/>
    <w:rsid w:val="00522C1B"/>
    <w:rsid w:val="00546763"/>
    <w:rsid w:val="00573B09"/>
    <w:rsid w:val="00580533"/>
    <w:rsid w:val="00586DAA"/>
    <w:rsid w:val="005B46CE"/>
    <w:rsid w:val="005C7C62"/>
    <w:rsid w:val="006421C9"/>
    <w:rsid w:val="006564AD"/>
    <w:rsid w:val="006C4A74"/>
    <w:rsid w:val="006C625A"/>
    <w:rsid w:val="006F2A59"/>
    <w:rsid w:val="00713116"/>
    <w:rsid w:val="007248F2"/>
    <w:rsid w:val="007468D7"/>
    <w:rsid w:val="007679E8"/>
    <w:rsid w:val="00797685"/>
    <w:rsid w:val="00797EF6"/>
    <w:rsid w:val="007A1C12"/>
    <w:rsid w:val="007D7503"/>
    <w:rsid w:val="007E15E0"/>
    <w:rsid w:val="00803E77"/>
    <w:rsid w:val="008328F0"/>
    <w:rsid w:val="008507F5"/>
    <w:rsid w:val="008753BA"/>
    <w:rsid w:val="00881430"/>
    <w:rsid w:val="00893625"/>
    <w:rsid w:val="00895201"/>
    <w:rsid w:val="008F4745"/>
    <w:rsid w:val="00925E26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A7010"/>
    <w:rsid w:val="00BB094A"/>
    <w:rsid w:val="00BC738E"/>
    <w:rsid w:val="00BE566A"/>
    <w:rsid w:val="00BF0197"/>
    <w:rsid w:val="00BF698C"/>
    <w:rsid w:val="00C05265"/>
    <w:rsid w:val="00C11A2E"/>
    <w:rsid w:val="00C30B6F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738F5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2085"/>
    <w:rsid w:val="00F104D7"/>
    <w:rsid w:val="00F21C95"/>
    <w:rsid w:val="00F330BC"/>
    <w:rsid w:val="00F756CB"/>
    <w:rsid w:val="00F94E98"/>
    <w:rsid w:val="00FB76D0"/>
    <w:rsid w:val="00FC57E3"/>
    <w:rsid w:val="00FF12A4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B2DD8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B2DD8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4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73</cp:revision>
  <dcterms:created xsi:type="dcterms:W3CDTF">2019-07-22T14:13:00Z</dcterms:created>
  <dcterms:modified xsi:type="dcterms:W3CDTF">2023-01-09T09:12:00Z</dcterms:modified>
</cp:coreProperties>
</file>