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DD427C" w14:textId="77777777" w:rsidR="001705AA" w:rsidRDefault="00806862">
      <w:bookmarkStart w:id="0" w:name="_GoBack"/>
      <w:bookmarkEnd w:id="0"/>
      <w:r>
        <w:rPr>
          <w:noProof/>
          <w:lang w:eastAsia="it-IT"/>
        </w:rPr>
        <w:drawing>
          <wp:anchor distT="0" distB="0" distL="114300" distR="114300" simplePos="0" relativeHeight="251655680" behindDoc="0" locked="0" layoutInCell="1" allowOverlap="0" wp14:anchorId="1B27D3D3" wp14:editId="61F5FE39">
            <wp:simplePos x="0" y="0"/>
            <wp:positionH relativeFrom="page">
              <wp:posOffset>0</wp:posOffset>
            </wp:positionH>
            <wp:positionV relativeFrom="page">
              <wp:posOffset>1558290</wp:posOffset>
            </wp:positionV>
            <wp:extent cx="7553325" cy="150495"/>
            <wp:effectExtent l="0" t="0" r="9525" b="1905"/>
            <wp:wrapTopAndBottom/>
            <wp:docPr id="19" name="Picture 17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8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53325" cy="15049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it-IT"/>
        </w:rPr>
        <w:drawing>
          <wp:anchor distT="0" distB="0" distL="114300" distR="114300" simplePos="0" relativeHeight="251658752" behindDoc="1" locked="0" layoutInCell="1" allowOverlap="1" wp14:anchorId="3526AFDE" wp14:editId="2835A55A">
            <wp:simplePos x="0" y="0"/>
            <wp:positionH relativeFrom="column">
              <wp:posOffset>-648335</wp:posOffset>
            </wp:positionH>
            <wp:positionV relativeFrom="paragraph">
              <wp:posOffset>88900</wp:posOffset>
            </wp:positionV>
            <wp:extent cx="7675245" cy="9246870"/>
            <wp:effectExtent l="0" t="0" r="1905" b="0"/>
            <wp:wrapNone/>
            <wp:docPr id="18"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a:picLocks noChangeAspect="1" noChangeArrowheads="1"/>
                    </pic:cNvPicPr>
                  </pic:nvPicPr>
                  <pic:blipFill>
                    <a:blip r:embed="rId8">
                      <a:extLst>
                        <a:ext uri="{28A0092B-C50C-407E-A947-70E740481C1C}">
                          <a14:useLocalDpi xmlns:a14="http://schemas.microsoft.com/office/drawing/2010/main" val="0"/>
                        </a:ext>
                      </a:extLst>
                    </a:blip>
                    <a:srcRect t="14824"/>
                    <a:stretch>
                      <a:fillRect/>
                    </a:stretch>
                  </pic:blipFill>
                  <pic:spPr bwMode="auto">
                    <a:xfrm>
                      <a:off x="0" y="0"/>
                      <a:ext cx="7675245" cy="924687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it-IT"/>
        </w:rPr>
        <w:drawing>
          <wp:anchor distT="0" distB="0" distL="114300" distR="114300" simplePos="0" relativeHeight="251660800" behindDoc="0" locked="0" layoutInCell="1" allowOverlap="1" wp14:anchorId="2D152F09" wp14:editId="20BA2EBC">
            <wp:simplePos x="0" y="0"/>
            <wp:positionH relativeFrom="column">
              <wp:posOffset>-123825</wp:posOffset>
            </wp:positionH>
            <wp:positionV relativeFrom="paragraph">
              <wp:posOffset>-1167765</wp:posOffset>
            </wp:positionV>
            <wp:extent cx="1158240" cy="985520"/>
            <wp:effectExtent l="0" t="0" r="3810" b="5080"/>
            <wp:wrapNone/>
            <wp:docPr id="17"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8240" cy="98552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it-IT"/>
        </w:rPr>
        <w:drawing>
          <wp:anchor distT="0" distB="0" distL="114300" distR="114300" simplePos="0" relativeHeight="251659776" behindDoc="0" locked="0" layoutInCell="1" allowOverlap="1" wp14:anchorId="219F9A32" wp14:editId="02EB36FA">
            <wp:simplePos x="0" y="0"/>
            <wp:positionH relativeFrom="margin">
              <wp:posOffset>4233545</wp:posOffset>
            </wp:positionH>
            <wp:positionV relativeFrom="paragraph">
              <wp:posOffset>-1104265</wp:posOffset>
            </wp:positionV>
            <wp:extent cx="1910080" cy="580390"/>
            <wp:effectExtent l="0" t="0" r="0" b="0"/>
            <wp:wrapNone/>
            <wp:docPr id="16"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10080" cy="580390"/>
                    </a:xfrm>
                    <a:prstGeom prst="rect">
                      <a:avLst/>
                    </a:prstGeom>
                    <a:noFill/>
                  </pic:spPr>
                </pic:pic>
              </a:graphicData>
            </a:graphic>
            <wp14:sizeRelH relativeFrom="page">
              <wp14:pctWidth>0</wp14:pctWidth>
            </wp14:sizeRelH>
            <wp14:sizeRelV relativeFrom="page">
              <wp14:pctHeight>0</wp14:pctHeight>
            </wp14:sizeRelV>
          </wp:anchor>
        </w:drawing>
      </w:r>
    </w:p>
    <w:p w14:paraId="754C65D0" w14:textId="77777777" w:rsidR="001705AA" w:rsidRDefault="00806862">
      <w:pPr>
        <w:rPr>
          <w:noProof/>
          <w:color w:val="000000"/>
          <w:sz w:val="36"/>
          <w:szCs w:val="36"/>
          <w:lang w:eastAsia="it-IT"/>
        </w:rPr>
      </w:pPr>
      <w:r>
        <w:rPr>
          <w:noProof/>
          <w:lang w:eastAsia="it-IT"/>
        </w:rPr>
        <w:drawing>
          <wp:anchor distT="0" distB="0" distL="114300" distR="114300" simplePos="0" relativeHeight="251656704" behindDoc="0" locked="0" layoutInCell="1" allowOverlap="0" wp14:anchorId="14A8BAE3" wp14:editId="2816546F">
            <wp:simplePos x="0" y="0"/>
            <wp:positionH relativeFrom="page">
              <wp:posOffset>0</wp:posOffset>
            </wp:positionH>
            <wp:positionV relativeFrom="page">
              <wp:posOffset>10098405</wp:posOffset>
            </wp:positionV>
            <wp:extent cx="7553960" cy="747395"/>
            <wp:effectExtent l="0" t="0" r="8890" b="0"/>
            <wp:wrapTopAndBottom/>
            <wp:docPr id="15" name="Picture 18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3960" cy="747395"/>
                    </a:xfrm>
                    <a:prstGeom prst="rect">
                      <a:avLst/>
                    </a:prstGeom>
                    <a:noFill/>
                  </pic:spPr>
                </pic:pic>
              </a:graphicData>
            </a:graphic>
            <wp14:sizeRelH relativeFrom="page">
              <wp14:pctWidth>0</wp14:pctWidth>
            </wp14:sizeRelH>
            <wp14:sizeRelV relativeFrom="page">
              <wp14:pctHeight>0</wp14:pctHeight>
            </wp14:sizeRelV>
          </wp:anchor>
        </w:drawing>
      </w:r>
      <w:r w:rsidR="001705AA">
        <w:br w:type="page"/>
      </w:r>
    </w:p>
    <w:p w14:paraId="0EEAC371" w14:textId="77777777" w:rsidR="001705AA" w:rsidRDefault="001705AA" w:rsidP="006E4AE6">
      <w:pPr>
        <w:pStyle w:val="Titolodeldocumento"/>
        <w:jc w:val="both"/>
        <w:rPr>
          <w:rFonts w:cs="Times New Roman"/>
        </w:rPr>
      </w:pPr>
    </w:p>
    <w:p w14:paraId="5F5888A9" w14:textId="77777777" w:rsidR="001705AA" w:rsidRDefault="001705AA" w:rsidP="006E4AE6">
      <w:pPr>
        <w:pStyle w:val="Titolodeldocumento"/>
        <w:jc w:val="both"/>
        <w:rPr>
          <w:rFonts w:cs="Times New Roman"/>
        </w:rPr>
      </w:pPr>
    </w:p>
    <w:p w14:paraId="627FA797" w14:textId="77777777" w:rsidR="001705AA" w:rsidRDefault="001705AA" w:rsidP="006E4AE6">
      <w:pPr>
        <w:pStyle w:val="Titolodeldocumento"/>
        <w:jc w:val="both"/>
        <w:rPr>
          <w:rFonts w:cs="Times New Roman"/>
        </w:rPr>
      </w:pPr>
    </w:p>
    <w:p w14:paraId="564D30C8" w14:textId="77777777" w:rsidR="001705AA" w:rsidRDefault="001705AA" w:rsidP="006E4AE6">
      <w:pPr>
        <w:pStyle w:val="Titolodeldocumento"/>
        <w:jc w:val="both"/>
        <w:rPr>
          <w:rFonts w:cs="Times New Roman"/>
        </w:rPr>
      </w:pPr>
    </w:p>
    <w:p w14:paraId="6A555C32" w14:textId="77777777" w:rsidR="001705AA" w:rsidRDefault="00806862" w:rsidP="006E4AE6">
      <w:pPr>
        <w:pStyle w:val="Titolodeldocumento"/>
        <w:jc w:val="both"/>
        <w:rPr>
          <w:rFonts w:cs="Times New Roman"/>
        </w:rPr>
      </w:pPr>
      <w:r>
        <w:drawing>
          <wp:anchor distT="0" distB="0" distL="114300" distR="114300" simplePos="0" relativeHeight="251654656" behindDoc="0" locked="0" layoutInCell="1" allowOverlap="1" wp14:anchorId="7BB1F91E" wp14:editId="75AEE915">
            <wp:simplePos x="0" y="0"/>
            <wp:positionH relativeFrom="column">
              <wp:posOffset>2118995</wp:posOffset>
            </wp:positionH>
            <wp:positionV relativeFrom="paragraph">
              <wp:posOffset>228600</wp:posOffset>
            </wp:positionV>
            <wp:extent cx="2560320" cy="777875"/>
            <wp:effectExtent l="0" t="0" r="0" b="3175"/>
            <wp:wrapNone/>
            <wp:docPr id="1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0320" cy="777875"/>
                    </a:xfrm>
                    <a:prstGeom prst="rect">
                      <a:avLst/>
                    </a:prstGeom>
                    <a:noFill/>
                  </pic:spPr>
                </pic:pic>
              </a:graphicData>
            </a:graphic>
            <wp14:sizeRelH relativeFrom="page">
              <wp14:pctWidth>0</wp14:pctWidth>
            </wp14:sizeRelH>
            <wp14:sizeRelV relativeFrom="page">
              <wp14:pctHeight>0</wp14:pctHeight>
            </wp14:sizeRelV>
          </wp:anchor>
        </w:drawing>
      </w:r>
    </w:p>
    <w:p w14:paraId="67BEC773" w14:textId="77777777" w:rsidR="001705AA" w:rsidRDefault="001705AA" w:rsidP="006E4AE6">
      <w:pPr>
        <w:pStyle w:val="Titolodeldocumento"/>
        <w:jc w:val="both"/>
        <w:rPr>
          <w:rFonts w:cs="Times New Roman"/>
        </w:rPr>
      </w:pPr>
    </w:p>
    <w:p w14:paraId="1CF66617" w14:textId="77777777" w:rsidR="001705AA" w:rsidRPr="00872633" w:rsidRDefault="001705AA" w:rsidP="006E4AE6">
      <w:pPr>
        <w:pStyle w:val="Titolodeldocumento"/>
        <w:jc w:val="both"/>
        <w:rPr>
          <w:rFonts w:cs="Times New Roman"/>
        </w:rPr>
      </w:pPr>
    </w:p>
    <w:p w14:paraId="33B735A1" w14:textId="77777777" w:rsidR="001705AA" w:rsidRDefault="001705AA" w:rsidP="006E4AE6">
      <w:pPr>
        <w:pStyle w:val="Titolodeldocumento"/>
        <w:jc w:val="both"/>
        <w:rPr>
          <w:rFonts w:cs="Times New Roman"/>
        </w:rPr>
      </w:pPr>
    </w:p>
    <w:p w14:paraId="169140F3" w14:textId="58D264EE" w:rsidR="001705AA" w:rsidRPr="004F2BF5" w:rsidRDefault="001705AA" w:rsidP="004F2BF5">
      <w:pPr>
        <w:pStyle w:val="Titolodeldocumento"/>
        <w:rPr>
          <w:b/>
          <w:bCs/>
          <w:color w:val="0070C0"/>
        </w:rPr>
      </w:pPr>
      <w:r w:rsidRPr="004F2BF5">
        <w:rPr>
          <w:b/>
          <w:bCs/>
          <w:color w:val="0070C0"/>
        </w:rPr>
        <w:t>Linee</w:t>
      </w:r>
      <w:r w:rsidR="002965B8">
        <w:rPr>
          <w:b/>
          <w:bCs/>
          <w:color w:val="0070C0"/>
        </w:rPr>
        <w:t xml:space="preserve"> </w:t>
      </w:r>
      <w:r w:rsidRPr="004F2BF5">
        <w:rPr>
          <w:b/>
          <w:bCs/>
          <w:color w:val="0070C0"/>
        </w:rPr>
        <w:t>guida</w:t>
      </w:r>
      <w:r w:rsidR="002965B8">
        <w:rPr>
          <w:b/>
          <w:bCs/>
          <w:color w:val="0070C0"/>
        </w:rPr>
        <w:t xml:space="preserve"> </w:t>
      </w:r>
      <w:r w:rsidRPr="004F2BF5">
        <w:rPr>
          <w:b/>
          <w:bCs/>
          <w:color w:val="0070C0"/>
        </w:rPr>
        <w:t>tecnologiche</w:t>
      </w:r>
      <w:r w:rsidR="002965B8">
        <w:rPr>
          <w:b/>
          <w:bCs/>
          <w:color w:val="0070C0"/>
        </w:rPr>
        <w:t xml:space="preserve"> </w:t>
      </w:r>
      <w:r w:rsidRPr="004F2BF5">
        <w:rPr>
          <w:b/>
          <w:bCs/>
          <w:color w:val="0070C0"/>
        </w:rPr>
        <w:t>per</w:t>
      </w:r>
      <w:r w:rsidR="002965B8">
        <w:rPr>
          <w:b/>
          <w:bCs/>
          <w:color w:val="0070C0"/>
        </w:rPr>
        <w:t xml:space="preserve"> </w:t>
      </w:r>
      <w:r w:rsidRPr="004F2BF5">
        <w:rPr>
          <w:b/>
          <w:bCs/>
          <w:color w:val="0070C0"/>
        </w:rPr>
        <w:t>il</w:t>
      </w:r>
      <w:r w:rsidR="002965B8">
        <w:rPr>
          <w:b/>
          <w:bCs/>
          <w:color w:val="0070C0"/>
        </w:rPr>
        <w:t xml:space="preserve"> </w:t>
      </w:r>
      <w:r w:rsidRPr="004F2BF5">
        <w:rPr>
          <w:b/>
          <w:bCs/>
          <w:color w:val="0070C0"/>
        </w:rPr>
        <w:t>dispiegamento/adozione</w:t>
      </w:r>
      <w:r w:rsidR="002965B8">
        <w:rPr>
          <w:b/>
          <w:bCs/>
          <w:color w:val="0070C0"/>
        </w:rPr>
        <w:t xml:space="preserve"> </w:t>
      </w:r>
      <w:r w:rsidRPr="004F2BF5">
        <w:rPr>
          <w:b/>
          <w:bCs/>
          <w:color w:val="0070C0"/>
        </w:rPr>
        <w:t>del</w:t>
      </w:r>
      <w:r w:rsidR="002965B8">
        <w:rPr>
          <w:b/>
          <w:bCs/>
          <w:color w:val="0070C0"/>
        </w:rPr>
        <w:t xml:space="preserve"> </w:t>
      </w:r>
      <w:r w:rsidRPr="004F2BF5">
        <w:rPr>
          <w:b/>
          <w:bCs/>
          <w:color w:val="0070C0"/>
        </w:rPr>
        <w:t>Kit</w:t>
      </w:r>
    </w:p>
    <w:p w14:paraId="5D756D7D" w14:textId="45750594" w:rsidR="001705AA" w:rsidRPr="004F2BF5" w:rsidRDefault="001705AA" w:rsidP="004F2BF5">
      <w:pPr>
        <w:pStyle w:val="Titolodeldocumento"/>
        <w:rPr>
          <w:b/>
          <w:bCs/>
          <w:color w:val="0070C0"/>
        </w:rPr>
      </w:pPr>
      <w:r>
        <w:rPr>
          <w:b/>
          <w:bCs/>
          <w:color w:val="0070C0"/>
        </w:rPr>
        <w:t>-</w:t>
      </w:r>
      <w:r w:rsidR="002965B8">
        <w:rPr>
          <w:b/>
          <w:bCs/>
          <w:color w:val="0070C0"/>
        </w:rPr>
        <w:t xml:space="preserve"> </w:t>
      </w:r>
      <w:r>
        <w:rPr>
          <w:b/>
          <w:bCs/>
          <w:color w:val="0070C0"/>
        </w:rPr>
        <w:t>Ente</w:t>
      </w:r>
      <w:r w:rsidR="002965B8">
        <w:rPr>
          <w:b/>
          <w:bCs/>
          <w:color w:val="0070C0"/>
        </w:rPr>
        <w:t xml:space="preserve"> </w:t>
      </w:r>
      <w:r>
        <w:rPr>
          <w:b/>
          <w:bCs/>
          <w:color w:val="0070C0"/>
        </w:rPr>
        <w:t>Intermediari</w:t>
      </w:r>
      <w:r w:rsidRPr="004F2BF5">
        <w:rPr>
          <w:b/>
          <w:bCs/>
          <w:color w:val="0070C0"/>
        </w:rPr>
        <w:t>o</w:t>
      </w:r>
      <w:r w:rsidR="002965B8">
        <w:rPr>
          <w:b/>
          <w:bCs/>
          <w:color w:val="0070C0"/>
        </w:rPr>
        <w:t xml:space="preserve"> </w:t>
      </w:r>
      <w:r w:rsidRPr="004F2BF5">
        <w:rPr>
          <w:b/>
          <w:bCs/>
          <w:color w:val="0070C0"/>
        </w:rPr>
        <w:t>-</w:t>
      </w:r>
    </w:p>
    <w:p w14:paraId="7CF62BA0" w14:textId="77777777" w:rsidR="001705AA" w:rsidRDefault="001705AA" w:rsidP="006E4AE6">
      <w:pPr>
        <w:pStyle w:val="Titolodeldocumento"/>
        <w:jc w:val="both"/>
        <w:rPr>
          <w:rFonts w:cs="Times New Roman"/>
        </w:rPr>
      </w:pPr>
    </w:p>
    <w:p w14:paraId="0AF48374" w14:textId="4FCA163C" w:rsidR="001705AA" w:rsidRPr="00A061A6" w:rsidRDefault="00692EF9" w:rsidP="00A061A6">
      <w:pPr>
        <w:pStyle w:val="Titolodeldocumento"/>
        <w:rPr>
          <w:b/>
          <w:bCs/>
          <w:color w:val="0070C0"/>
        </w:rPr>
      </w:pPr>
      <w:r>
        <w:rPr>
          <w:b/>
          <w:bCs/>
          <w:color w:val="0070C0"/>
        </w:rPr>
        <w:t xml:space="preserve">ALLEGATO </w:t>
      </w:r>
      <w:r w:rsidR="00A061A6" w:rsidRPr="00A061A6">
        <w:rPr>
          <w:b/>
          <w:bCs/>
          <w:color w:val="0070C0"/>
        </w:rPr>
        <w:t xml:space="preserve">– </w:t>
      </w:r>
      <w:r w:rsidR="00A76B7E">
        <w:rPr>
          <w:b/>
          <w:bCs/>
          <w:color w:val="0070C0"/>
        </w:rPr>
        <w:t>FAQ PAgoPA</w:t>
      </w:r>
    </w:p>
    <w:p w14:paraId="6163A306" w14:textId="77777777" w:rsidR="001705AA" w:rsidRPr="00872633" w:rsidRDefault="001705AA" w:rsidP="006E4AE6">
      <w:pPr>
        <w:pStyle w:val="Titolodeldocumento"/>
        <w:jc w:val="both"/>
        <w:rPr>
          <w:rFonts w:cs="Times New Roman"/>
        </w:rPr>
      </w:pPr>
    </w:p>
    <w:p w14:paraId="46720BA0" w14:textId="77777777" w:rsidR="001705AA" w:rsidRPr="00616CFD" w:rsidRDefault="001705AA" w:rsidP="00A76B7E">
      <w:pPr>
        <w:pStyle w:val="Titolosommario"/>
        <w:rPr>
          <w:rFonts w:cs="Times New Roman"/>
        </w:rPr>
      </w:pPr>
      <w:r>
        <w:rPr>
          <w:rFonts w:ascii="Calibri" w:hAnsi="Calibri" w:cs="Calibri"/>
          <w:color w:val="auto"/>
          <w:sz w:val="22"/>
          <w:szCs w:val="22"/>
          <w:lang w:eastAsia="en-US"/>
        </w:rPr>
        <w:lastRenderedPageBreak/>
        <w:br/>
      </w:r>
      <w:r w:rsidR="00806862">
        <w:rPr>
          <w:noProof/>
        </w:rPr>
        <w:drawing>
          <wp:anchor distT="0" distB="0" distL="114300" distR="114300" simplePos="0" relativeHeight="251657728" behindDoc="1" locked="0" layoutInCell="1" allowOverlap="1" wp14:anchorId="5230CE21" wp14:editId="35609970">
            <wp:simplePos x="0" y="0"/>
            <wp:positionH relativeFrom="margin">
              <wp:posOffset>85725</wp:posOffset>
            </wp:positionH>
            <wp:positionV relativeFrom="paragraph">
              <wp:posOffset>0</wp:posOffset>
            </wp:positionV>
            <wp:extent cx="719455" cy="719455"/>
            <wp:effectExtent l="0" t="0" r="4445" b="0"/>
            <wp:wrapTight wrapText="bothSides">
              <wp:wrapPolygon edited="0">
                <wp:start x="4575" y="1144"/>
                <wp:lineTo x="1144" y="8007"/>
                <wp:lineTo x="0" y="10867"/>
                <wp:lineTo x="4575" y="20018"/>
                <wp:lineTo x="16586" y="20018"/>
                <wp:lineTo x="21162" y="10867"/>
                <wp:lineTo x="20018" y="8007"/>
                <wp:lineTo x="16586" y="1144"/>
                <wp:lineTo x="4575" y="1144"/>
              </wp:wrapPolygon>
            </wp:wrapTight>
            <wp:docPr id="1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14:sizeRelH relativeFrom="page">
              <wp14:pctWidth>0</wp14:pctWidth>
            </wp14:sizeRelH>
            <wp14:sizeRelV relativeFrom="page">
              <wp14:pctHeight>0</wp14:pctHeight>
            </wp14:sizeRelV>
          </wp:anchor>
        </w:drawing>
      </w:r>
      <w:r w:rsidRPr="00616CFD">
        <w:t>Sommario</w:t>
      </w:r>
      <w:r>
        <w:rPr>
          <w:rFonts w:cs="Times New Roman"/>
        </w:rPr>
        <w:br/>
      </w:r>
      <w:r>
        <w:rPr>
          <w:rFonts w:cs="Times New Roman"/>
        </w:rPr>
        <w:br/>
      </w:r>
    </w:p>
    <w:p w14:paraId="35321A98" w14:textId="75A2C9AB" w:rsidR="00A76B7E" w:rsidRDefault="001705AA">
      <w:pPr>
        <w:pStyle w:val="Sommario1"/>
        <w:rPr>
          <w:rFonts w:asciiTheme="minorHAnsi" w:eastAsiaTheme="minorEastAsia" w:hAnsiTheme="minorHAnsi" w:cstheme="minorBidi"/>
          <w:b w:val="0"/>
          <w:bCs w:val="0"/>
          <w:caps w:val="0"/>
        </w:rPr>
      </w:pPr>
      <w:r>
        <w:fldChar w:fldCharType="begin"/>
      </w:r>
      <w:r>
        <w:instrText xml:space="preserve"> TOC \o "1-3" \h \z \u </w:instrText>
      </w:r>
      <w:r>
        <w:fldChar w:fldCharType="separate"/>
      </w:r>
      <w:hyperlink w:anchor="_Toc56904370" w:history="1">
        <w:r w:rsidR="00A76B7E" w:rsidRPr="00607516">
          <w:rPr>
            <w:rStyle w:val="Collegamentoipertestuale"/>
          </w:rPr>
          <w:t>1</w:t>
        </w:r>
        <w:r w:rsidR="00A76B7E">
          <w:rPr>
            <w:rFonts w:asciiTheme="minorHAnsi" w:eastAsiaTheme="minorEastAsia" w:hAnsiTheme="minorHAnsi" w:cstheme="minorBidi"/>
            <w:b w:val="0"/>
            <w:bCs w:val="0"/>
            <w:caps w:val="0"/>
          </w:rPr>
          <w:tab/>
        </w:r>
        <w:r w:rsidR="00A76B7E" w:rsidRPr="00607516">
          <w:rPr>
            <w:rStyle w:val="Collegamentoipertestuale"/>
          </w:rPr>
          <w:t>Premessa</w:t>
        </w:r>
        <w:r w:rsidR="00A76B7E">
          <w:rPr>
            <w:webHidden/>
          </w:rPr>
          <w:tab/>
        </w:r>
        <w:r w:rsidR="00A76B7E">
          <w:rPr>
            <w:webHidden/>
          </w:rPr>
          <w:fldChar w:fldCharType="begin"/>
        </w:r>
        <w:r w:rsidR="00A76B7E">
          <w:rPr>
            <w:webHidden/>
          </w:rPr>
          <w:instrText xml:space="preserve"> PAGEREF _Toc56904370 \h </w:instrText>
        </w:r>
        <w:r w:rsidR="00A76B7E">
          <w:rPr>
            <w:webHidden/>
          </w:rPr>
        </w:r>
        <w:r w:rsidR="00A76B7E">
          <w:rPr>
            <w:webHidden/>
          </w:rPr>
          <w:fldChar w:fldCharType="separate"/>
        </w:r>
        <w:r w:rsidR="00A76B7E">
          <w:rPr>
            <w:webHidden/>
          </w:rPr>
          <w:t>3</w:t>
        </w:r>
        <w:r w:rsidR="00A76B7E">
          <w:rPr>
            <w:webHidden/>
          </w:rPr>
          <w:fldChar w:fldCharType="end"/>
        </w:r>
      </w:hyperlink>
    </w:p>
    <w:p w14:paraId="5E32FF20" w14:textId="61B10356" w:rsidR="00A76B7E" w:rsidRDefault="00DE4952">
      <w:pPr>
        <w:pStyle w:val="Sommario1"/>
        <w:rPr>
          <w:rFonts w:asciiTheme="minorHAnsi" w:eastAsiaTheme="minorEastAsia" w:hAnsiTheme="minorHAnsi" w:cstheme="minorBidi"/>
          <w:b w:val="0"/>
          <w:bCs w:val="0"/>
          <w:caps w:val="0"/>
        </w:rPr>
      </w:pPr>
      <w:hyperlink w:anchor="_Toc56904371" w:history="1">
        <w:r w:rsidR="00A76B7E" w:rsidRPr="00607516">
          <w:rPr>
            <w:rStyle w:val="Collegamentoipertestuale"/>
          </w:rPr>
          <w:t>2</w:t>
        </w:r>
        <w:r w:rsidR="00A76B7E">
          <w:rPr>
            <w:rFonts w:asciiTheme="minorHAnsi" w:eastAsiaTheme="minorEastAsia" w:hAnsiTheme="minorHAnsi" w:cstheme="minorBidi"/>
            <w:b w:val="0"/>
            <w:bCs w:val="0"/>
            <w:caps w:val="0"/>
          </w:rPr>
          <w:tab/>
        </w:r>
        <w:r w:rsidR="00A76B7E" w:rsidRPr="00607516">
          <w:rPr>
            <w:rStyle w:val="Collegamentoipertestuale"/>
          </w:rPr>
          <w:t>Obbligatorieta’</w:t>
        </w:r>
        <w:r w:rsidR="00A76B7E">
          <w:rPr>
            <w:webHidden/>
          </w:rPr>
          <w:tab/>
        </w:r>
        <w:r w:rsidR="00A76B7E">
          <w:rPr>
            <w:webHidden/>
          </w:rPr>
          <w:fldChar w:fldCharType="begin"/>
        </w:r>
        <w:r w:rsidR="00A76B7E">
          <w:rPr>
            <w:webHidden/>
          </w:rPr>
          <w:instrText xml:space="preserve"> PAGEREF _Toc56904371 \h </w:instrText>
        </w:r>
        <w:r w:rsidR="00A76B7E">
          <w:rPr>
            <w:webHidden/>
          </w:rPr>
        </w:r>
        <w:r w:rsidR="00A76B7E">
          <w:rPr>
            <w:webHidden/>
          </w:rPr>
          <w:fldChar w:fldCharType="separate"/>
        </w:r>
        <w:r w:rsidR="00A76B7E">
          <w:rPr>
            <w:webHidden/>
          </w:rPr>
          <w:t>4</w:t>
        </w:r>
        <w:r w:rsidR="00A76B7E">
          <w:rPr>
            <w:webHidden/>
          </w:rPr>
          <w:fldChar w:fldCharType="end"/>
        </w:r>
      </w:hyperlink>
    </w:p>
    <w:p w14:paraId="65725A85" w14:textId="3DE2E3D8" w:rsidR="00A76B7E" w:rsidRDefault="00DE4952">
      <w:pPr>
        <w:pStyle w:val="Sommario3"/>
        <w:rPr>
          <w:rFonts w:asciiTheme="minorHAnsi" w:eastAsiaTheme="minorEastAsia" w:hAnsiTheme="minorHAnsi" w:cstheme="minorBidi"/>
        </w:rPr>
      </w:pPr>
      <w:hyperlink w:anchor="_Toc56904372" w:history="1">
        <w:r w:rsidR="00A76B7E" w:rsidRPr="00607516">
          <w:rPr>
            <w:rStyle w:val="Collegamentoipertestuale"/>
          </w:rPr>
          <w:t>2.1</w:t>
        </w:r>
        <w:r w:rsidR="00A76B7E">
          <w:rPr>
            <w:rFonts w:asciiTheme="minorHAnsi" w:eastAsiaTheme="minorEastAsia" w:hAnsiTheme="minorHAnsi" w:cstheme="minorBidi"/>
          </w:rPr>
          <w:tab/>
        </w:r>
        <w:r w:rsidR="00A76B7E" w:rsidRPr="00607516">
          <w:rPr>
            <w:rStyle w:val="Collegamentoipertestuale"/>
          </w:rPr>
          <w:t>Gruppo A – Carattere generale</w:t>
        </w:r>
        <w:r w:rsidR="00A76B7E">
          <w:rPr>
            <w:webHidden/>
          </w:rPr>
          <w:tab/>
        </w:r>
        <w:r w:rsidR="00A76B7E">
          <w:rPr>
            <w:webHidden/>
          </w:rPr>
          <w:fldChar w:fldCharType="begin"/>
        </w:r>
        <w:r w:rsidR="00A76B7E">
          <w:rPr>
            <w:webHidden/>
          </w:rPr>
          <w:instrText xml:space="preserve"> PAGEREF _Toc56904372 \h </w:instrText>
        </w:r>
        <w:r w:rsidR="00A76B7E">
          <w:rPr>
            <w:webHidden/>
          </w:rPr>
        </w:r>
        <w:r w:rsidR="00A76B7E">
          <w:rPr>
            <w:webHidden/>
          </w:rPr>
          <w:fldChar w:fldCharType="separate"/>
        </w:r>
        <w:r w:rsidR="00A76B7E">
          <w:rPr>
            <w:webHidden/>
          </w:rPr>
          <w:t>4</w:t>
        </w:r>
        <w:r w:rsidR="00A76B7E">
          <w:rPr>
            <w:webHidden/>
          </w:rPr>
          <w:fldChar w:fldCharType="end"/>
        </w:r>
      </w:hyperlink>
    </w:p>
    <w:p w14:paraId="6F078FBB" w14:textId="5ED31B02" w:rsidR="00A76B7E" w:rsidRDefault="00DE4952">
      <w:pPr>
        <w:pStyle w:val="Sommario3"/>
        <w:rPr>
          <w:rFonts w:asciiTheme="minorHAnsi" w:eastAsiaTheme="minorEastAsia" w:hAnsiTheme="minorHAnsi" w:cstheme="minorBidi"/>
        </w:rPr>
      </w:pPr>
      <w:hyperlink w:anchor="_Toc56904373" w:history="1">
        <w:r w:rsidR="00A76B7E" w:rsidRPr="00607516">
          <w:rPr>
            <w:rStyle w:val="Collegamentoipertestuale"/>
          </w:rPr>
          <w:t>2.1</w:t>
        </w:r>
        <w:r w:rsidR="00A76B7E">
          <w:rPr>
            <w:rFonts w:asciiTheme="minorHAnsi" w:eastAsiaTheme="minorEastAsia" w:hAnsiTheme="minorHAnsi" w:cstheme="minorBidi"/>
          </w:rPr>
          <w:tab/>
        </w:r>
        <w:r w:rsidR="00A76B7E" w:rsidRPr="00607516">
          <w:rPr>
            <w:rStyle w:val="Collegamentoipertestuale"/>
          </w:rPr>
          <w:t>Gruppo B – Ambito normativo</w:t>
        </w:r>
        <w:r w:rsidR="00A76B7E">
          <w:rPr>
            <w:webHidden/>
          </w:rPr>
          <w:tab/>
        </w:r>
        <w:r w:rsidR="00A76B7E">
          <w:rPr>
            <w:webHidden/>
          </w:rPr>
          <w:fldChar w:fldCharType="begin"/>
        </w:r>
        <w:r w:rsidR="00A76B7E">
          <w:rPr>
            <w:webHidden/>
          </w:rPr>
          <w:instrText xml:space="preserve"> PAGEREF _Toc56904373 \h </w:instrText>
        </w:r>
        <w:r w:rsidR="00A76B7E">
          <w:rPr>
            <w:webHidden/>
          </w:rPr>
        </w:r>
        <w:r w:rsidR="00A76B7E">
          <w:rPr>
            <w:webHidden/>
          </w:rPr>
          <w:fldChar w:fldCharType="separate"/>
        </w:r>
        <w:r w:rsidR="00A76B7E">
          <w:rPr>
            <w:webHidden/>
          </w:rPr>
          <w:t>7</w:t>
        </w:r>
        <w:r w:rsidR="00A76B7E">
          <w:rPr>
            <w:webHidden/>
          </w:rPr>
          <w:fldChar w:fldCharType="end"/>
        </w:r>
      </w:hyperlink>
    </w:p>
    <w:p w14:paraId="1021FCF6" w14:textId="08BEFCAF" w:rsidR="00A76B7E" w:rsidRDefault="00DE4952">
      <w:pPr>
        <w:pStyle w:val="Sommario3"/>
        <w:rPr>
          <w:rFonts w:asciiTheme="minorHAnsi" w:eastAsiaTheme="minorEastAsia" w:hAnsiTheme="minorHAnsi" w:cstheme="minorBidi"/>
        </w:rPr>
      </w:pPr>
      <w:hyperlink w:anchor="_Toc56904374" w:history="1">
        <w:r w:rsidR="00A76B7E" w:rsidRPr="00607516">
          <w:rPr>
            <w:rStyle w:val="Collegamentoipertestuale"/>
          </w:rPr>
          <w:t>2.1</w:t>
        </w:r>
        <w:r w:rsidR="00A76B7E">
          <w:rPr>
            <w:rFonts w:asciiTheme="minorHAnsi" w:eastAsiaTheme="minorEastAsia" w:hAnsiTheme="minorHAnsi" w:cstheme="minorBidi"/>
          </w:rPr>
          <w:tab/>
        </w:r>
        <w:r w:rsidR="00A76B7E" w:rsidRPr="00607516">
          <w:rPr>
            <w:rStyle w:val="Collegamentoipertestuale"/>
          </w:rPr>
          <w:t>Gruppo C – Adesione degli Enti Creditori</w:t>
        </w:r>
        <w:r w:rsidR="00A76B7E">
          <w:rPr>
            <w:webHidden/>
          </w:rPr>
          <w:tab/>
        </w:r>
        <w:r w:rsidR="00A76B7E">
          <w:rPr>
            <w:webHidden/>
          </w:rPr>
          <w:fldChar w:fldCharType="begin"/>
        </w:r>
        <w:r w:rsidR="00A76B7E">
          <w:rPr>
            <w:webHidden/>
          </w:rPr>
          <w:instrText xml:space="preserve"> PAGEREF _Toc56904374 \h </w:instrText>
        </w:r>
        <w:r w:rsidR="00A76B7E">
          <w:rPr>
            <w:webHidden/>
          </w:rPr>
        </w:r>
        <w:r w:rsidR="00A76B7E">
          <w:rPr>
            <w:webHidden/>
          </w:rPr>
          <w:fldChar w:fldCharType="separate"/>
        </w:r>
        <w:r w:rsidR="00A76B7E">
          <w:rPr>
            <w:webHidden/>
          </w:rPr>
          <w:t>10</w:t>
        </w:r>
        <w:r w:rsidR="00A76B7E">
          <w:rPr>
            <w:webHidden/>
          </w:rPr>
          <w:fldChar w:fldCharType="end"/>
        </w:r>
      </w:hyperlink>
    </w:p>
    <w:p w14:paraId="3540677B" w14:textId="774BE236" w:rsidR="00A86560" w:rsidRDefault="001705AA" w:rsidP="00E456A9">
      <w:pPr>
        <w:pStyle w:val="Titolodeldocumento"/>
        <w:ind w:left="0" w:firstLine="0"/>
        <w:jc w:val="both"/>
      </w:pPr>
      <w:r>
        <w:fldChar w:fldCharType="end"/>
      </w:r>
    </w:p>
    <w:p w14:paraId="1777649B" w14:textId="4D1216F6" w:rsidR="00A061A6" w:rsidRDefault="00A061A6" w:rsidP="00A76B7E">
      <w:pPr>
        <w:pStyle w:val="Titolo1"/>
      </w:pPr>
      <w:bookmarkStart w:id="1" w:name="_Toc56904370"/>
      <w:bookmarkStart w:id="2" w:name="_Toc7514758"/>
      <w:bookmarkStart w:id="3" w:name="_Toc41574402"/>
      <w:r>
        <w:lastRenderedPageBreak/>
        <w:t>Premessa</w:t>
      </w:r>
      <w:bookmarkEnd w:id="1"/>
    </w:p>
    <w:p w14:paraId="1E06A7ED" w14:textId="714EB6EE" w:rsidR="004D30D1" w:rsidRPr="003E3008" w:rsidRDefault="004D30D1" w:rsidP="004D30D1">
      <w:pPr>
        <w:jc w:val="both"/>
      </w:pPr>
      <w:bookmarkStart w:id="4" w:name="_Toc43988674"/>
      <w:bookmarkEnd w:id="2"/>
      <w:bookmarkEnd w:id="3"/>
      <w:r>
        <w:t>Il</w:t>
      </w:r>
      <w:r w:rsidRPr="003E3008">
        <w:t xml:space="preserve"> documento </w:t>
      </w:r>
      <w:r w:rsidR="00A76B7E">
        <w:t>riporta le FAQ pubblicate alla data del 31.10.2020 sul sito di AGID, limitatamente agli obblighi delle amministrazioni e relativo contesto normativo.</w:t>
      </w:r>
    </w:p>
    <w:p w14:paraId="430A06AB" w14:textId="4BDA9ADC" w:rsidR="00D45AC1" w:rsidRDefault="00A76B7E" w:rsidP="00D45AC1">
      <w:pPr>
        <w:pStyle w:val="xmsolistparagraph"/>
        <w:ind w:left="0"/>
        <w:jc w:val="both"/>
      </w:pPr>
      <w:r w:rsidRPr="00A76B7E">
        <w:t>https://www.agid.gov.it/it/piattaforme/pagopa/domande-frequenti</w:t>
      </w:r>
    </w:p>
    <w:p w14:paraId="2D83A3BD" w14:textId="77777777" w:rsidR="00A76B7E" w:rsidRDefault="00A76B7E" w:rsidP="002C0E87">
      <w:pPr>
        <w:pStyle w:val="Titolo1"/>
      </w:pPr>
      <w:bookmarkStart w:id="5" w:name="_Toc56904371"/>
      <w:r>
        <w:lastRenderedPageBreak/>
        <w:t>Obbligatorieta’</w:t>
      </w:r>
      <w:bookmarkEnd w:id="5"/>
    </w:p>
    <w:p w14:paraId="676691DB" w14:textId="6FEE8C27" w:rsidR="00A76B7E" w:rsidRDefault="00A76B7E" w:rsidP="00DE4952">
      <w:pPr>
        <w:pStyle w:val="Titolo3"/>
        <w:numPr>
          <w:ilvl w:val="1"/>
          <w:numId w:val="3"/>
        </w:numPr>
        <w:ind w:right="828"/>
      </w:pPr>
      <w:bookmarkStart w:id="6" w:name="_Toc56904372"/>
      <w:r>
        <w:t>Gruppo A – Carattere generale</w:t>
      </w:r>
      <w:bookmarkEnd w:id="6"/>
    </w:p>
    <w:p w14:paraId="29319D69" w14:textId="77777777" w:rsidR="00A76B7E" w:rsidRDefault="00A76B7E" w:rsidP="00DE4952">
      <w:pPr>
        <w:ind w:right="828"/>
        <w:jc w:val="both"/>
      </w:pPr>
    </w:p>
    <w:p w14:paraId="6F709098" w14:textId="77777777" w:rsidR="00A76B7E" w:rsidRDefault="00A76B7E" w:rsidP="00DE4952">
      <w:pPr>
        <w:ind w:right="828"/>
        <w:jc w:val="both"/>
      </w:pPr>
      <w:r>
        <w:t xml:space="preserve">A6: È obbligatorio per un Ente pubblico aderire al sistema </w:t>
      </w:r>
      <w:proofErr w:type="spellStart"/>
      <w:r>
        <w:t>pagoPA</w:t>
      </w:r>
      <w:proofErr w:type="spellEnd"/>
      <w:r>
        <w:t>?</w:t>
      </w:r>
    </w:p>
    <w:p w14:paraId="4C68140D" w14:textId="77777777" w:rsidR="00A76B7E" w:rsidRDefault="00A76B7E" w:rsidP="00DE4952">
      <w:pPr>
        <w:ind w:right="828"/>
        <w:jc w:val="both"/>
      </w:pPr>
      <w:r>
        <w:t xml:space="preserve">Sì. La piattaforma </w:t>
      </w:r>
      <w:proofErr w:type="spellStart"/>
      <w:r>
        <w:t>pagoPA</w:t>
      </w:r>
      <w:proofErr w:type="spellEnd"/>
      <w:r>
        <w:t xml:space="preserve"> è prevista all’articolo 5 del CAD di cui al D. </w:t>
      </w:r>
      <w:proofErr w:type="spellStart"/>
      <w:r>
        <w:t>Lgs</w:t>
      </w:r>
      <w:proofErr w:type="spellEnd"/>
      <w:r>
        <w:t xml:space="preserve"> 82/2005 e, per legge, sono tenute per legge ad aderire al sistema di pagamento </w:t>
      </w:r>
      <w:proofErr w:type="spellStart"/>
      <w:r>
        <w:t>pagoPA</w:t>
      </w:r>
      <w:proofErr w:type="spellEnd"/>
      <w:r>
        <w:t xml:space="preserve"> (ai sensi del combinato disposto dell’art. 2, comma 2 del CAD e dell’art. 15, comma 5bis, del D.L. 179/2012) tutte le Pubbliche Amministrazioni (cfr. FAQ su ambito soggettivo) che devono utilizzarlo in via esclusiva, dismettendo altri sistemi di pagamento in incasso.</w:t>
      </w:r>
    </w:p>
    <w:p w14:paraId="4FD601E0" w14:textId="77777777" w:rsidR="00A76B7E" w:rsidRDefault="00A76B7E" w:rsidP="00DE4952">
      <w:pPr>
        <w:ind w:right="828"/>
        <w:jc w:val="both"/>
      </w:pPr>
      <w:r>
        <w:t xml:space="preserve">Il </w:t>
      </w:r>
      <w:proofErr w:type="spellStart"/>
      <w:proofErr w:type="gramStart"/>
      <w:r>
        <w:t>D.Lgs</w:t>
      </w:r>
      <w:proofErr w:type="gramEnd"/>
      <w:r>
        <w:t>.</w:t>
      </w:r>
      <w:proofErr w:type="spellEnd"/>
      <w:r>
        <w:t xml:space="preserve"> n. 179/2016 (G.U. n. 214 del 13.9.2016) e il </w:t>
      </w:r>
      <w:proofErr w:type="spellStart"/>
      <w:proofErr w:type="gramStart"/>
      <w:r>
        <w:t>D.Lgs</w:t>
      </w:r>
      <w:proofErr w:type="spellEnd"/>
      <w:proofErr w:type="gramEnd"/>
      <w:r>
        <w:t xml:space="preserve"> n. 217/2017 (G.U. n. 9 del 12.01.2018) hanno rispettivamente modificato e corretto l’articolo 2, comma 2, del CAD introducendo nel perimetro soggettivo del CAD anche i gestori di pubblici servizi e le società a controllo pubblico, come definite nel decreto legislativo adottato in attuazione dell’articolo 18 della legge n. 124 del 2015, escluse le società quotate. Il </w:t>
      </w:r>
      <w:proofErr w:type="spellStart"/>
      <w:proofErr w:type="gramStart"/>
      <w:r>
        <w:t>D.Lgs</w:t>
      </w:r>
      <w:proofErr w:type="gramEnd"/>
      <w:r>
        <w:t>.</w:t>
      </w:r>
      <w:proofErr w:type="spellEnd"/>
      <w:r>
        <w:t xml:space="preserve"> n. L’obbligo di adesione al sistema </w:t>
      </w:r>
      <w:proofErr w:type="spellStart"/>
      <w:r>
        <w:t>pagoPA</w:t>
      </w:r>
      <w:proofErr w:type="spellEnd"/>
      <w:r>
        <w:t xml:space="preserve"> è esteso anche ai gestori di pubblici servizi e alle società a controllo pubblico. Il </w:t>
      </w:r>
      <w:proofErr w:type="spellStart"/>
      <w:proofErr w:type="gramStart"/>
      <w:r>
        <w:t>D.Lgs</w:t>
      </w:r>
      <w:proofErr w:type="gramEnd"/>
      <w:r>
        <w:t>.</w:t>
      </w:r>
      <w:proofErr w:type="spellEnd"/>
      <w:r>
        <w:t xml:space="preserve"> n. 179/2016 (G.U. n. 214 del 13.9.2016) e il </w:t>
      </w:r>
      <w:proofErr w:type="spellStart"/>
      <w:proofErr w:type="gramStart"/>
      <w:r>
        <w:t>D.Lgs</w:t>
      </w:r>
      <w:proofErr w:type="spellEnd"/>
      <w:proofErr w:type="gramEnd"/>
      <w:r>
        <w:t xml:space="preserve"> n. 217/2017 (G.U. n. 9 del 12.01.2018) hanno rispettivamente modificato e corretto l’articolo 2, comma 2, del CAD introducendo nel perimetro soggettivo del CAD anche i gestori di pubblici servizi e le società a controllo pubblico, come definite nel decreto legislativo adottato in attuazione dell’articolo 18 della legge n. 124 del 2015, escluse le società quotate. Il </w:t>
      </w:r>
      <w:proofErr w:type="spellStart"/>
      <w:proofErr w:type="gramStart"/>
      <w:r>
        <w:t>D.Lgs</w:t>
      </w:r>
      <w:proofErr w:type="gramEnd"/>
      <w:r>
        <w:t>.</w:t>
      </w:r>
      <w:proofErr w:type="spellEnd"/>
      <w:r>
        <w:t xml:space="preserve"> n. 175/2016, all’articolo 2, lettera m), ha delineato il concetto di società a controllo pubblico. In particolare, le società a controllo pubblico sono definite come quelle società in cui una o più amministrazioni pubbliche esercitano poteri di controllo ai sensi dell’articolo 2359 del codice civile, e precisamente:</w:t>
      </w:r>
    </w:p>
    <w:p w14:paraId="6012CF55" w14:textId="77777777" w:rsidR="00A76B7E" w:rsidRDefault="00A76B7E" w:rsidP="00DE4952">
      <w:pPr>
        <w:ind w:right="828"/>
        <w:jc w:val="both"/>
      </w:pPr>
      <w:r>
        <w:t>1.</w:t>
      </w:r>
      <w:r>
        <w:tab/>
        <w:t>le società in cui un’altra società dispone della maggioranza dei voti esercitabili nell’assemblea ordinaria;</w:t>
      </w:r>
    </w:p>
    <w:p w14:paraId="4CA8CB5E" w14:textId="77777777" w:rsidR="00A76B7E" w:rsidRDefault="00A76B7E" w:rsidP="00DE4952">
      <w:pPr>
        <w:ind w:right="828"/>
        <w:jc w:val="both"/>
      </w:pPr>
      <w:r>
        <w:t>2.</w:t>
      </w:r>
      <w:r>
        <w:tab/>
        <w:t>le società in cui un’altra società dispone di voti sufficienti per esercitare un’influenza dominante nell’assemblea ordinaria;</w:t>
      </w:r>
    </w:p>
    <w:p w14:paraId="028EA6AD" w14:textId="77777777" w:rsidR="00A76B7E" w:rsidRDefault="00A76B7E" w:rsidP="00DE4952">
      <w:pPr>
        <w:ind w:right="828"/>
        <w:jc w:val="both"/>
      </w:pPr>
      <w:r>
        <w:t>3.</w:t>
      </w:r>
      <w:r>
        <w:tab/>
        <w:t>le società che sono sotto influenza dominante di un’altra società in virtù di particolari vincoli contrattuali con essa.</w:t>
      </w:r>
    </w:p>
    <w:p w14:paraId="359CDFF0" w14:textId="77777777" w:rsidR="00A76B7E" w:rsidRDefault="00A76B7E" w:rsidP="00DE4952">
      <w:pPr>
        <w:ind w:right="828"/>
        <w:jc w:val="both"/>
      </w:pPr>
      <w:r>
        <w:t>L’articolo 2359 del codice civile precisa che ai fini dell’applicazione dei numeri 1) e 2) che precedono “si computano anche i voti spettanti a società controllate, a società fiduciarie e a persona interposta; non si computano i voti spettanti per conto di terzi. Sono considerate collegate le società sulle quali un’altra società esercita un’influenza notevole. L’influenza si presume quando nell’assemblea ordinaria può essere esercitato almeno un quinto dei voti ovvero un decimo se la società ha azioni quotate in borsa”.</w:t>
      </w:r>
    </w:p>
    <w:p w14:paraId="5E47D0A8" w14:textId="77777777" w:rsidR="00A76B7E" w:rsidRDefault="00A76B7E" w:rsidP="00DE4952">
      <w:pPr>
        <w:ind w:right="828"/>
        <w:jc w:val="both"/>
      </w:pPr>
      <w:r>
        <w:lastRenderedPageBreak/>
        <w:t xml:space="preserve">Infine, all’articolo 2 del </w:t>
      </w:r>
      <w:proofErr w:type="spellStart"/>
      <w:proofErr w:type="gramStart"/>
      <w:r>
        <w:t>D.Lgs</w:t>
      </w:r>
      <w:proofErr w:type="gramEnd"/>
      <w:r>
        <w:t>.</w:t>
      </w:r>
      <w:proofErr w:type="spellEnd"/>
      <w:r>
        <w:t xml:space="preserve"> n. 175/2016 è ulteriormente precisato che “Il controllo può sussistere anche quando, in applicazione di norme di legge o statutarie o di patti parasociali, per le decisioni finanziarie e gestionali strategiche relative all’attività sociale è richiesto il consenso unanime di tutte le parti che condividono il controllo”.</w:t>
      </w:r>
    </w:p>
    <w:p w14:paraId="041C9F0B" w14:textId="77777777" w:rsidR="00A76B7E" w:rsidRDefault="00A76B7E" w:rsidP="00DE4952">
      <w:pPr>
        <w:ind w:right="828"/>
        <w:jc w:val="both"/>
      </w:pPr>
      <w:r>
        <w:t xml:space="preserve">Infine, si precisa che i soggetti obbligati all’utilizzo di </w:t>
      </w:r>
      <w:proofErr w:type="spellStart"/>
      <w:r>
        <w:t>pagoPA</w:t>
      </w:r>
      <w:proofErr w:type="spellEnd"/>
      <w:r>
        <w:t xml:space="preserve">, siano essi PA o gestori di pubblici servizi o società a controllo pubblico, ove ricorrano tutti i requisiti (nessuno escluso) indicati nella lettera di esenzione, possono fare istanza alla </w:t>
      </w:r>
      <w:proofErr w:type="spellStart"/>
      <w:r>
        <w:t>PagoPA</w:t>
      </w:r>
      <w:proofErr w:type="spellEnd"/>
      <w:r>
        <w:t xml:space="preserve"> S.p.A. (via mail all’indirizzo helpdesk@pagopa.it), inviando in allegato la lettera di esenzione debitamente compilata e sottoscritta.</w:t>
      </w:r>
    </w:p>
    <w:p w14:paraId="590E0C96" w14:textId="77777777" w:rsidR="00A76B7E" w:rsidRDefault="00A76B7E" w:rsidP="00DE4952">
      <w:pPr>
        <w:ind w:right="828"/>
        <w:jc w:val="both"/>
      </w:pPr>
    </w:p>
    <w:p w14:paraId="0B05BB0D" w14:textId="77777777" w:rsidR="00A76B7E" w:rsidRDefault="00A76B7E" w:rsidP="00DE4952">
      <w:pPr>
        <w:ind w:right="828"/>
        <w:jc w:val="both"/>
      </w:pPr>
      <w:r>
        <w:t>A8: Quali sono i soggetti che devono o possono aderire al Nodo dei Pagamenti-SPC?</w:t>
      </w:r>
    </w:p>
    <w:p w14:paraId="75E58C0E" w14:textId="77777777" w:rsidR="00A76B7E" w:rsidRDefault="00A76B7E" w:rsidP="00DE4952">
      <w:pPr>
        <w:ind w:right="828"/>
        <w:jc w:val="both"/>
      </w:pPr>
      <w:r>
        <w:t xml:space="preserve">Per identificare i soggetti obbligati ad aderire al Sistema </w:t>
      </w:r>
      <w:proofErr w:type="spellStart"/>
      <w:r>
        <w:t>pagoPA</w:t>
      </w:r>
      <w:proofErr w:type="spellEnd"/>
      <w:r>
        <w:t xml:space="preserve"> è necessario fare riferimento sia all’articolo 5 del CAD, sia all’articolo 15, comma 5bis, del D.L. 179/2012 come convertito in legge, poiché tale secondo articolo stabilisce che le Pubbliche Amministrazioni sono obbligate ad aderire all’infrastruttura del Nodo dei Pagamenti-SPC. L’adesione resta, altresì, obbligatoria per i soggetti di cui all’articolo 2 del CAD che stabilisce, appunto, l’ambito soggettivo di applicazione dell’articolo 5 del CAD e che obbliga all’adesione a </w:t>
      </w:r>
      <w:proofErr w:type="spellStart"/>
      <w:r>
        <w:t>pagoPA</w:t>
      </w:r>
      <w:proofErr w:type="spellEnd"/>
      <w:r>
        <w:t xml:space="preserve"> dei gestori di pubblici servizi e anche delle società a controllo pubblico, come definite nel decreto legislativo adottato in attuazione dell’articolo 18 della legge n. 124 del 2015, escluse le società quotate. Pertanto, l’adesione rimane facoltativa solo per i Prestatori di servizi di pagamento e per i soggetti non obbligati per legge che ne facciamo espressa richiesta a </w:t>
      </w:r>
      <w:proofErr w:type="spellStart"/>
      <w:r>
        <w:t>PagoPA</w:t>
      </w:r>
      <w:proofErr w:type="spellEnd"/>
      <w:r>
        <w:t xml:space="preserve"> S.p.A. che ne valuterà la relativa opportunità e fattibilità. Per ulteriori dettagli, si rimanda alle domande GRUPPO B – FAQ AMBITO NORMATIVO - B1, B2, B3 e B4.</w:t>
      </w:r>
    </w:p>
    <w:p w14:paraId="023AE6FB" w14:textId="77777777" w:rsidR="00A76B7E" w:rsidRDefault="00A76B7E" w:rsidP="00DE4952">
      <w:pPr>
        <w:ind w:right="828"/>
        <w:jc w:val="both"/>
      </w:pPr>
    </w:p>
    <w:p w14:paraId="28BBE242" w14:textId="77777777" w:rsidR="00A76B7E" w:rsidRDefault="00A76B7E" w:rsidP="00DE4952">
      <w:pPr>
        <w:ind w:right="828"/>
        <w:jc w:val="both"/>
      </w:pPr>
      <w:r>
        <w:t xml:space="preserve">A31: Quali sono i termini per l’utilizzo esclusivo della Piattaforma </w:t>
      </w:r>
      <w:proofErr w:type="spellStart"/>
      <w:r>
        <w:t>pagoPA</w:t>
      </w:r>
      <w:proofErr w:type="spellEnd"/>
      <w:r>
        <w:t>?</w:t>
      </w:r>
    </w:p>
    <w:p w14:paraId="4AE3C4DC" w14:textId="77777777" w:rsidR="00A76B7E" w:rsidRDefault="00A76B7E" w:rsidP="00DE4952">
      <w:pPr>
        <w:ind w:right="828"/>
        <w:jc w:val="both"/>
      </w:pPr>
      <w:r>
        <w:t>L’articolo 65, comma 2, del decreto legislativo 13 dicembre 2017, n. 217, come modificato dall’articolo 1, comma 8, del decreto legge 162/2019, stabilisce che «L’obbligo per i prestatori di servizi di pagamento abilitati di utilizzare esclusivamente la piattaforma di cui all’articolo 5, comma 2, del decreto legislativo n. 82 del 2005 per i pagamenti verso le pubbliche amministrazioni decorre dal 28 febbraio 2021. Anche al fine di consentire i pagamenti digitali da parte dei cittadini, i soggetti di cui all’articolo 2, comma 2, del decreto legislativo 7 marzo 2005, n. 82, sono tenuti, entro il 28 febbraio 2021, a integrare i loro sistemi di incasso con la piattaforma di cui all’articolo 5, comma 2, del decreto legislativo 7 marzo 2005, n. 82, ovvero ad avvalersi, a tal fine, di servizi forniti da altri soggetti di cui allo stesso articolo 2, comma 2, o da fornitori di servizi di incasso già abilitati ad operare sulla piattaforma. Il mancato adempimento dell’obbligo di cui al precedente periodo rileva ai fini della misurazione e della valutazione della performance individuale dei dirigenti responsabili e comporta responsabilità dirigenziale e disciplinare ai sensi degli articoli 21 e 55 del decreto legislativo 30 marzo 2001, n. 165”.</w:t>
      </w:r>
    </w:p>
    <w:p w14:paraId="1F041653" w14:textId="77777777" w:rsidR="00A76B7E" w:rsidRDefault="00A76B7E" w:rsidP="00DE4952">
      <w:pPr>
        <w:ind w:right="828"/>
        <w:jc w:val="both"/>
      </w:pPr>
      <w:r>
        <w:t xml:space="preserve">Pertanto, dopo il 28 febbraio 2021 i PSP autorizzati ad operare in Italia dalla Banca d’Italia non potranno in alcun modo eseguire servizi di pagamento che non transitino per il Sistema </w:t>
      </w:r>
      <w:proofErr w:type="spellStart"/>
      <w:r>
        <w:t>pagoPA</w:t>
      </w:r>
      <w:proofErr w:type="spellEnd"/>
      <w:r>
        <w:t>, ove abbiano come beneficiario una pubblica amministrazione.</w:t>
      </w:r>
    </w:p>
    <w:p w14:paraId="7AD91EED" w14:textId="77777777" w:rsidR="00A76B7E" w:rsidRDefault="00A76B7E" w:rsidP="00DE4952">
      <w:pPr>
        <w:ind w:right="828"/>
        <w:jc w:val="both"/>
      </w:pPr>
      <w:r>
        <w:lastRenderedPageBreak/>
        <w:t xml:space="preserve">Le pubbliche amministrazioni, entro la data del 28 febbraio 2021, non potendo più incassare attraverso l’attività di un PSP fuori dal Sistema </w:t>
      </w:r>
      <w:proofErr w:type="spellStart"/>
      <w:r>
        <w:t>pagoPA</w:t>
      </w:r>
      <w:proofErr w:type="spellEnd"/>
      <w:r>
        <w:t xml:space="preserve">, al fine della loro integrale gestione degli incassi tramite </w:t>
      </w:r>
      <w:proofErr w:type="spellStart"/>
      <w:r>
        <w:t>pagoPA</w:t>
      </w:r>
      <w:proofErr w:type="spellEnd"/>
      <w:r>
        <w:t>, dovranno avere optato per una o più delle soluzioni che seguono:</w:t>
      </w:r>
    </w:p>
    <w:p w14:paraId="768473D0" w14:textId="77777777" w:rsidR="00A76B7E" w:rsidRDefault="00A76B7E" w:rsidP="00DE4952">
      <w:pPr>
        <w:ind w:right="828"/>
        <w:jc w:val="both"/>
      </w:pPr>
      <w:r>
        <w:t>•</w:t>
      </w:r>
      <w:r>
        <w:tab/>
        <w:t xml:space="preserve">integrazione dei loro sistemi di incasso con la Piattaforma </w:t>
      </w:r>
      <w:proofErr w:type="spellStart"/>
      <w:r>
        <w:t>pagoPA</w:t>
      </w:r>
      <w:proofErr w:type="spellEnd"/>
      <w:r>
        <w:t>;</w:t>
      </w:r>
    </w:p>
    <w:p w14:paraId="525BED5F" w14:textId="77777777" w:rsidR="00A76B7E" w:rsidRDefault="00A76B7E" w:rsidP="00DE4952">
      <w:pPr>
        <w:ind w:right="828"/>
        <w:jc w:val="both"/>
      </w:pPr>
      <w:r>
        <w:t>•</w:t>
      </w:r>
      <w:r>
        <w:tab/>
        <w:t xml:space="preserve">utilizzo di servizi di incasso forniti da altri soggetti beneficiari già attivi sulla Piattaforma </w:t>
      </w:r>
      <w:proofErr w:type="spellStart"/>
      <w:r>
        <w:t>pagoPA</w:t>
      </w:r>
      <w:proofErr w:type="spellEnd"/>
      <w:r>
        <w:t>;</w:t>
      </w:r>
    </w:p>
    <w:p w14:paraId="2BAE2443" w14:textId="77777777" w:rsidR="00A76B7E" w:rsidRDefault="00A76B7E" w:rsidP="00DE4952">
      <w:pPr>
        <w:ind w:right="828"/>
        <w:jc w:val="both"/>
      </w:pPr>
      <w:r>
        <w:t>•</w:t>
      </w:r>
      <w:r>
        <w:tab/>
        <w:t xml:space="preserve">affidamento delle loro entrate ad un riscuotitore speciale che sia già aderente a </w:t>
      </w:r>
      <w:proofErr w:type="spellStart"/>
      <w:r>
        <w:t>pagoPA</w:t>
      </w:r>
      <w:proofErr w:type="spellEnd"/>
      <w:r>
        <w:t>.</w:t>
      </w:r>
    </w:p>
    <w:p w14:paraId="52B1F482" w14:textId="77777777" w:rsidR="00A76B7E" w:rsidRDefault="00A76B7E" w:rsidP="00DE4952">
      <w:pPr>
        <w:ind w:right="828"/>
        <w:jc w:val="both"/>
      </w:pPr>
    </w:p>
    <w:p w14:paraId="0FFDF4B9" w14:textId="77777777" w:rsidR="00A76B7E" w:rsidRDefault="00A76B7E" w:rsidP="00DE4952">
      <w:pPr>
        <w:ind w:right="828"/>
        <w:jc w:val="both"/>
      </w:pPr>
      <w:r>
        <w:t>A32: Le amministrazioni hanno l’obbligo di pubblicare gli IBAN dei conti correnti loro intestati?</w:t>
      </w:r>
    </w:p>
    <w:p w14:paraId="1CA21A5A" w14:textId="77777777" w:rsidR="00A76B7E" w:rsidRDefault="00A76B7E" w:rsidP="00DE4952">
      <w:pPr>
        <w:ind w:right="828"/>
        <w:jc w:val="both"/>
      </w:pPr>
      <w:r>
        <w:t xml:space="preserve">In considerazione della centralità a livello nazionale del Sistema </w:t>
      </w:r>
      <w:proofErr w:type="spellStart"/>
      <w:r>
        <w:t>pagoPA</w:t>
      </w:r>
      <w:proofErr w:type="spellEnd"/>
      <w:r>
        <w:t xml:space="preserve"> quale piattaforma unica per la gestione degli incassi, i soggetti obbligati all’adesione a </w:t>
      </w:r>
      <w:proofErr w:type="spellStart"/>
      <w:r>
        <w:t>pagoPA</w:t>
      </w:r>
      <w:proofErr w:type="spellEnd"/>
      <w:r>
        <w:t xml:space="preserve"> non possono richiedere agli utenti pagamenti tramite bonifico che non siano integrati con il Sistema </w:t>
      </w:r>
      <w:proofErr w:type="spellStart"/>
      <w:r>
        <w:t>pagoPA</w:t>
      </w:r>
      <w:proofErr w:type="spellEnd"/>
      <w:r>
        <w:t xml:space="preserve"> e proprio per tale ragione, al paragrafo 5 delle Linee Guida è precisato che “per evitare che gli utenti possano eseguire dei bonifici non integrati con il Sistema </w:t>
      </w:r>
      <w:proofErr w:type="spellStart"/>
      <w:r>
        <w:t>pagoPA</w:t>
      </w:r>
      <w:proofErr w:type="spellEnd"/>
      <w:r>
        <w:t xml:space="preserve">, è fatto divieto ai soggetti tenuti per legge all’adesione a </w:t>
      </w:r>
      <w:proofErr w:type="spellStart"/>
      <w:r>
        <w:t>pagoPA</w:t>
      </w:r>
      <w:proofErr w:type="spellEnd"/>
      <w:r>
        <w:t xml:space="preserve"> di pubblicare in qualsiasi modo l’IBAN di accredito”. Tale divieto, che non prevede eccezioni, decorre dalla data di pubblicazione delle Linee Guida (Gazzetta Ufficiale n. 152 del 3.7.2018) ed il relativo rispetto è ancora più cogente in quanto interessa sia le PA che i PSP in considerazione del divieto per i PSP dal 31 dicembre 2019 di eseguire operazioni extra Nodo. Pertanto, le amministrazioni e gli altri Enti aderenti a </w:t>
      </w:r>
      <w:proofErr w:type="spellStart"/>
      <w:r>
        <w:t>pagoPA</w:t>
      </w:r>
      <w:proofErr w:type="spellEnd"/>
      <w:r>
        <w:t xml:space="preserve"> devono rivedere la propria modulistica, al fine di eliminare ogni riferimento in chiaro all’IBAN per il pagamento. Resta però fermo che, laddove un utente, però, avendo in proprio memoria di tale IBAN, esegua un bonifico extra </w:t>
      </w:r>
      <w:proofErr w:type="spellStart"/>
      <w:r>
        <w:t>pagoPA</w:t>
      </w:r>
      <w:proofErr w:type="spellEnd"/>
      <w:r>
        <w:t>, tale pagamento andrà comunque gestito dall’Ente Creditore quale singola eccezione, laddove il PSP non si riuscito a bloccarlo, con l’auspico che tali eccezioni siano sempre di numero inferiore nel tempo, per addivenire ad un pieno rispetto della legge da parte dei PSP e degli Enti Creditori.</w:t>
      </w:r>
    </w:p>
    <w:p w14:paraId="11D9AA91" w14:textId="77777777" w:rsidR="00A76B7E" w:rsidRDefault="00A76B7E" w:rsidP="00DE4952">
      <w:pPr>
        <w:ind w:right="828"/>
        <w:jc w:val="both"/>
      </w:pPr>
    </w:p>
    <w:p w14:paraId="6671352B" w14:textId="77777777" w:rsidR="00A76B7E" w:rsidRDefault="00A76B7E" w:rsidP="00DE4952">
      <w:pPr>
        <w:ind w:right="828"/>
        <w:jc w:val="both"/>
      </w:pPr>
      <w:r>
        <w:t>A33: Il divieto di pubblicazione dell’IBAN contrasta con quanto previsto dalla normativa in materia di trasparenza amministrativa?</w:t>
      </w:r>
    </w:p>
    <w:p w14:paraId="2011B12D" w14:textId="77777777" w:rsidR="00A76B7E" w:rsidRDefault="00A76B7E" w:rsidP="00DE4952">
      <w:pPr>
        <w:ind w:right="828"/>
        <w:jc w:val="both"/>
      </w:pPr>
      <w:r>
        <w:t xml:space="preserve">Per l’attuazione dell’obbligo di utilizzo del sistema </w:t>
      </w:r>
      <w:proofErr w:type="spellStart"/>
      <w:r>
        <w:t>pagoPA</w:t>
      </w:r>
      <w:proofErr w:type="spellEnd"/>
      <w:r>
        <w:t xml:space="preserve">, al paragrafo 5 delle Linee Guida è precisato che “per evitare che gli utenti possano eseguire dei bonifici non integrati con il Sistema </w:t>
      </w:r>
      <w:proofErr w:type="spellStart"/>
      <w:r>
        <w:t>pagoPA</w:t>
      </w:r>
      <w:proofErr w:type="spellEnd"/>
      <w:r>
        <w:t xml:space="preserve">, è fatto divieto ai soggetti tenuti per legge all’adesione a </w:t>
      </w:r>
      <w:proofErr w:type="spellStart"/>
      <w:r>
        <w:t>pagoPA</w:t>
      </w:r>
      <w:proofErr w:type="spellEnd"/>
      <w:r>
        <w:t xml:space="preserve"> di pubblicare in qualsiasi modo l’IBAN di accredito”. Tale divieto, che non prevede eccezioni, decorre dalla data di pubblicazione delle Linee Guida (Gazzetta Ufficiale n. 152 del 3.7.2018) ed il relativo rispetto è ancora più cogente in quanto interessa sia le PA che i PSP in considerazione del divieto per i PSP dal 31 dicembre 2019 di eseguire operazioni extra Nodo. Il divieto di pubblicazione dell’IBAN, non è in contrasto con quanto stabilito in materia di trasparenza amministrativa, e precisamente con l’articolo 36 del D. </w:t>
      </w:r>
      <w:proofErr w:type="spellStart"/>
      <w:r>
        <w:t>lgs</w:t>
      </w:r>
      <w:proofErr w:type="spellEnd"/>
      <w:r>
        <w:t xml:space="preserve"> 14 marzo 2013, n. 33 ai sensi del quale “Le pubbliche amministrazioni pubblicano e specificano nelle richieste di pagamento i dati e le informazioni di cui all’articolo 5 del decreto legislativo 7 marzo 2005, n. 82”. Infatti, l’attuale articolo 5 del CAD, così come modificato dal </w:t>
      </w:r>
      <w:proofErr w:type="spellStart"/>
      <w:proofErr w:type="gramStart"/>
      <w:r>
        <w:t>D.Lgs</w:t>
      </w:r>
      <w:proofErr w:type="gramEnd"/>
      <w:r>
        <w:t>.</w:t>
      </w:r>
      <w:proofErr w:type="spellEnd"/>
      <w:r>
        <w:t xml:space="preserve"> n. 179/2016 e successivamente corretto dal </w:t>
      </w:r>
      <w:proofErr w:type="spellStart"/>
      <w:proofErr w:type="gramStart"/>
      <w:r>
        <w:t>D.Lgs</w:t>
      </w:r>
      <w:proofErr w:type="spellEnd"/>
      <w:proofErr w:type="gramEnd"/>
      <w:r>
        <w:t xml:space="preserve"> n. 217/2017 non stabilisce più l’obbligo di pubblicazione dell’IBAN da parte delle amministrazioni, ma si limita a stabilire l’utilizzo della piattaforma di cui al sistema </w:t>
      </w:r>
      <w:proofErr w:type="spellStart"/>
      <w:r>
        <w:lastRenderedPageBreak/>
        <w:t>pagoPA</w:t>
      </w:r>
      <w:proofErr w:type="spellEnd"/>
      <w:r>
        <w:t xml:space="preserve">. Pertanto, l’articolo 36 già indicato, già dalla data di entrata in vigore del </w:t>
      </w:r>
      <w:proofErr w:type="spellStart"/>
      <w:proofErr w:type="gramStart"/>
      <w:r>
        <w:t>D.Lgs</w:t>
      </w:r>
      <w:proofErr w:type="gramEnd"/>
      <w:r>
        <w:t>.</w:t>
      </w:r>
      <w:proofErr w:type="spellEnd"/>
      <w:r>
        <w:t xml:space="preserve"> n. 179/2016, non deve essere più attuato con la pubblicazione dell’IBAN ma, al contrario, deve essere opportunamente coordinato con il vigente testo dell’articolo 5 del CAD. Proprio per tale ragione di coordinamento e per evitare il mancato utilizzo da parte dei cittadini pagatori del sistema </w:t>
      </w:r>
      <w:proofErr w:type="spellStart"/>
      <w:r>
        <w:t>pagoPA</w:t>
      </w:r>
      <w:proofErr w:type="spellEnd"/>
      <w:r>
        <w:t>, l’AGID, al paragrafo 5 delle Linee Guida, ha puntualizzato il divieto già richiamato in merito alla pubblicazione dell’IBAN.</w:t>
      </w:r>
    </w:p>
    <w:p w14:paraId="61C6DD2B" w14:textId="77777777" w:rsidR="00A76B7E" w:rsidRDefault="00A76B7E" w:rsidP="00DE4952">
      <w:pPr>
        <w:ind w:right="828"/>
        <w:jc w:val="both"/>
      </w:pPr>
    </w:p>
    <w:p w14:paraId="251FA1F3" w14:textId="77777777" w:rsidR="00A76B7E" w:rsidRDefault="00A76B7E" w:rsidP="00DE4952">
      <w:pPr>
        <w:ind w:right="828"/>
        <w:jc w:val="both"/>
      </w:pPr>
      <w:r>
        <w:t>A34: Cosa si deve intendere per pagamenti eseguiti per cassa, presso il soggetto che per tale ente svolge il servizio di tesoreria o di cassa?</w:t>
      </w:r>
    </w:p>
    <w:p w14:paraId="4994AD43" w14:textId="77777777" w:rsidR="00A76B7E" w:rsidRDefault="00A76B7E" w:rsidP="00DE4952">
      <w:pPr>
        <w:ind w:right="828"/>
        <w:jc w:val="both"/>
      </w:pPr>
      <w:r>
        <w:t xml:space="preserve">Al paragrafo 5 delle Linee Guida sono indicati i servizi di pagamento che possono ancora essere gestiti fuori dal sistema </w:t>
      </w:r>
      <w:proofErr w:type="spellStart"/>
      <w:r>
        <w:t>pagoPA</w:t>
      </w:r>
      <w:proofErr w:type="spellEnd"/>
      <w:r>
        <w:t xml:space="preserve">, e tra questi alla lettera d) ci si riferisce esclusivamente ai pagamenti in contanti eseguiti presso la banca che svolge il servizio di tesoriera e cassa per l’Ente Creditore. Pertanto, non rientrano nella indicazione di cui alla lettera d) le operazioni di pagamento eseguite presso i </w:t>
      </w:r>
      <w:proofErr w:type="spellStart"/>
      <w:r>
        <w:t>pos</w:t>
      </w:r>
      <w:proofErr w:type="spellEnd"/>
      <w:r>
        <w:t xml:space="preserve"> fisici installati presso l’ente Creditorie, non essendo pagamento in contanti, né i pagamenti in contanti eseguiti presso PSP diversi dalla banca tesoriera o cassiera, non essendo pagamenti eseguiti presso la banca che svolge il servizio di tesoriera e cassa per l’Ente Creditore. Difatti, la gestione della cassa dell’ente è di competenza esclusiva della banca tesoriere o cassiera e fa riferimento esclusivamente ai pagamenti eseguiti in contanti presso tale banca.</w:t>
      </w:r>
    </w:p>
    <w:p w14:paraId="67C7AFD7" w14:textId="77777777" w:rsidR="00A76B7E" w:rsidRDefault="00A76B7E" w:rsidP="00DE4952">
      <w:pPr>
        <w:ind w:right="828"/>
        <w:jc w:val="both"/>
      </w:pPr>
    </w:p>
    <w:p w14:paraId="72B1B666" w14:textId="77777777" w:rsidR="00A76B7E" w:rsidRDefault="00A76B7E" w:rsidP="00DE4952">
      <w:pPr>
        <w:ind w:right="828"/>
        <w:jc w:val="both"/>
      </w:pPr>
      <w:r>
        <w:t>A35: Sono ancora consentiti i pagamenti tramite MAV?</w:t>
      </w:r>
    </w:p>
    <w:p w14:paraId="26AF6B74" w14:textId="77777777" w:rsidR="00A76B7E" w:rsidRDefault="00A76B7E" w:rsidP="00DE4952">
      <w:pPr>
        <w:ind w:right="828"/>
        <w:jc w:val="both"/>
      </w:pPr>
      <w:r>
        <w:t xml:space="preserve">Al paragrafo 5 delle Linee Guida sono indicati i servizi di pagamento che possono ancora essere gestiti fuori dal sistema </w:t>
      </w:r>
      <w:proofErr w:type="spellStart"/>
      <w:r>
        <w:t>pagoPA</w:t>
      </w:r>
      <w:proofErr w:type="spellEnd"/>
      <w:r>
        <w:t xml:space="preserve">, e tra questi non rientrano i MAV, per i quali a decorrere dal 31 dicembre 2019 sarà efficace il divieto (art. 65, comma 2, D. </w:t>
      </w:r>
      <w:proofErr w:type="spellStart"/>
      <w:r>
        <w:t>lgs</w:t>
      </w:r>
      <w:proofErr w:type="spellEnd"/>
      <w:r>
        <w:t xml:space="preserve"> n. 217/2017) in capo al PSP di dare seguito a tali avvisi di pagamento fuori dal sistema </w:t>
      </w:r>
      <w:proofErr w:type="spellStart"/>
      <w:r>
        <w:t>pagoPA</w:t>
      </w:r>
      <w:proofErr w:type="spellEnd"/>
      <w:r>
        <w:t xml:space="preserve">, ove il beneficiario sia un soggetto obbligato ad aderire a </w:t>
      </w:r>
      <w:proofErr w:type="spellStart"/>
      <w:r>
        <w:t>pagoPA</w:t>
      </w:r>
      <w:proofErr w:type="spellEnd"/>
      <w:r>
        <w:t>. Si veda anche la FAQ C8.</w:t>
      </w:r>
    </w:p>
    <w:p w14:paraId="32BA197B" w14:textId="77777777" w:rsidR="00A76B7E" w:rsidRDefault="00A76B7E" w:rsidP="00DE4952">
      <w:pPr>
        <w:ind w:right="828"/>
        <w:jc w:val="both"/>
      </w:pPr>
    </w:p>
    <w:p w14:paraId="28706372" w14:textId="77777777" w:rsidR="00A76B7E" w:rsidRDefault="00A76B7E" w:rsidP="00DE4952">
      <w:pPr>
        <w:ind w:right="828"/>
        <w:jc w:val="both"/>
      </w:pPr>
      <w:r>
        <w:t xml:space="preserve">A37: Gli incassi eseguiti tramite la Piattaforma </w:t>
      </w:r>
      <w:proofErr w:type="spellStart"/>
      <w:r>
        <w:t>pagoPA</w:t>
      </w:r>
      <w:proofErr w:type="spellEnd"/>
      <w:r>
        <w:t xml:space="preserve"> rispettano la normativa europea (PSD1 e PSD2)?</w:t>
      </w:r>
    </w:p>
    <w:p w14:paraId="7AA3C522" w14:textId="7CA619C5" w:rsidR="00A76B7E" w:rsidRDefault="00A76B7E" w:rsidP="00DE4952">
      <w:pPr>
        <w:ind w:right="828"/>
        <w:jc w:val="both"/>
      </w:pPr>
      <w:r>
        <w:t xml:space="preserve">Ai sensi dell’articolo 2, punto 39, del Decreto legislativo 15 dicembre 2017, n. 218 per il recepimento in Italia della PSD2, dal 1° gennaio 2019 le Pubbliche Amministrazioni devono applicare quanto stabilito in materia di pagamenti dalla PSD1 e dalla PSD2. Ciò detto, si segnala che, per la sola componente degli incassi, la gestione degli stessi tramite il Sistema </w:t>
      </w:r>
      <w:proofErr w:type="spellStart"/>
      <w:r>
        <w:t>pagoPA</w:t>
      </w:r>
      <w:proofErr w:type="spellEnd"/>
      <w:r>
        <w:t xml:space="preserve"> garantisce il pieno rispetto della direttiva europea, come recepita a livello nazionale, essendo il sistema </w:t>
      </w:r>
      <w:proofErr w:type="spellStart"/>
      <w:r>
        <w:t>pagoPA</w:t>
      </w:r>
      <w:proofErr w:type="spellEnd"/>
      <w:r>
        <w:t xml:space="preserve"> già </w:t>
      </w:r>
      <w:proofErr w:type="spellStart"/>
      <w:r>
        <w:t>compliance</w:t>
      </w:r>
      <w:proofErr w:type="spellEnd"/>
      <w:r>
        <w:t xml:space="preserve"> con la PSD1 e con la PSD2, come recepite a livello nazionale.</w:t>
      </w:r>
    </w:p>
    <w:p w14:paraId="0B379C59" w14:textId="77777777" w:rsidR="00A76B7E" w:rsidRDefault="00A76B7E" w:rsidP="00DE4952">
      <w:pPr>
        <w:ind w:right="828"/>
        <w:jc w:val="both"/>
      </w:pPr>
    </w:p>
    <w:p w14:paraId="0464156E" w14:textId="5CE21AFF" w:rsidR="00A76B7E" w:rsidRDefault="00A76B7E" w:rsidP="00DE4952">
      <w:pPr>
        <w:pStyle w:val="Titolo3"/>
        <w:numPr>
          <w:ilvl w:val="1"/>
          <w:numId w:val="14"/>
        </w:numPr>
        <w:ind w:right="828"/>
      </w:pPr>
      <w:bookmarkStart w:id="7" w:name="_Toc56904373"/>
      <w:r>
        <w:t>Gruppo B – Ambito normativo</w:t>
      </w:r>
      <w:bookmarkEnd w:id="7"/>
    </w:p>
    <w:p w14:paraId="4B6E7F3C" w14:textId="77777777" w:rsidR="00A76B7E" w:rsidRDefault="00A76B7E" w:rsidP="00DE4952">
      <w:pPr>
        <w:ind w:right="828"/>
        <w:jc w:val="both"/>
      </w:pPr>
      <w:r>
        <w:t>B1: Quali sono i riferimenti normativi in materia di pagamenti elettronici a favore della PA?</w:t>
      </w:r>
    </w:p>
    <w:p w14:paraId="69140952" w14:textId="77777777" w:rsidR="00A76B7E" w:rsidRDefault="00A76B7E" w:rsidP="00DE4952">
      <w:pPr>
        <w:ind w:right="828"/>
        <w:jc w:val="both"/>
      </w:pPr>
      <w:r>
        <w:lastRenderedPageBreak/>
        <w:t xml:space="preserve">In forza della nuova formulazione dell’articolo 5 del Codice dell’Amministrazione Digitale di cui al </w:t>
      </w:r>
      <w:proofErr w:type="spellStart"/>
      <w:proofErr w:type="gramStart"/>
      <w:r>
        <w:t>D.Lgs</w:t>
      </w:r>
      <w:proofErr w:type="gramEnd"/>
      <w:r>
        <w:t>.</w:t>
      </w:r>
      <w:proofErr w:type="spellEnd"/>
      <w:r>
        <w:t xml:space="preserve"> n. 82/2005, i soggetti indicati all’articolo 2 dello stesso Codice, sono chiamati sono obbligati ad accettare, tramite la piattaforma </w:t>
      </w:r>
      <w:proofErr w:type="spellStart"/>
      <w:r>
        <w:t>pagoPA</w:t>
      </w:r>
      <w:proofErr w:type="spellEnd"/>
      <w:r>
        <w:t>, i pagamenti spettanti a qualsiasi titolo attraverso sistemi di pagamento elettronico.</w:t>
      </w:r>
    </w:p>
    <w:p w14:paraId="40B6778A" w14:textId="77777777" w:rsidR="00A76B7E" w:rsidRDefault="00A76B7E" w:rsidP="00DE4952">
      <w:pPr>
        <w:ind w:right="828"/>
        <w:jc w:val="both"/>
      </w:pPr>
      <w:r>
        <w:t>Per il conseguimento degli obiettivi di razionalizzazione e contenimento della spesa pubblica in materia informatica, e al fine di garantire omogeneità di offerta ed elevati livelli di sicurezza, le Pubbliche Amministrazioni - ai sensi dell’articolo 15, comma 5 bis, del Decreto Legge n. 179/2012, come convertito in legge - sono tenute ad avvalersi dell’infrastruttura tecnologica pubblica, meglio conosciuta come Nodo dei Pagamenti-SPC, messa a disposizione dall’</w:t>
      </w:r>
      <w:proofErr w:type="spellStart"/>
      <w:r>
        <w:t>AgID</w:t>
      </w:r>
      <w:proofErr w:type="spellEnd"/>
      <w:r>
        <w:t>. Il combinato disposto degli articoli appena citati ha generato la realizzazione del sistema dei pagamenti elettronici “</w:t>
      </w:r>
      <w:proofErr w:type="spellStart"/>
      <w:r>
        <w:t>pagoPA</w:t>
      </w:r>
      <w:proofErr w:type="spellEnd"/>
      <w:r>
        <w:t>”.</w:t>
      </w:r>
    </w:p>
    <w:p w14:paraId="3314C06D" w14:textId="77777777" w:rsidR="00A76B7E" w:rsidRDefault="00A76B7E" w:rsidP="00DE4952">
      <w:pPr>
        <w:ind w:right="828"/>
        <w:jc w:val="both"/>
      </w:pPr>
      <w:r>
        <w:t>Il documento “Linee Guida per l’effettuazione dei pagamenti elettronici a favore delle Pubbliche Amministrazioni e dei Gestori di Pubblici Servizi» - pubblicato in G.U. n. 152 del 3 luglio 2018 - definisce le regole e le modalità di effettuazione dei pagamenti elettronici attraverso il Nodo dei pagamenti da parte dei soggetti aderenti. Le Linee Guida, in quanto normativa secondaria, hanno come presupposto le disposizioni primarie in materia di pagamenti, ivi inclusa la normativa nazionale per il recepimento della PSD2.</w:t>
      </w:r>
    </w:p>
    <w:p w14:paraId="3E26E087" w14:textId="77777777" w:rsidR="00A76B7E" w:rsidRDefault="00A76B7E" w:rsidP="00DE4952">
      <w:pPr>
        <w:ind w:right="828"/>
        <w:jc w:val="both"/>
      </w:pPr>
      <w:r>
        <w:t xml:space="preserve">L’esecuzione di pagamenti elettronici a favore degli Enti Creditori (PA centrale e locale, gestori di pubblici servizi e società a controllo pubblico) avviene sulla base del quadro normativo composto dall’art. 5 del </w:t>
      </w:r>
      <w:proofErr w:type="spellStart"/>
      <w:proofErr w:type="gramStart"/>
      <w:r>
        <w:t>D.Lgs</w:t>
      </w:r>
      <w:proofErr w:type="gramEnd"/>
      <w:r>
        <w:t>.</w:t>
      </w:r>
      <w:proofErr w:type="spellEnd"/>
      <w:r>
        <w:t xml:space="preserve"> n. 82/2005 (Codice dell’Amministrazione Digitale) e dell’art. 15, comma 5 bis, del Decreto Legge n. 179/2012, convertito con L. 221/2012.</w:t>
      </w:r>
    </w:p>
    <w:p w14:paraId="74806718" w14:textId="77777777" w:rsidR="00A76B7E" w:rsidRDefault="00A76B7E" w:rsidP="00DE4952">
      <w:pPr>
        <w:ind w:right="828"/>
        <w:jc w:val="both"/>
      </w:pPr>
    </w:p>
    <w:p w14:paraId="7CFFEB91" w14:textId="77777777" w:rsidR="00A76B7E" w:rsidRDefault="00A76B7E" w:rsidP="00DE4952">
      <w:pPr>
        <w:ind w:right="828"/>
        <w:jc w:val="both"/>
      </w:pPr>
      <w:r>
        <w:t>B3: Qual è l’ambito soggettivo di applicazione dell’articolo 5 del CAD?</w:t>
      </w:r>
    </w:p>
    <w:p w14:paraId="00FD1097" w14:textId="77777777" w:rsidR="00A76B7E" w:rsidRDefault="00A76B7E" w:rsidP="00DE4952">
      <w:pPr>
        <w:ind w:right="828"/>
        <w:jc w:val="both"/>
      </w:pPr>
      <w:r>
        <w:t xml:space="preserve">Il CAD è stato dapprima modificato dal </w:t>
      </w:r>
      <w:proofErr w:type="spellStart"/>
      <w:proofErr w:type="gramStart"/>
      <w:r>
        <w:t>D.Lgs</w:t>
      </w:r>
      <w:proofErr w:type="gramEnd"/>
      <w:r>
        <w:t>.</w:t>
      </w:r>
      <w:proofErr w:type="spellEnd"/>
      <w:r>
        <w:t xml:space="preserve"> n. 179/2016 (G.U. n. 214 del 13.9.2016) e successivamente corretto dal D. </w:t>
      </w:r>
      <w:proofErr w:type="spellStart"/>
      <w:r>
        <w:t>Lgs</w:t>
      </w:r>
      <w:proofErr w:type="spellEnd"/>
      <w:r>
        <w:t>. n. 217/2017 (G.U. n. 9 del 12.01.2018). Fatta tale precisazione, appare opportuno segnalare che, fermo restando l’ambito soggettivo dell’obbligo di cui all’articolo 15, comma 5bis, del D.L. 179/2012 che stabilisce che le Pubbliche Amministrazioni sono obbligate ad aderire all’infrastruttura del Nodo dei Pagamenti-SPC e la nozione di Pubblica Amministrazione di cui alla circolare interpretativa n. 1 del 9 marzo 2015 del Ministero dell’Economia e delle Finanze e della Presidenza del Consiglio dei Ministri (emessa per l’ambito applicativo soggettivo della fatturazione elettronica), la nuova formulazione dell’articolo 5 ha esteso ulteriormente l’ambito applicativo del Nodo dei Pagamenti-SPC.</w:t>
      </w:r>
    </w:p>
    <w:p w14:paraId="07722E86" w14:textId="77777777" w:rsidR="00A76B7E" w:rsidRDefault="00A76B7E" w:rsidP="00DE4952">
      <w:pPr>
        <w:ind w:right="828"/>
        <w:jc w:val="both"/>
      </w:pPr>
      <w:r>
        <w:t xml:space="preserve">Infatti, l’attuale articolo 2, comma 2, del CAD, oltre alle Pubbliche Amministrazioni, ha introdotto nel perimetro soggettivo del CAD anche le società a controllo pubblico, come definite nel decreto legislativo adottato in attuazione dell’articolo 18 della legge n. 124 del 2015, escluse le società quotate, nonché i gestori di pubblici servizi. Pertanto, le Pubbliche Amministrazioni, le società a controllo pubblico e i gestori di pubblici servizi, ai sensi del combinato disposto dell’attuale articolo 5 del CAD e dell’articolo 15, comma 5bis, del D.L. 179/2012, sono obbligati ad aderire al sistema </w:t>
      </w:r>
      <w:proofErr w:type="spellStart"/>
      <w:r>
        <w:t>pagoPA</w:t>
      </w:r>
      <w:proofErr w:type="spellEnd"/>
      <w:r>
        <w:t xml:space="preserve"> per consentire alla loro utenza di eseguire pagamenti elettronici in modalità uniforme nei loro confronti.</w:t>
      </w:r>
    </w:p>
    <w:p w14:paraId="426F90F7" w14:textId="77777777" w:rsidR="00A76B7E" w:rsidRDefault="00A76B7E" w:rsidP="00DE4952">
      <w:pPr>
        <w:ind w:right="828"/>
        <w:jc w:val="both"/>
      </w:pPr>
      <w:r>
        <w:t xml:space="preserve">Per i soggetti non obbligati, (es. società partecipate ma quotate oppure soggetti che non rivestano la qualifica di gestori di pubblici servizi), resta ferma la facoltà di aderire anch’essi al Sistema, per consentire ai loro utenti </w:t>
      </w:r>
      <w:r>
        <w:lastRenderedPageBreak/>
        <w:t xml:space="preserve">di beneficiare dei servizi messi a disposizione dai PSP aderenti al Sistema </w:t>
      </w:r>
      <w:proofErr w:type="spellStart"/>
      <w:r>
        <w:t>pagoPA</w:t>
      </w:r>
      <w:proofErr w:type="spellEnd"/>
      <w:r>
        <w:t xml:space="preserve">, previa opportuna istanza e istruttoria da parte di </w:t>
      </w:r>
      <w:proofErr w:type="spellStart"/>
      <w:r>
        <w:t>PagoPA</w:t>
      </w:r>
      <w:proofErr w:type="spellEnd"/>
      <w:r>
        <w:t xml:space="preserve"> S.p.A. che ne valuterà la relativa opportunità.</w:t>
      </w:r>
    </w:p>
    <w:p w14:paraId="4D19213E" w14:textId="77777777" w:rsidR="00A76B7E" w:rsidRDefault="00A76B7E" w:rsidP="00DE4952">
      <w:pPr>
        <w:ind w:right="828"/>
        <w:jc w:val="both"/>
      </w:pPr>
    </w:p>
    <w:p w14:paraId="581D3105" w14:textId="77777777" w:rsidR="00A76B7E" w:rsidRDefault="00A76B7E" w:rsidP="00DE4952">
      <w:pPr>
        <w:ind w:right="828"/>
        <w:jc w:val="both"/>
      </w:pPr>
      <w:r>
        <w:t xml:space="preserve">B4: Quali sono le società a controllo pubblico obbligate ad aderire a </w:t>
      </w:r>
      <w:proofErr w:type="spellStart"/>
      <w:r>
        <w:t>pagoPA</w:t>
      </w:r>
      <w:proofErr w:type="spellEnd"/>
      <w:r>
        <w:t>?</w:t>
      </w:r>
    </w:p>
    <w:p w14:paraId="72EE836D" w14:textId="77777777" w:rsidR="00A76B7E" w:rsidRDefault="00A76B7E" w:rsidP="00DE4952">
      <w:pPr>
        <w:ind w:right="828"/>
        <w:jc w:val="both"/>
      </w:pPr>
      <w:r>
        <w:t xml:space="preserve">Come già ricordato, l’articolo 2, comma 2, del CAD, prevede nel perimetro soggettivo del CAD anche le società a controllo pubblico, come definite nel decreto legislativo adottato in attuazione dell’articolo 18 della legge n. 124 del 2015, escluse le società quotate. Il </w:t>
      </w:r>
      <w:proofErr w:type="spellStart"/>
      <w:proofErr w:type="gramStart"/>
      <w:r>
        <w:t>D.Lgs</w:t>
      </w:r>
      <w:proofErr w:type="gramEnd"/>
      <w:r>
        <w:t>.</w:t>
      </w:r>
      <w:proofErr w:type="spellEnd"/>
      <w:r>
        <w:t xml:space="preserve"> n. 175/2016, all’articolo 2, lettera m), ha delineato il concetto di società a controllo pubblico. In particolare, le società a controllo pubblico sono definite come quelle società in cui una o più amministrazioni pubbliche esercitano poteri di controllo ai sensi dell’articolo 2359 del codice civile, e precisamente:</w:t>
      </w:r>
    </w:p>
    <w:p w14:paraId="4334DB0B" w14:textId="77777777" w:rsidR="00A76B7E" w:rsidRDefault="00A76B7E" w:rsidP="00DE4952">
      <w:pPr>
        <w:ind w:right="828"/>
        <w:jc w:val="both"/>
      </w:pPr>
      <w:r>
        <w:t>1.</w:t>
      </w:r>
      <w:r>
        <w:tab/>
        <w:t>le società in cui un’altra società dispone della maggioranza dei voti esercitabili nell’assemblea ordinaria;</w:t>
      </w:r>
    </w:p>
    <w:p w14:paraId="5DC404F1" w14:textId="77777777" w:rsidR="00A76B7E" w:rsidRDefault="00A76B7E" w:rsidP="00DE4952">
      <w:pPr>
        <w:ind w:right="828"/>
        <w:jc w:val="both"/>
      </w:pPr>
      <w:r>
        <w:t>2.</w:t>
      </w:r>
      <w:r>
        <w:tab/>
        <w:t>le società in cui un’altra società dispone di voti sufficienti per esercitare un’influenza dominante nell’assemblea ordinaria;</w:t>
      </w:r>
    </w:p>
    <w:p w14:paraId="43FE8A7C" w14:textId="77777777" w:rsidR="00A76B7E" w:rsidRDefault="00A76B7E" w:rsidP="00DE4952">
      <w:pPr>
        <w:ind w:right="828"/>
        <w:jc w:val="both"/>
      </w:pPr>
      <w:r>
        <w:t>3.</w:t>
      </w:r>
      <w:r>
        <w:tab/>
        <w:t>le società che sono sotto influenza dominante di un’altra società in virtù di particolari vincoli contrattuali con essa.</w:t>
      </w:r>
    </w:p>
    <w:p w14:paraId="17139755" w14:textId="77777777" w:rsidR="00A76B7E" w:rsidRDefault="00A76B7E" w:rsidP="00DE4952">
      <w:pPr>
        <w:ind w:right="828"/>
        <w:jc w:val="both"/>
      </w:pPr>
      <w:r>
        <w:t xml:space="preserve">L’articolo 2359 del codice civile precisa che ai fini dell’applicazione dei numeri 1) e 2) che precedono “si computano anche i voti spettanti a società controllate, a società fiduciarie e a persona interposta; non si computano i voti spettanti per conto di terzi. Sono considerate collegate le società sulle quali un’altra società esercita un’influenza notevole. L’influenza si presume quando nell’assemblea ordinaria può essere esercitato almeno un quinto dei voti ovvero un decimo se la società ha azioni quotate in borsa”. Infine, all’articolo 2 del </w:t>
      </w:r>
      <w:proofErr w:type="spellStart"/>
      <w:proofErr w:type="gramStart"/>
      <w:r>
        <w:t>D.Lgs</w:t>
      </w:r>
      <w:proofErr w:type="gramEnd"/>
      <w:r>
        <w:t>.</w:t>
      </w:r>
      <w:proofErr w:type="spellEnd"/>
      <w:r>
        <w:t xml:space="preserve"> n. 175/2016 è ulteriormente precisato che “Il controllo può sussistere anche quando, in applicazione di norme di legge o statutarie o di patti parasociali, per le decisioni finanziarie e gestionali strategiche relative all’attività sociale è richiesto il consenso unanime di tutte le parti che condividono il controllo”.</w:t>
      </w:r>
    </w:p>
    <w:p w14:paraId="65A15B03" w14:textId="77777777" w:rsidR="00A76B7E" w:rsidRDefault="00A76B7E" w:rsidP="00DE4952">
      <w:pPr>
        <w:ind w:right="828"/>
        <w:jc w:val="both"/>
      </w:pPr>
    </w:p>
    <w:p w14:paraId="7A2D78B3" w14:textId="77777777" w:rsidR="00A76B7E" w:rsidRDefault="00A76B7E" w:rsidP="00DE4952">
      <w:pPr>
        <w:ind w:right="828"/>
        <w:jc w:val="both"/>
      </w:pPr>
      <w:r>
        <w:t>B5: Quali sono le scadenze previste?</w:t>
      </w:r>
    </w:p>
    <w:p w14:paraId="3D7C5979" w14:textId="77777777" w:rsidR="00A76B7E" w:rsidRDefault="00A76B7E" w:rsidP="00DE4952">
      <w:pPr>
        <w:ind w:right="828"/>
        <w:jc w:val="both"/>
      </w:pPr>
      <w:r>
        <w:t xml:space="preserve">La piattaforma tecnologica del Nodo dei Pagamenti-SPC è attiva e funzionante dal 2012 mentre l’obbligo dei soggetti sottoposti all’applicazione del CAD di consentire agli utenti (cittadini, imprese e professionisti) di eseguire con mezzi elettronici il pagamento di quanto a qualsiasi titolo dovuto alla Pubblica Amministrazione è in vigore dal 1° giugno 2013. Inoltre, si segnala che l’articolo 65, comma 2, del Decreto legislativo 13 dicembre 2017, n. 217 stabilisce «L’obbligo per i prestatori di servizi di pagamento abilitati di utilizzare esclusivamente la piattaforma di cui all’articolo 5, comma 2, del decreto legislativo n. 82 del 2005 per i pagamenti verso le pubbliche amministrazioni decorre dal 28 febbraio 2021». Pertanto, a decorrere da tale data, i prestatori abilitati a offrire servizi di pagamento ai sensi della PSD2 non potranno in alcun modo eseguire servizi di pagamento che non transitino per il Nodo dei Pagamenti-SPC e che abbiano come beneficiario un soggetto </w:t>
      </w:r>
      <w:r>
        <w:lastRenderedPageBreak/>
        <w:t>pubblico obbligato all’adesione allo stesso sistema, ad eccezione dei soli servizi indicati al paragrafo 5 delle Linee Guida, e segnatamente:</w:t>
      </w:r>
    </w:p>
    <w:p w14:paraId="668146E7" w14:textId="77777777" w:rsidR="00A76B7E" w:rsidRDefault="00A76B7E" w:rsidP="00DE4952">
      <w:pPr>
        <w:ind w:right="828"/>
        <w:jc w:val="both"/>
      </w:pPr>
      <w:r>
        <w:t>•</w:t>
      </w:r>
      <w:r>
        <w:tab/>
        <w:t xml:space="preserve">la Delega unica F24» (c.d. modello F24) e il </w:t>
      </w:r>
      <w:proofErr w:type="spellStart"/>
      <w:r>
        <w:t>Sepa</w:t>
      </w:r>
      <w:proofErr w:type="spellEnd"/>
      <w:r>
        <w:t xml:space="preserve"> Direct </w:t>
      </w:r>
      <w:proofErr w:type="spellStart"/>
      <w:r>
        <w:t>Debit</w:t>
      </w:r>
      <w:proofErr w:type="spellEnd"/>
      <w:r>
        <w:t xml:space="preserve"> (SDD), sino alla loro integrazione con il Sistema </w:t>
      </w:r>
      <w:proofErr w:type="spellStart"/>
      <w:r>
        <w:t>pagoPA</w:t>
      </w:r>
      <w:proofErr w:type="spellEnd"/>
      <w:r>
        <w:t>;</w:t>
      </w:r>
    </w:p>
    <w:p w14:paraId="088A04DB" w14:textId="77777777" w:rsidR="00A76B7E" w:rsidRDefault="00A76B7E" w:rsidP="00DE4952">
      <w:pPr>
        <w:ind w:right="828"/>
        <w:jc w:val="both"/>
      </w:pPr>
      <w:r>
        <w:t>•</w:t>
      </w:r>
      <w:r>
        <w:tab/>
        <w:t xml:space="preserve">eventuali altri servizi di pagamento non ancora integrati con il Sistema </w:t>
      </w:r>
      <w:proofErr w:type="spellStart"/>
      <w:r>
        <w:t>pagoPA</w:t>
      </w:r>
      <w:proofErr w:type="spellEnd"/>
      <w:r>
        <w:t xml:space="preserve"> e che non risultino sostituibili con quelli erogati tramite </w:t>
      </w:r>
      <w:proofErr w:type="spellStart"/>
      <w:r>
        <w:t>pagoPA</w:t>
      </w:r>
      <w:proofErr w:type="spellEnd"/>
      <w:r>
        <w:t xml:space="preserve"> poiché una specifica previsione di legge ne impone la messa a disposizione dell’utenza per l’esecuzione del pagamento;</w:t>
      </w:r>
    </w:p>
    <w:p w14:paraId="31E8FF7B" w14:textId="77777777" w:rsidR="00A76B7E" w:rsidRDefault="00A76B7E" w:rsidP="00DE4952">
      <w:pPr>
        <w:ind w:right="828"/>
        <w:jc w:val="both"/>
      </w:pPr>
      <w:r>
        <w:t>•</w:t>
      </w:r>
      <w:r>
        <w:tab/>
        <w:t>i pagamenti eseguiti per cassa, presso il soggetto che per tale ente svolge il servizio di tesoreria o di cassa.</w:t>
      </w:r>
    </w:p>
    <w:p w14:paraId="529DD4D2" w14:textId="77777777" w:rsidR="00A76B7E" w:rsidRDefault="00A76B7E" w:rsidP="00DE4952">
      <w:pPr>
        <w:ind w:right="828"/>
        <w:jc w:val="both"/>
      </w:pPr>
    </w:p>
    <w:p w14:paraId="0BFA4C8A" w14:textId="77777777" w:rsidR="00A76B7E" w:rsidRDefault="00A76B7E" w:rsidP="00DE4952">
      <w:pPr>
        <w:ind w:right="828"/>
        <w:jc w:val="both"/>
      </w:pPr>
      <w:r>
        <w:t xml:space="preserve">B6: Un ente creditore aderente al sistema </w:t>
      </w:r>
      <w:proofErr w:type="spellStart"/>
      <w:r>
        <w:t>pagoPA</w:t>
      </w:r>
      <w:proofErr w:type="spellEnd"/>
      <w:r>
        <w:t xml:space="preserve"> ha l’obbligo di avere un conto corrente postale?</w:t>
      </w:r>
    </w:p>
    <w:p w14:paraId="1C571237" w14:textId="77777777" w:rsidR="00A76B7E" w:rsidRDefault="00A76B7E" w:rsidP="00DE4952">
      <w:pPr>
        <w:ind w:right="828"/>
        <w:jc w:val="both"/>
      </w:pPr>
      <w:r>
        <w:t xml:space="preserve">Al paragrafo 5 delle Linee Guida da ultimo pubblicate in G.U. da </w:t>
      </w:r>
      <w:proofErr w:type="spellStart"/>
      <w:r>
        <w:t>AgID</w:t>
      </w:r>
      <w:proofErr w:type="spellEnd"/>
      <w:r>
        <w:t xml:space="preserve"> e disponibili sul sito www.pagopa.gov.it di </w:t>
      </w:r>
      <w:proofErr w:type="spellStart"/>
      <w:r>
        <w:t>pagoPA</w:t>
      </w:r>
      <w:proofErr w:type="spellEnd"/>
      <w:r>
        <w:t xml:space="preserve">, è precisato che «Al fine di consentire all’utilizzatore finale di avere a disposizione tutti gli strumenti di pagamento, incluso il servizio di bollettino postale, ogni Ente Creditore, ove abbia in essere un rapporto di conto corrente postale, ne censisce l’IBAN sul Sistema </w:t>
      </w:r>
      <w:proofErr w:type="spellStart"/>
      <w:r>
        <w:t>pagoPA</w:t>
      </w:r>
      <w:proofErr w:type="spellEnd"/>
      <w:r>
        <w:t xml:space="preserve">, unitamente al conto corrente di tesoreria o di cassa»; da qui in capo all’Ente l’obbligo di censimento di almeno 1 conto corrente postale se è già nelle disponibilità di tale ente prima dell’adesione a </w:t>
      </w:r>
      <w:proofErr w:type="spellStart"/>
      <w:r>
        <w:t>pagoPA</w:t>
      </w:r>
      <w:proofErr w:type="spellEnd"/>
      <w:r>
        <w:t xml:space="preserve"> o, comunque, se anche successivamente l’ente abbia volontariamente deciso di instaurarlo. In altri termini, se un ente, per qualunque ragione, ha un conto corrente postale a lui intestato non può non utilizzarlo anche per </w:t>
      </w:r>
      <w:proofErr w:type="spellStart"/>
      <w:r>
        <w:t>pagoPA</w:t>
      </w:r>
      <w:proofErr w:type="spellEnd"/>
      <w:r>
        <w:t>.</w:t>
      </w:r>
    </w:p>
    <w:p w14:paraId="536297C7" w14:textId="77777777" w:rsidR="00A76B7E" w:rsidRDefault="00A76B7E" w:rsidP="00DE4952">
      <w:pPr>
        <w:ind w:right="828"/>
        <w:jc w:val="both"/>
      </w:pPr>
      <w:r>
        <w:t xml:space="preserve">Lo stesso paragrafo continua specificando che “Per lo stesso fine, resta ferma la facoltà per ogni Ente Creditore di instaurare un rapporto di conto corrente postale, anche in seguito all’adesione al Sistema </w:t>
      </w:r>
      <w:proofErr w:type="spellStart"/>
      <w:r>
        <w:t>pagoPA</w:t>
      </w:r>
      <w:proofErr w:type="spellEnd"/>
      <w:r>
        <w:t xml:space="preserve">”; da qui la facoltà di instaurare un rapporto di conto corrente postale, ove tale rapporto non sia </w:t>
      </w:r>
      <w:proofErr w:type="spellStart"/>
      <w:r>
        <w:t>pre</w:t>
      </w:r>
      <w:proofErr w:type="spellEnd"/>
      <w:r>
        <w:t xml:space="preserve">-esistente all’adesione a </w:t>
      </w:r>
      <w:proofErr w:type="spellStart"/>
      <w:r>
        <w:t>pagoPA</w:t>
      </w:r>
      <w:proofErr w:type="spellEnd"/>
      <w:r>
        <w:t>.</w:t>
      </w:r>
    </w:p>
    <w:p w14:paraId="0865984B" w14:textId="77777777" w:rsidR="00A76B7E" w:rsidRDefault="00A76B7E" w:rsidP="00DE4952">
      <w:pPr>
        <w:ind w:right="828"/>
        <w:jc w:val="both"/>
      </w:pPr>
      <w:r>
        <w:t>In ultimo, lo stesso paragrafo delle Linee Guida segnala che “Ogni Ente Creditore, ove abbia in essere altri rapporti di conto corrente bancario o postale, potrà censirne i relativi IBAN sul Nodo dei Pagamenti-SPC”; da qui l’ulteriore facoltà in capo all’ente di censire anche più di un conto corrente postale.</w:t>
      </w:r>
    </w:p>
    <w:p w14:paraId="3C903769" w14:textId="77777777" w:rsidR="00A76B7E" w:rsidRDefault="00A76B7E" w:rsidP="00DE4952">
      <w:pPr>
        <w:ind w:right="828"/>
        <w:jc w:val="both"/>
      </w:pPr>
      <w:r>
        <w:t xml:space="preserve">Pertanto, l’obbligo di instaurare un rapporto ex novo con Poste italiane dopo l’adesione a </w:t>
      </w:r>
      <w:proofErr w:type="spellStart"/>
      <w:r>
        <w:t>pagoPA</w:t>
      </w:r>
      <w:proofErr w:type="spellEnd"/>
      <w:r>
        <w:t xml:space="preserve"> non sussiste ma è evidente che tale rapporto, può ampliare gli strumenti di pagamento che un ente tramite </w:t>
      </w:r>
      <w:proofErr w:type="spellStart"/>
      <w:r>
        <w:t>pagoPA</w:t>
      </w:r>
      <w:proofErr w:type="spellEnd"/>
      <w:r>
        <w:t xml:space="preserve"> può mettere a disposizione dei pagatori.</w:t>
      </w:r>
    </w:p>
    <w:p w14:paraId="03AA7989" w14:textId="77777777" w:rsidR="00A76B7E" w:rsidRDefault="00A76B7E" w:rsidP="00DE4952">
      <w:pPr>
        <w:ind w:right="828"/>
        <w:jc w:val="both"/>
      </w:pPr>
    </w:p>
    <w:p w14:paraId="3E052DB3" w14:textId="77777777" w:rsidR="00A76B7E" w:rsidRDefault="00A76B7E" w:rsidP="00DE4952">
      <w:pPr>
        <w:ind w:right="828"/>
        <w:jc w:val="both"/>
      </w:pPr>
      <w:r>
        <w:t>B7: Per l’emissione dei nuovi bollettini postali, gli Enti Creditori devono fare richiesta a Poste Italiane per l’autorizzazione alla stampa in proprio?</w:t>
      </w:r>
    </w:p>
    <w:p w14:paraId="67B6F6F4" w14:textId="77777777" w:rsidR="00A76B7E" w:rsidRDefault="00A76B7E" w:rsidP="00DE4952">
      <w:pPr>
        <w:ind w:right="828"/>
        <w:jc w:val="both"/>
      </w:pPr>
      <w:r>
        <w:t xml:space="preserve">Nel documento “L’avviso di pagamento analogico nel sistema </w:t>
      </w:r>
      <w:proofErr w:type="spellStart"/>
      <w:r>
        <w:t>pagoPA</w:t>
      </w:r>
      <w:proofErr w:type="spellEnd"/>
      <w:r>
        <w:t xml:space="preserve">” pubblicato sul sito www.pagopa.gov.it di </w:t>
      </w:r>
      <w:proofErr w:type="spellStart"/>
      <w:r>
        <w:t>pagoPA</w:t>
      </w:r>
      <w:proofErr w:type="spellEnd"/>
      <w:r>
        <w:t xml:space="preserve"> viene specificato che: “Gli Enti Creditori che intendono utilizzare il nuovo bollettino postale possono fare richiesta a Poste Italiane, per ottenere la necessaria Autorizzazione alla stampa in proprio”. </w:t>
      </w:r>
      <w:r>
        <w:lastRenderedPageBreak/>
        <w:t xml:space="preserve">L’autorizzazione deve essere richiesta a Poste Italiane così come definito nel Manuale della stampa in proprio, consultabile alla pagina poste.it, area PA, accedendo alla sezione incassi e pagamenti e cliccando sulla dicitura Bollettino Postale, in modo da accedere alla pagina che contiene tutti i documenti necessari per richiedere le autorizzazioni alla stampa, ivi compreso il Manuale che descrive come deve essere predisposto il nuovo Bollettino PA. Inoltre, si precisa che Poste Italiane ha precisato che la nuova autorizzazione massiva per la produzione di bollettini PA integrati nell’avviso </w:t>
      </w:r>
      <w:proofErr w:type="spellStart"/>
      <w:r>
        <w:t>pagoPA</w:t>
      </w:r>
      <w:proofErr w:type="spellEnd"/>
      <w:r>
        <w:t xml:space="preserve">, proprio per la sua natura, sarà richiedibile anche da soggetti diversi dagli stampatori, quali Partner tecnologici o SW </w:t>
      </w:r>
      <w:proofErr w:type="spellStart"/>
      <w:r>
        <w:t>house</w:t>
      </w:r>
      <w:proofErr w:type="spellEnd"/>
      <w:r>
        <w:t xml:space="preserve"> degli Enti.</w:t>
      </w:r>
    </w:p>
    <w:p w14:paraId="712CE10E" w14:textId="77777777" w:rsidR="00A76B7E" w:rsidRDefault="00A76B7E" w:rsidP="00DE4952">
      <w:pPr>
        <w:ind w:right="828"/>
        <w:jc w:val="both"/>
      </w:pPr>
    </w:p>
    <w:p w14:paraId="69329BCD" w14:textId="200CC989" w:rsidR="00A76B7E" w:rsidRDefault="00A76B7E" w:rsidP="00DE4952">
      <w:pPr>
        <w:pStyle w:val="Titolo3"/>
        <w:numPr>
          <w:ilvl w:val="1"/>
          <w:numId w:val="15"/>
        </w:numPr>
        <w:ind w:right="828"/>
      </w:pPr>
      <w:bookmarkStart w:id="8" w:name="_Toc56904374"/>
      <w:r>
        <w:t>Gruppo C – Adesione degli Enti Creditori</w:t>
      </w:r>
      <w:bookmarkEnd w:id="8"/>
    </w:p>
    <w:p w14:paraId="25A24EE9" w14:textId="77777777" w:rsidR="00A76B7E" w:rsidRDefault="00A76B7E" w:rsidP="00DE4952">
      <w:pPr>
        <w:ind w:right="828"/>
        <w:jc w:val="both"/>
      </w:pPr>
    </w:p>
    <w:p w14:paraId="61C2BDEF" w14:textId="1D38C31F" w:rsidR="00A76B7E" w:rsidRDefault="00A76B7E" w:rsidP="00DE4952">
      <w:pPr>
        <w:ind w:right="828"/>
        <w:jc w:val="both"/>
      </w:pPr>
      <w:r>
        <w:t xml:space="preserve">C2: Che problemi hanno i soggetti obbligati che non aderiscono a </w:t>
      </w:r>
      <w:proofErr w:type="spellStart"/>
      <w:r>
        <w:t>pagoPA</w:t>
      </w:r>
      <w:proofErr w:type="spellEnd"/>
      <w:r>
        <w:t>?</w:t>
      </w:r>
    </w:p>
    <w:p w14:paraId="06FD70BD" w14:textId="77777777" w:rsidR="00A76B7E" w:rsidRDefault="00A76B7E" w:rsidP="00DE4952">
      <w:pPr>
        <w:ind w:right="828"/>
        <w:jc w:val="both"/>
      </w:pPr>
      <w:r>
        <w:t xml:space="preserve">Le PA che non hanno ancora attivato tale sistema presentano difformità nel modo di incassare le somme dovute. Alcune di loro richiedono che i pagamenti siano effettuati con il modello F24, molto più complesso sia nella fase di compilazione che nella fase di pagamento, con frequenti rischi di errori. I pagamenti effettuati con F24, inoltre, sono incassati dallo Stato che solo successivamente li riversa alle Pubbliche Amministrazioni (i tempi di riversamento previsti anche di 15 giorni), rendendo più lungo e macchinoso il processo di incasso. Le Pubbliche Amministrazioni indicano spesso modalità di pagamento diverse per diverse tipologie di servizi: ad esempio, il bonifico, il MAV (Mediante Avviso), il RAV (Ruoli Mediante Avviso), versamenti presso il tesoriere o presso altri specifici soggetti riscossori. Ne consegue che è sempre più necessario standardizzare gli incassi per fornire a cittadini e imprese un’unica modalità di pagamento omogenea riconosciuta a livello nazionale anche se questo può comportare, inizialmente, un fisiologico periodo di adattamento. Senza il sistema </w:t>
      </w:r>
      <w:proofErr w:type="spellStart"/>
      <w:r>
        <w:t>pagoPA</w:t>
      </w:r>
      <w:proofErr w:type="spellEnd"/>
      <w:r>
        <w:t>, infine, gli Enti Creditori non possono rilasciare al cittadino una quietanza «liberatoria» di pagamento, con il rischio di comunicare dopo mesi o addirittura anni, eventuali somme ancora dovute a saldo del pagamento già eseguito.</w:t>
      </w:r>
    </w:p>
    <w:p w14:paraId="43DAC040" w14:textId="77777777" w:rsidR="00A76B7E" w:rsidRDefault="00A76B7E" w:rsidP="00DE4952">
      <w:pPr>
        <w:ind w:right="828"/>
        <w:jc w:val="both"/>
      </w:pPr>
    </w:p>
    <w:p w14:paraId="3A0E3CEE" w14:textId="77777777" w:rsidR="00A76B7E" w:rsidRDefault="00A76B7E" w:rsidP="00DE4952">
      <w:pPr>
        <w:ind w:right="828"/>
        <w:jc w:val="both"/>
      </w:pPr>
      <w:r>
        <w:t xml:space="preserve">C5: L’adesione a </w:t>
      </w:r>
      <w:proofErr w:type="spellStart"/>
      <w:r>
        <w:t>pagoPA</w:t>
      </w:r>
      <w:proofErr w:type="spellEnd"/>
      <w:r>
        <w:t xml:space="preserve"> da parte di un soggetto a cui una PA ha affidato la riscossione delle entrate ha effetto sulla stessa PA appaltante?</w:t>
      </w:r>
    </w:p>
    <w:p w14:paraId="4F443C98" w14:textId="77777777" w:rsidR="00A76B7E" w:rsidRDefault="00A76B7E" w:rsidP="00DE4952">
      <w:pPr>
        <w:ind w:right="828"/>
        <w:jc w:val="both"/>
      </w:pPr>
      <w:r>
        <w:t xml:space="preserve">Il Sistema </w:t>
      </w:r>
      <w:proofErr w:type="spellStart"/>
      <w:r>
        <w:t>pagoPA</w:t>
      </w:r>
      <w:proofErr w:type="spellEnd"/>
      <w:r>
        <w:t xml:space="preserve"> è disponibile anche ai soggetti iscritti nell’albo di cui all’articolo 53, comma 1, del </w:t>
      </w:r>
      <w:proofErr w:type="spellStart"/>
      <w:proofErr w:type="gramStart"/>
      <w:r>
        <w:t>D.Lgs</w:t>
      </w:r>
      <w:proofErr w:type="gramEnd"/>
      <w:r>
        <w:t>.</w:t>
      </w:r>
      <w:proofErr w:type="spellEnd"/>
      <w:r>
        <w:t xml:space="preserve"> n. 446/1997 che consente alle PA di affidare a terzi le attività di accertamento, liquidazione e riscossione delle entrate. In merito, si puntualizza che: i) i soggetti iscritti nell’albo già indicato, ove aderenti al sistema </w:t>
      </w:r>
      <w:proofErr w:type="spellStart"/>
      <w:r>
        <w:t>pagoPA</w:t>
      </w:r>
      <w:proofErr w:type="spellEnd"/>
      <w:r>
        <w:t xml:space="preserve">, risulteranno beneficiari delle operazioni di pagamento elettroniche eseguite attraverso </w:t>
      </w:r>
      <w:proofErr w:type="spellStart"/>
      <w:r>
        <w:t>pagoPA</w:t>
      </w:r>
      <w:proofErr w:type="spellEnd"/>
      <w:r>
        <w:t xml:space="preserve">; e ii) l’attività di riversamento da parte del concessionario in favore della PA appaltante sarà eseguita fuori dal sistema </w:t>
      </w:r>
      <w:proofErr w:type="spellStart"/>
      <w:r>
        <w:t>pagoPA</w:t>
      </w:r>
      <w:proofErr w:type="spellEnd"/>
      <w:r>
        <w:t xml:space="preserve"> ovvero nelle modalità stabilite nel contratto tra il concessionario e la stessa PA appaltante. Fatta la precisazione appena esposta, appare necessario puntualizzare che l’adesione al sistema </w:t>
      </w:r>
      <w:proofErr w:type="spellStart"/>
      <w:r>
        <w:t>pagoPA</w:t>
      </w:r>
      <w:proofErr w:type="spellEnd"/>
      <w:r>
        <w:t xml:space="preserve"> eseguita da parte di un soggetto a cui la PA ha affidato, ex </w:t>
      </w:r>
      <w:proofErr w:type="spellStart"/>
      <w:proofErr w:type="gramStart"/>
      <w:r>
        <w:t>D.Lgs</w:t>
      </w:r>
      <w:proofErr w:type="gramEnd"/>
      <w:r>
        <w:t>.</w:t>
      </w:r>
      <w:proofErr w:type="spellEnd"/>
      <w:r>
        <w:t xml:space="preserve"> n.446/1997, l’attività di riscossione delle entrate, non comporta l’adesione a </w:t>
      </w:r>
      <w:proofErr w:type="spellStart"/>
      <w:r>
        <w:t>pagoPA</w:t>
      </w:r>
      <w:proofErr w:type="spellEnd"/>
      <w:r>
        <w:t xml:space="preserve"> da parte anche della PA appaltante.</w:t>
      </w:r>
    </w:p>
    <w:p w14:paraId="07D56DA9" w14:textId="77777777" w:rsidR="00A76B7E" w:rsidRDefault="00A76B7E" w:rsidP="00DE4952">
      <w:pPr>
        <w:ind w:right="828"/>
        <w:jc w:val="both"/>
      </w:pPr>
    </w:p>
    <w:p w14:paraId="21DCA917" w14:textId="77777777" w:rsidR="00A76B7E" w:rsidRDefault="00A76B7E" w:rsidP="00DE4952">
      <w:pPr>
        <w:ind w:right="828"/>
        <w:jc w:val="both"/>
      </w:pPr>
      <w:r>
        <w:lastRenderedPageBreak/>
        <w:t xml:space="preserve">C6: </w:t>
      </w:r>
      <w:proofErr w:type="spellStart"/>
      <w:r>
        <w:t>Un’Ente</w:t>
      </w:r>
      <w:proofErr w:type="spellEnd"/>
      <w:r>
        <w:t xml:space="preserve"> Creditore può utilizzare anche altre modalità di pagamento elettronico, oltre ai servizi di pagamento offerti da </w:t>
      </w:r>
      <w:proofErr w:type="spellStart"/>
      <w:r>
        <w:t>pagoPA</w:t>
      </w:r>
      <w:proofErr w:type="spellEnd"/>
      <w:r>
        <w:t>?</w:t>
      </w:r>
    </w:p>
    <w:p w14:paraId="294F8FC7" w14:textId="77777777" w:rsidR="00A76B7E" w:rsidRDefault="00A76B7E" w:rsidP="00DE4952">
      <w:pPr>
        <w:ind w:right="828"/>
        <w:jc w:val="both"/>
      </w:pPr>
      <w:r>
        <w:t xml:space="preserve">Il sistema </w:t>
      </w:r>
      <w:proofErr w:type="spellStart"/>
      <w:r>
        <w:t>pagoPA</w:t>
      </w:r>
      <w:proofErr w:type="spellEnd"/>
      <w:r>
        <w:t xml:space="preserve"> rappresenta il sistema nazionale dei pagamenti elettronici in favore delle Pubbliche Amministrazioni e di altri soggetti che erogano servizi pubblici tenuti per legge all’adesione. Come previsto al paragrafo 5 delle Linee Guida, gli Enti Creditori obbligati ad aderire a </w:t>
      </w:r>
      <w:proofErr w:type="spellStart"/>
      <w:r>
        <w:t>pagoPA</w:t>
      </w:r>
      <w:proofErr w:type="spellEnd"/>
      <w:r>
        <w:t xml:space="preserve"> possono affiancare al sistema esclusivamente i seguenti metodi di pagamento:</w:t>
      </w:r>
    </w:p>
    <w:p w14:paraId="6C4B9683" w14:textId="77777777" w:rsidR="00A76B7E" w:rsidRDefault="00A76B7E" w:rsidP="00DE4952">
      <w:pPr>
        <w:ind w:right="828"/>
        <w:jc w:val="both"/>
      </w:pPr>
      <w:r>
        <w:t>a.</w:t>
      </w:r>
      <w:r>
        <w:tab/>
        <w:t xml:space="preserve">«Delega unica F24» (c.d. modello F24) fino alla sua integrazione con il Sistema </w:t>
      </w:r>
      <w:proofErr w:type="spellStart"/>
      <w:r>
        <w:t>pagoPA</w:t>
      </w:r>
      <w:proofErr w:type="spellEnd"/>
      <w:r>
        <w:t>;</w:t>
      </w:r>
    </w:p>
    <w:p w14:paraId="2ADA1BE6" w14:textId="77777777" w:rsidR="00A76B7E" w:rsidRDefault="00A76B7E" w:rsidP="00DE4952">
      <w:pPr>
        <w:ind w:right="828"/>
        <w:jc w:val="both"/>
      </w:pPr>
      <w:r>
        <w:t>b.</w:t>
      </w:r>
      <w:r>
        <w:tab/>
      </w:r>
      <w:proofErr w:type="spellStart"/>
      <w:r>
        <w:t>Sepa</w:t>
      </w:r>
      <w:proofErr w:type="spellEnd"/>
      <w:r>
        <w:t xml:space="preserve"> Direct </w:t>
      </w:r>
      <w:proofErr w:type="spellStart"/>
      <w:r>
        <w:t>Debit</w:t>
      </w:r>
      <w:proofErr w:type="spellEnd"/>
      <w:r>
        <w:t xml:space="preserve"> (SDD) fino alla sua integrazione con il Sistema </w:t>
      </w:r>
      <w:proofErr w:type="spellStart"/>
      <w:r>
        <w:t>pagoPA</w:t>
      </w:r>
      <w:proofErr w:type="spellEnd"/>
      <w:r>
        <w:t>;</w:t>
      </w:r>
    </w:p>
    <w:p w14:paraId="0C6D0739" w14:textId="77777777" w:rsidR="00A76B7E" w:rsidRDefault="00A76B7E" w:rsidP="00DE4952">
      <w:pPr>
        <w:ind w:right="828"/>
        <w:jc w:val="both"/>
      </w:pPr>
      <w:r>
        <w:t>c.</w:t>
      </w:r>
      <w:r>
        <w:tab/>
        <w:t xml:space="preserve">eventuali altri servizi di pagamento non ancora integrati con il Sistema </w:t>
      </w:r>
      <w:proofErr w:type="spellStart"/>
      <w:r>
        <w:t>pagoPA</w:t>
      </w:r>
      <w:proofErr w:type="spellEnd"/>
      <w:r>
        <w:t xml:space="preserve"> e che non risultino sostituibili con quelli erogati tramite </w:t>
      </w:r>
      <w:proofErr w:type="spellStart"/>
      <w:r>
        <w:t>pagoPA</w:t>
      </w:r>
      <w:proofErr w:type="spellEnd"/>
      <w:r>
        <w:t xml:space="preserve"> poiché una specifica previsione di legge ne impone la messa a disposizione dell’utenza per l’esecuzione del pagamento;</w:t>
      </w:r>
    </w:p>
    <w:p w14:paraId="4DBABFD1" w14:textId="77777777" w:rsidR="00A76B7E" w:rsidRDefault="00A76B7E" w:rsidP="00DE4952">
      <w:pPr>
        <w:ind w:right="828"/>
        <w:jc w:val="both"/>
      </w:pPr>
      <w:r>
        <w:t>d.</w:t>
      </w:r>
      <w:r>
        <w:tab/>
        <w:t>per cassa, presso il soggetto che per tale ente svolge il servizio di tesoreria o di cassa.</w:t>
      </w:r>
    </w:p>
    <w:p w14:paraId="105D91EA" w14:textId="77777777" w:rsidR="00A76B7E" w:rsidRDefault="00A76B7E" w:rsidP="00DE4952">
      <w:pPr>
        <w:ind w:right="828"/>
        <w:jc w:val="both"/>
      </w:pPr>
      <w:r>
        <w:t>Inoltre si segnala che l’articolo 65, comma 2, del Decreto legislativo 13 dicembre 2017, n. 217 stabilisce «L’obbligo per i prestatori di servizi di pagamento abilitati di utilizzare esclusivamente la piattaforma di cui all’articolo 5, comma 2, del decreto legislativo n. 82 del 2005 per i pagamenti verso le pubbliche amministrazioni decorre dal 28 febbraio 2021». Pertanto, a decorrere da tale data, i prestatori abilitati a offrire servizi di pagamento ai sensi della PSD2 non potranno in alcun modo eseguire servizi di pagamento che non transitino per il Nodo dei Pagamenti-SPC e che abbiano come beneficiario un soggetto pubblico obbligato all’adesione allo stesso sistema, ad eccezione dei soli servizi di cui alle lettere a), b), c) e d) appena indicati.</w:t>
      </w:r>
    </w:p>
    <w:p w14:paraId="70B38171" w14:textId="77777777" w:rsidR="00A76B7E" w:rsidRDefault="00A76B7E" w:rsidP="00DE4952">
      <w:pPr>
        <w:ind w:right="828"/>
        <w:jc w:val="both"/>
      </w:pPr>
      <w:r>
        <w:t xml:space="preserve">Infine, si evidenzia che, ai sensi dell’articolo 2, punto 39, del Decreto legislativo 15 dicembre 2017, n. 218 per il recepimento in Italia della PSD2, è stabilito che «Gli articoli 36, 37 e 38 del decreto legislativo 27 gennaio 2010, n. 11 sono abrogati dalla data di entrata in vigore del presente decreto, ad eccezione del comma 6 dell’articolo 37 che è abrogato a decorrere dal 1° gennaio 2019». Pertanto, dovendo le Pubbliche Amministrazioni applicare quanto stabilito in materia di pagamenti dalla PSD2 a partire dal 1° gennaio 2019, appare opportuno rappresentare che, per la sola componente degli incassi, l’adesione al Sistema </w:t>
      </w:r>
      <w:proofErr w:type="spellStart"/>
      <w:r>
        <w:t>pagoPA</w:t>
      </w:r>
      <w:proofErr w:type="spellEnd"/>
      <w:r>
        <w:t xml:space="preserve"> garantisce, altresì, il pieno rispetto della direttiva europea, come recepita a livello nazionale.</w:t>
      </w:r>
    </w:p>
    <w:p w14:paraId="3179B82C" w14:textId="77777777" w:rsidR="00A76B7E" w:rsidRDefault="00A76B7E" w:rsidP="00DE4952">
      <w:pPr>
        <w:ind w:right="828"/>
        <w:jc w:val="both"/>
      </w:pPr>
    </w:p>
    <w:p w14:paraId="259B4E05" w14:textId="77777777" w:rsidR="00A76B7E" w:rsidRDefault="00A76B7E" w:rsidP="00DE4952">
      <w:pPr>
        <w:ind w:right="828"/>
        <w:jc w:val="both"/>
      </w:pPr>
      <w:r>
        <w:t>C13: Un Ente Creditore è obbligato a mettere a disposizione tutti i modelli di pagamento previsti?</w:t>
      </w:r>
    </w:p>
    <w:p w14:paraId="520CEE15" w14:textId="77777777" w:rsidR="00A76B7E" w:rsidRDefault="00A76B7E" w:rsidP="00DE4952">
      <w:pPr>
        <w:ind w:right="828"/>
        <w:jc w:val="both"/>
      </w:pPr>
      <w:r>
        <w:t>I soggetti sottoposti all’ambito applicativo del CAD hanno l’obbligo di mettere a disposizione degli utenti i pagamenti elettronici attraverso l’infrastruttura del Nodo dei Pagamenti-SPC. Tale obbligo è declinato e tecnicamente dettagliato nelle Linee Guida e nei relativi allegati tecnici, ove sono descritti i diversi modelli di pagamento. Pertanto, i soggetti obbligati ad aderire al Nodo dei Pagamenti-SPC sono altresì chiamati ad implementare tutti i modelli di pagamento previsti, salvo che l’Ente Creditore verifichi che il processo di erogazione di tutti i servizi da esso erogati sia integralmente dematerializzato. In tale specifico caso, l’Ente può non implementare il modello di pagamento attivato presso il PSP (c.d. “modello 3”).</w:t>
      </w:r>
    </w:p>
    <w:p w14:paraId="5516746B" w14:textId="77777777" w:rsidR="00A76B7E" w:rsidRDefault="00A76B7E" w:rsidP="00DE4952">
      <w:pPr>
        <w:ind w:right="828"/>
        <w:jc w:val="both"/>
      </w:pPr>
    </w:p>
    <w:p w14:paraId="597D1013" w14:textId="77777777" w:rsidR="00A76B7E" w:rsidRDefault="00A76B7E" w:rsidP="00DE4952">
      <w:pPr>
        <w:ind w:right="828"/>
        <w:jc w:val="both"/>
      </w:pPr>
      <w:r>
        <w:lastRenderedPageBreak/>
        <w:t xml:space="preserve">C15: Quali sono i soggetti che devono o possono aderire a </w:t>
      </w:r>
      <w:proofErr w:type="spellStart"/>
      <w:r>
        <w:t>pagoPA</w:t>
      </w:r>
      <w:proofErr w:type="spellEnd"/>
      <w:r>
        <w:t>?</w:t>
      </w:r>
    </w:p>
    <w:p w14:paraId="2DDE95A0" w14:textId="77777777" w:rsidR="00A76B7E" w:rsidRDefault="00A76B7E" w:rsidP="00DE4952">
      <w:pPr>
        <w:ind w:right="828"/>
        <w:jc w:val="both"/>
      </w:pPr>
      <w:r>
        <w:t xml:space="preserve">Ai sensi dell’articolo 15, comma 5bis, del D.L. 179/2012 e dell’articolo 2 del CAD l’adesione a </w:t>
      </w:r>
      <w:proofErr w:type="spellStart"/>
      <w:r>
        <w:t>pagoPA</w:t>
      </w:r>
      <w:proofErr w:type="spellEnd"/>
      <w:r>
        <w:t xml:space="preserve"> resta facoltativa solo per le società a controllo pubblico quotate e per i Prestatori di Servizi di Pagamento.</w:t>
      </w:r>
    </w:p>
    <w:p w14:paraId="4F1EE41B" w14:textId="77777777" w:rsidR="00A76B7E" w:rsidRDefault="00A76B7E" w:rsidP="00DE4952">
      <w:pPr>
        <w:ind w:right="828"/>
        <w:jc w:val="both"/>
      </w:pPr>
    </w:p>
    <w:p w14:paraId="6F21B680" w14:textId="77777777" w:rsidR="00A76B7E" w:rsidRDefault="00A76B7E" w:rsidP="00DE4952">
      <w:pPr>
        <w:ind w:right="828"/>
        <w:jc w:val="both"/>
      </w:pPr>
      <w:r>
        <w:t xml:space="preserve">C17: Le Associazioni volontarie tra Enti pubblici locali, sono obbligate ad aderire al Sistema </w:t>
      </w:r>
      <w:proofErr w:type="spellStart"/>
      <w:r>
        <w:t>pagoPA</w:t>
      </w:r>
      <w:proofErr w:type="spellEnd"/>
      <w:r>
        <w:t>?</w:t>
      </w:r>
    </w:p>
    <w:p w14:paraId="7B632C68" w14:textId="77777777" w:rsidR="00A76B7E" w:rsidRDefault="00A76B7E" w:rsidP="00DE4952">
      <w:pPr>
        <w:ind w:right="828"/>
        <w:jc w:val="both"/>
      </w:pPr>
      <w:r>
        <w:t xml:space="preserve">Sì. Né il CAD, né il D.L. n. 179/2012 prevedono alcun tipo di eccezione e/o deroga a riguardo. Infatti, qualunque Ente che riceva pagamenti in suo favore da soggetti privati o da soggetti pubblici che non possano eseguire il pagamento tramite un’operazione di </w:t>
      </w:r>
      <w:proofErr w:type="spellStart"/>
      <w:r>
        <w:t>girofondi</w:t>
      </w:r>
      <w:proofErr w:type="spellEnd"/>
      <w:r>
        <w:t xml:space="preserve"> presso la tesoreria della Banca d’Italia, devono dare attuazione all’obbligo di legge di adesione al Sistema </w:t>
      </w:r>
      <w:proofErr w:type="spellStart"/>
      <w:r>
        <w:t>pagoPA</w:t>
      </w:r>
      <w:proofErr w:type="spellEnd"/>
      <w:r>
        <w:t>.</w:t>
      </w:r>
    </w:p>
    <w:p w14:paraId="26AB7ECE" w14:textId="77777777" w:rsidR="00A76B7E" w:rsidRDefault="00A76B7E" w:rsidP="00DE4952">
      <w:pPr>
        <w:ind w:right="828"/>
        <w:jc w:val="both"/>
      </w:pPr>
    </w:p>
    <w:p w14:paraId="1C2C6367" w14:textId="77777777" w:rsidR="00A76B7E" w:rsidRDefault="00A76B7E" w:rsidP="00DE4952">
      <w:pPr>
        <w:ind w:right="828"/>
        <w:jc w:val="both"/>
      </w:pPr>
      <w:r>
        <w:t xml:space="preserve">C18: Le società a controllo pubblico che non ricevono pagamenti da cittadini o imprese sono obbligate ad aderire a </w:t>
      </w:r>
      <w:proofErr w:type="spellStart"/>
      <w:r>
        <w:t>pagoPA</w:t>
      </w:r>
      <w:proofErr w:type="spellEnd"/>
      <w:r>
        <w:t>?</w:t>
      </w:r>
    </w:p>
    <w:p w14:paraId="6DEE3397" w14:textId="77777777" w:rsidR="00A76B7E" w:rsidRDefault="00A76B7E" w:rsidP="00DE4952">
      <w:pPr>
        <w:ind w:right="828"/>
        <w:jc w:val="both"/>
      </w:pPr>
      <w:r>
        <w:t xml:space="preserve">Sì, ogni soggetto obbligato dalla normativa ad aderire a </w:t>
      </w:r>
      <w:proofErr w:type="spellStart"/>
      <w:r>
        <w:t>pagoPA</w:t>
      </w:r>
      <w:proofErr w:type="spellEnd"/>
      <w:r>
        <w:t xml:space="preserve"> resta obbligato all’adesione anche se non riceve pagamenti da cittadini e imprese, ma solo da soggetti pubblici. Pertanto, le società a controllo pubblico o i gestori di pubblici servizi e ogni altro soggetto obbligato che non abbia l’obbligo di eseguire operazioni di pagamento verso altre pubbliche amministrazioni tramite </w:t>
      </w:r>
      <w:proofErr w:type="spellStart"/>
      <w:r>
        <w:t>girofondi</w:t>
      </w:r>
      <w:proofErr w:type="spellEnd"/>
      <w:r>
        <w:t xml:space="preserve">, per la gestione delle proprie entrate, deve aderire a </w:t>
      </w:r>
      <w:proofErr w:type="spellStart"/>
      <w:r>
        <w:t>pagoPA</w:t>
      </w:r>
      <w:proofErr w:type="spellEnd"/>
      <w:r>
        <w:t xml:space="preserve">. Infatti, né il nuovo art. 5 del CAD, né il comma 5bis dell’art. 15 del D.L. 179/2012 specificano che </w:t>
      </w:r>
      <w:proofErr w:type="spellStart"/>
      <w:r>
        <w:t>pagoPA</w:t>
      </w:r>
      <w:proofErr w:type="spellEnd"/>
      <w:r>
        <w:t xml:space="preserve"> riguarda esclusivamente i rapporti con cittadini o le imprese. Pertanto, tutti i pagamenti in favore di soggetti obbligati all’adesione a </w:t>
      </w:r>
      <w:proofErr w:type="spellStart"/>
      <w:r>
        <w:t>pagoPA</w:t>
      </w:r>
      <w:proofErr w:type="spellEnd"/>
      <w:r>
        <w:t xml:space="preserve">, devono avvenire tramite </w:t>
      </w:r>
      <w:proofErr w:type="spellStart"/>
      <w:r>
        <w:t>pagoPA</w:t>
      </w:r>
      <w:proofErr w:type="spellEnd"/>
      <w:r>
        <w:t>.</w:t>
      </w:r>
    </w:p>
    <w:p w14:paraId="663E2B81" w14:textId="77777777" w:rsidR="00A76B7E" w:rsidRDefault="00A76B7E" w:rsidP="00DE4952">
      <w:pPr>
        <w:ind w:right="828"/>
        <w:jc w:val="both"/>
      </w:pPr>
      <w:r>
        <w:t xml:space="preserve">C19: Gli ordini professionali sono obbligati ad aderire a </w:t>
      </w:r>
      <w:proofErr w:type="spellStart"/>
      <w:r>
        <w:t>pagoPA</w:t>
      </w:r>
      <w:proofErr w:type="spellEnd"/>
      <w:r>
        <w:t>?</w:t>
      </w:r>
    </w:p>
    <w:p w14:paraId="7A17D33E" w14:textId="77777777" w:rsidR="00A76B7E" w:rsidRDefault="00A76B7E" w:rsidP="00DE4952">
      <w:pPr>
        <w:ind w:right="828"/>
        <w:jc w:val="both"/>
      </w:pPr>
      <w:r>
        <w:t>Per potere validamente rispondere a tale quesito, appare doveroso premettere che nel nostro ordinamento può creare qualche dubbio interpretativo individuare la natura giuridica degli ordini professionali. Infatti, se da un lato gli Ordini sono riconosciuti dal legislatore come veri e propri enti pubblici non economici, in quanto idonei ad adottare atti incidenti sulla sfera giuridica altrui, dall’altro, essi continuano ad essere conformati come enti esponenziali di ciascuna delle categorie professionali interessate, e quindi come organizzazioni proprie di determinati appartenenti all’ordinamento giuridico generale.</w:t>
      </w:r>
    </w:p>
    <w:p w14:paraId="7F0FFA7D" w14:textId="77777777" w:rsidR="00A76B7E" w:rsidRDefault="00A76B7E" w:rsidP="00DE4952">
      <w:pPr>
        <w:ind w:right="828"/>
        <w:jc w:val="both"/>
      </w:pPr>
      <w:r>
        <w:t xml:space="preserve">Pertanto, in generale, è necessario effettuare una valutazione caso per caso, facendo prevalere i profili privatistici ovvero quelli pubblicistici a seconda della ratio della normativa per la quale ci si chiede se debba o meno essere applicata agli ordini professionali. Nel caso specifico dell’applicazione dell’articolo 5 del CAD e, dunque, dell’adesione al Sistema </w:t>
      </w:r>
      <w:proofErr w:type="spellStart"/>
      <w:r>
        <w:t>pagoPA</w:t>
      </w:r>
      <w:proofErr w:type="spellEnd"/>
      <w:r>
        <w:t>, appare opportuno ricordare che tale obbligo, ai sensi dell’art. 2, comma 2, del CAD riguarda anche gli enti pubblici non economici e, addirittura, i gestori di pubblici servizi e le società a controllo pubblico non quotate.</w:t>
      </w:r>
    </w:p>
    <w:p w14:paraId="23098F1D" w14:textId="77777777" w:rsidR="00A76B7E" w:rsidRDefault="00A76B7E" w:rsidP="00DE4952">
      <w:pPr>
        <w:ind w:right="828"/>
        <w:jc w:val="both"/>
      </w:pPr>
      <w:r>
        <w:t xml:space="preserve">Precisato quanto appena esposto, si rappresenta che gli ordini professionali sono, quindi, obbligati ad aderire al Sistema </w:t>
      </w:r>
      <w:proofErr w:type="spellStart"/>
      <w:r>
        <w:t>pagoPA</w:t>
      </w:r>
      <w:proofErr w:type="spellEnd"/>
      <w:r>
        <w:t xml:space="preserve"> per consentire ai loro pagatori di beneficiare delle funzionalità di pagamento elettronico offerte dal sistema.</w:t>
      </w:r>
    </w:p>
    <w:p w14:paraId="40C40F32" w14:textId="77777777" w:rsidR="00A76B7E" w:rsidRDefault="00A76B7E" w:rsidP="00DE4952">
      <w:pPr>
        <w:ind w:right="828"/>
        <w:jc w:val="both"/>
      </w:pPr>
    </w:p>
    <w:p w14:paraId="3C87CBD4" w14:textId="77777777" w:rsidR="00A76B7E" w:rsidRDefault="00A76B7E" w:rsidP="00DE4952">
      <w:pPr>
        <w:ind w:right="828"/>
        <w:jc w:val="both"/>
      </w:pPr>
      <w:r>
        <w:t xml:space="preserve">C21: Gli Enti di previdenza sono obbligati ad aderire a </w:t>
      </w:r>
      <w:proofErr w:type="spellStart"/>
      <w:r>
        <w:t>pagoPA</w:t>
      </w:r>
      <w:proofErr w:type="spellEnd"/>
      <w:r>
        <w:t>?</w:t>
      </w:r>
    </w:p>
    <w:p w14:paraId="40A3559D" w14:textId="77777777" w:rsidR="00A76B7E" w:rsidRDefault="00A76B7E" w:rsidP="00DE4952">
      <w:pPr>
        <w:ind w:right="828"/>
        <w:jc w:val="both"/>
      </w:pPr>
      <w:r>
        <w:t xml:space="preserve">Ricordato che il CAD è stato dapprima modificato dal </w:t>
      </w:r>
      <w:proofErr w:type="spellStart"/>
      <w:proofErr w:type="gramStart"/>
      <w:r>
        <w:t>D.Lgs</w:t>
      </w:r>
      <w:proofErr w:type="gramEnd"/>
      <w:r>
        <w:t>.</w:t>
      </w:r>
      <w:proofErr w:type="spellEnd"/>
      <w:r>
        <w:t xml:space="preserve"> n. 179/2016 (G.U. n. 214 del 13.9.2016) e successivamente corretto dal D. </w:t>
      </w:r>
      <w:proofErr w:type="spellStart"/>
      <w:r>
        <w:t>Lgs</w:t>
      </w:r>
      <w:proofErr w:type="spellEnd"/>
      <w:r>
        <w:t>. n. 217/2017 (G.U. n. 9 del 12.01.2018), si segnala che l’attuale articolo 2, comma 2, del CAD, oltre alle Pubbliche Amministrazioni, ha introdotto nel perimetro soggettivo del CAD anche le società a controllo pubblico, nonché i gestori di pubblici servizi.</w:t>
      </w:r>
    </w:p>
    <w:p w14:paraId="55183A75" w14:textId="77777777" w:rsidR="00A76B7E" w:rsidRDefault="00A76B7E" w:rsidP="00DE4952">
      <w:pPr>
        <w:ind w:right="828"/>
        <w:jc w:val="both"/>
      </w:pPr>
      <w:r>
        <w:t xml:space="preserve">Pertanto, le Pubbliche Amministrazioni, le società a controllo pubblico e i gestori di pubblici servizi sono obbligati ad aderire al Sistema </w:t>
      </w:r>
      <w:proofErr w:type="spellStart"/>
      <w:r>
        <w:t>pagoPA</w:t>
      </w:r>
      <w:proofErr w:type="spellEnd"/>
      <w:r>
        <w:t xml:space="preserve"> per consentire alla loro utenza di eseguire pagamenti elettronici in modalità uniforme nei loro confronti.</w:t>
      </w:r>
    </w:p>
    <w:p w14:paraId="1D876CDA" w14:textId="77777777" w:rsidR="00A76B7E" w:rsidRDefault="00A76B7E" w:rsidP="00DE4952">
      <w:pPr>
        <w:ind w:right="828"/>
        <w:jc w:val="both"/>
      </w:pPr>
      <w:r>
        <w:t xml:space="preserve">Fermo quanto già esposto, appare doveroso ricordare che nel nostro ordinamento, ancorché possa creare qualche dubbio interpretativo individuare la natura giuridica degli enti di previdenza, nel caso specifico, dell’adesione al Sistema </w:t>
      </w:r>
      <w:proofErr w:type="spellStart"/>
      <w:r>
        <w:t>pagoPA</w:t>
      </w:r>
      <w:proofErr w:type="spellEnd"/>
      <w:r>
        <w:t>, appare opportuno ricordare che tale obbligo riguarda anche gli Enti inclusi nell’elenco di cui all’art. 1, comma 2, della L. n. 196/2009 e, addirittura, i soggetti privati gestori di pubblici servizi.</w:t>
      </w:r>
    </w:p>
    <w:p w14:paraId="6F67B292" w14:textId="77777777" w:rsidR="00A76B7E" w:rsidRDefault="00A76B7E" w:rsidP="00DE4952">
      <w:pPr>
        <w:ind w:right="828"/>
        <w:jc w:val="both"/>
      </w:pPr>
      <w:r>
        <w:t xml:space="preserve">Nella fattispecie, essendo gli Enti nazionali di previdenza e di assistenza sociale, sia inclusi nell’elenco di cui all’art. 1, comma 2, della l. n. 196/2009, sia soggetti privati gestori di pubblici servizi, ai sensi dell’articolo 2, comma 2, rispettivamente, lettera c) e b), risultano obbligati ad aderire al Sistema </w:t>
      </w:r>
      <w:proofErr w:type="spellStart"/>
      <w:r>
        <w:t>pagoPA</w:t>
      </w:r>
      <w:proofErr w:type="spellEnd"/>
      <w:r>
        <w:t>.</w:t>
      </w:r>
    </w:p>
    <w:bookmarkEnd w:id="4"/>
    <w:p w14:paraId="2641AC1E" w14:textId="279E214C" w:rsidR="00692EF9" w:rsidRDefault="00692EF9" w:rsidP="00DE4952">
      <w:pPr>
        <w:ind w:right="828"/>
        <w:jc w:val="both"/>
      </w:pPr>
    </w:p>
    <w:sectPr w:rsidR="00692EF9" w:rsidSect="00A76B7E">
      <w:headerReference w:type="default" r:id="rId14"/>
      <w:footerReference w:type="default" r:id="rId15"/>
      <w:pgSz w:w="11906" w:h="16838" w:code="9"/>
      <w:pgMar w:top="2552" w:right="134" w:bottom="1985" w:left="1021" w:header="1021" w:footer="67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9F1863" w14:textId="77777777" w:rsidR="003A2E75" w:rsidRDefault="003A2E75" w:rsidP="008E5011">
      <w:pPr>
        <w:spacing w:after="0" w:line="240" w:lineRule="auto"/>
      </w:pPr>
      <w:r>
        <w:separator/>
      </w:r>
    </w:p>
  </w:endnote>
  <w:endnote w:type="continuationSeparator" w:id="0">
    <w:p w14:paraId="7353BC44" w14:textId="77777777" w:rsidR="003A2E75" w:rsidRDefault="003A2E75" w:rsidP="008E5011">
      <w:pPr>
        <w:spacing w:after="0" w:line="240" w:lineRule="auto"/>
      </w:pPr>
      <w:r>
        <w:continuationSeparator/>
      </w:r>
    </w:p>
  </w:endnote>
  <w:endnote w:type="continuationNotice" w:id="1">
    <w:p w14:paraId="032A65EE" w14:textId="77777777" w:rsidR="003A2E75" w:rsidRDefault="003A2E7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Liberation Serif">
    <w:altName w:val="Times New Roman"/>
    <w:charset w:val="01"/>
    <w:family w:val="roman"/>
    <w:pitch w:val="variable"/>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C342E0" w14:textId="77777777" w:rsidR="003A2E75" w:rsidRPr="002A3917" w:rsidRDefault="003A2E75" w:rsidP="002A3917">
    <w:pPr>
      <w:pStyle w:val="Pidipagina"/>
      <w:jc w:val="center"/>
      <w:rPr>
        <w:color w:val="2E74B5"/>
      </w:rPr>
    </w:pPr>
    <w:r w:rsidRPr="002A3917">
      <w:rPr>
        <w:b/>
        <w:bCs/>
        <w:color w:val="2E74B5"/>
      </w:rPr>
      <w:t xml:space="preserve">Progetto </w:t>
    </w:r>
    <w:proofErr w:type="spellStart"/>
    <w:r w:rsidRPr="002A3917">
      <w:rPr>
        <w:b/>
        <w:bCs/>
        <w:color w:val="2E74B5"/>
      </w:rPr>
      <w:t>PayFlowPA</w:t>
    </w:r>
    <w:proofErr w:type="spellEnd"/>
    <w:r w:rsidRPr="002A3917">
      <w:rPr>
        <w:b/>
        <w:bCs/>
        <w:color w:val="2E74B5"/>
      </w:rPr>
      <w:t xml:space="preserve"> – CUP J91J18000010006 – PON GOV Avviso OCPA 2020</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AD4F4D" w14:textId="77777777" w:rsidR="003A2E75" w:rsidRDefault="003A2E75" w:rsidP="008E5011">
      <w:pPr>
        <w:spacing w:after="0" w:line="240" w:lineRule="auto"/>
      </w:pPr>
      <w:r>
        <w:separator/>
      </w:r>
    </w:p>
  </w:footnote>
  <w:footnote w:type="continuationSeparator" w:id="0">
    <w:p w14:paraId="7386A891" w14:textId="77777777" w:rsidR="003A2E75" w:rsidRDefault="003A2E75" w:rsidP="008E5011">
      <w:pPr>
        <w:spacing w:after="0" w:line="240" w:lineRule="auto"/>
      </w:pPr>
      <w:r>
        <w:continuationSeparator/>
      </w:r>
    </w:p>
  </w:footnote>
  <w:footnote w:type="continuationNotice" w:id="1">
    <w:p w14:paraId="1116925C" w14:textId="77777777" w:rsidR="003A2E75" w:rsidRDefault="003A2E7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BD79E" w14:textId="77777777" w:rsidR="003A2E75" w:rsidRDefault="003A2E75" w:rsidP="007E2F82">
    <w:pPr>
      <w:pStyle w:val="Intestazione"/>
    </w:pPr>
    <w:r>
      <w:rPr>
        <w:noProof/>
        <w:lang w:eastAsia="it-IT"/>
      </w:rPr>
      <w:drawing>
        <wp:inline distT="0" distB="0" distL="0" distR="0" wp14:anchorId="64B424A8" wp14:editId="6DEF3910">
          <wp:extent cx="1562100" cy="409575"/>
          <wp:effectExtent l="0" t="0" r="0" b="0"/>
          <wp:docPr id="1"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2100" cy="409575"/>
                  </a:xfrm>
                  <a:prstGeom prst="rect">
                    <a:avLst/>
                  </a:prstGeom>
                  <a:noFill/>
                  <a:ln>
                    <a:noFill/>
                  </a:ln>
                </pic:spPr>
              </pic:pic>
            </a:graphicData>
          </a:graphic>
        </wp:inline>
      </w:drawing>
    </w:r>
    <w:r>
      <w:rPr>
        <w:noProof/>
        <w:lang w:eastAsia="it-IT"/>
      </w:rPr>
      <w:drawing>
        <wp:inline distT="0" distB="0" distL="0" distR="0" wp14:anchorId="0D6D1A92" wp14:editId="2DA0FAFA">
          <wp:extent cx="1743075" cy="457200"/>
          <wp:effectExtent l="0" t="0" r="0" b="0"/>
          <wp:docPr id="2"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43075" cy="457200"/>
                  </a:xfrm>
                  <a:prstGeom prst="rect">
                    <a:avLst/>
                  </a:prstGeom>
                  <a:noFill/>
                  <a:ln>
                    <a:noFill/>
                  </a:ln>
                </pic:spPr>
              </pic:pic>
            </a:graphicData>
          </a:graphic>
        </wp:inline>
      </w:drawing>
    </w:r>
    <w:r>
      <w:rPr>
        <w:noProof/>
        <w:lang w:eastAsia="it-IT"/>
      </w:rPr>
      <w:drawing>
        <wp:inline distT="0" distB="0" distL="0" distR="0" wp14:anchorId="13C91B8B" wp14:editId="25326B5B">
          <wp:extent cx="1476375" cy="390525"/>
          <wp:effectExtent l="0" t="0" r="0" b="9525"/>
          <wp:docPr id="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76375" cy="390525"/>
                  </a:xfrm>
                  <a:prstGeom prst="rect">
                    <a:avLst/>
                  </a:prstGeom>
                  <a:noFill/>
                  <a:ln>
                    <a:noFill/>
                  </a:ln>
                </pic:spPr>
              </pic:pic>
            </a:graphicData>
          </a:graphic>
        </wp:inline>
      </w:drawing>
    </w:r>
    <w:r>
      <w:rPr>
        <w:noProof/>
        <w:lang w:eastAsia="it-IT"/>
      </w:rPr>
      <w:drawing>
        <wp:inline distT="0" distB="0" distL="0" distR="0" wp14:anchorId="1A4D3CF4" wp14:editId="20282DA4">
          <wp:extent cx="6267450" cy="6267450"/>
          <wp:effectExtent l="0" t="0" r="0" b="0"/>
          <wp:docPr id="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267450" cy="6267450"/>
                  </a:xfrm>
                  <a:prstGeom prst="rect">
                    <a:avLst/>
                  </a:prstGeom>
                  <a:noFill/>
                  <a:ln>
                    <a:noFill/>
                  </a:ln>
                </pic:spPr>
              </pic:pic>
            </a:graphicData>
          </a:graphic>
        </wp:inline>
      </w:drawing>
    </w:r>
  </w:p>
  <w:p w14:paraId="375BB82F" w14:textId="77777777" w:rsidR="003A2E75" w:rsidRDefault="003A2E75" w:rsidP="007E2F82">
    <w:pPr>
      <w:pStyle w:val="Intestazione"/>
    </w:pPr>
  </w:p>
  <w:p w14:paraId="54B5ADED" w14:textId="77777777" w:rsidR="003A2E75" w:rsidRDefault="003A2E75" w:rsidP="007E2F82">
    <w:pPr>
      <w:pStyle w:val="Intestazione"/>
    </w:pPr>
    <w:r>
      <w:rPr>
        <w:noProof/>
        <w:lang w:eastAsia="it-IT"/>
      </w:rPr>
      <w:drawing>
        <wp:inline distT="0" distB="0" distL="0" distR="0" wp14:anchorId="406BAD9E" wp14:editId="7DF05359">
          <wp:extent cx="6115050" cy="5762625"/>
          <wp:effectExtent l="0" t="0" r="0" b="9525"/>
          <wp:docPr id="5"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p>
  <w:p w14:paraId="58DE488B" w14:textId="77777777" w:rsidR="003A2E75" w:rsidRDefault="003A2E75" w:rsidP="007E2F82">
    <w:pPr>
      <w:pStyle w:val="Intestazione"/>
    </w:pPr>
    <w:r>
      <w:rPr>
        <w:noProof/>
        <w:lang w:eastAsia="it-IT"/>
      </w:rPr>
      <w:drawing>
        <wp:inline distT="0" distB="0" distL="0" distR="0" wp14:anchorId="07BA6C14" wp14:editId="15D100BA">
          <wp:extent cx="6115050" cy="5762625"/>
          <wp:effectExtent l="0" t="0" r="0" b="9525"/>
          <wp:docPr id="6"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p>
  <w:p w14:paraId="6291E877" w14:textId="77777777" w:rsidR="003A2E75" w:rsidRDefault="003A2E75" w:rsidP="007E2F82">
    <w:pPr>
      <w:pStyle w:val="Intestazione"/>
    </w:pPr>
  </w:p>
  <w:p w14:paraId="1290139F" w14:textId="77777777" w:rsidR="003A2E75" w:rsidRDefault="003A2E75" w:rsidP="007E2F82">
    <w:pPr>
      <w:pStyle w:val="Intestazione"/>
    </w:pPr>
  </w:p>
  <w:p w14:paraId="3C4D6DF0" w14:textId="77777777" w:rsidR="003A2E75" w:rsidRDefault="003A2E75" w:rsidP="007E2F82">
    <w:pPr>
      <w:pStyle w:val="Intestazione"/>
    </w:pPr>
    <w:r>
      <w:rPr>
        <w:noProof/>
        <w:lang w:eastAsia="it-IT"/>
      </w:rPr>
      <w:drawing>
        <wp:inline distT="0" distB="0" distL="0" distR="0" wp14:anchorId="0E15A1A9" wp14:editId="6EE78BCF">
          <wp:extent cx="6115050" cy="5762625"/>
          <wp:effectExtent l="0" t="0" r="0" b="9525"/>
          <wp:docPr id="7"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p>
  <w:p w14:paraId="017F6C5A" w14:textId="77777777" w:rsidR="003A2E75" w:rsidRDefault="003A2E75" w:rsidP="007E2F82">
    <w:pPr>
      <w:pStyle w:val="Intestazione"/>
    </w:pPr>
  </w:p>
  <w:p w14:paraId="106C7C35" w14:textId="77777777" w:rsidR="003A2E75" w:rsidRDefault="003A2E75" w:rsidP="007E2F82">
    <w:pPr>
      <w:pStyle w:val="Intestazione"/>
    </w:pPr>
  </w:p>
  <w:p w14:paraId="2CE5C9FC" w14:textId="77777777" w:rsidR="003A2E75" w:rsidRDefault="003A2E75" w:rsidP="007E2F82">
    <w:pPr>
      <w:pStyle w:val="Intestazione"/>
    </w:pPr>
  </w:p>
  <w:p w14:paraId="06828787" w14:textId="77777777" w:rsidR="003A2E75" w:rsidRDefault="003A2E75" w:rsidP="007E2F82">
    <w:pPr>
      <w:pStyle w:val="Intestazione"/>
    </w:pPr>
  </w:p>
  <w:p w14:paraId="58960000" w14:textId="77777777" w:rsidR="003A2E75" w:rsidRDefault="003A2E75" w:rsidP="007E2F82">
    <w:pPr>
      <w:pStyle w:val="Intestazione"/>
    </w:pPr>
  </w:p>
  <w:p w14:paraId="0D8AD9CE" w14:textId="77777777" w:rsidR="003A2E75" w:rsidRDefault="003A2E75" w:rsidP="007E2F82">
    <w:pPr>
      <w:pStyle w:val="Intestazione"/>
    </w:pPr>
  </w:p>
  <w:p w14:paraId="22D26EE2" w14:textId="77777777" w:rsidR="003A2E75" w:rsidRDefault="003A2E75" w:rsidP="007E2F82">
    <w:pPr>
      <w:pStyle w:val="Intestazione"/>
    </w:pPr>
  </w:p>
  <w:p w14:paraId="7DF48CAB" w14:textId="77777777" w:rsidR="003A2E75" w:rsidRDefault="003A2E75" w:rsidP="007E2F82">
    <w:pPr>
      <w:pStyle w:val="Intestazione"/>
    </w:pPr>
  </w:p>
  <w:p w14:paraId="29C581A5" w14:textId="77777777" w:rsidR="003A2E75" w:rsidRDefault="003A2E75" w:rsidP="007E2F82">
    <w:pPr>
      <w:pStyle w:val="Intestazione"/>
    </w:pPr>
  </w:p>
  <w:p w14:paraId="190B64CB" w14:textId="77777777" w:rsidR="003A2E75" w:rsidRDefault="003A2E75" w:rsidP="007E2F82">
    <w:pPr>
      <w:pStyle w:val="Intestazione"/>
    </w:pPr>
  </w:p>
  <w:p w14:paraId="65268F05" w14:textId="77777777" w:rsidR="003A2E75" w:rsidRDefault="003A2E75" w:rsidP="007E2F82">
    <w:pPr>
      <w:pStyle w:val="Intestazione"/>
    </w:pPr>
  </w:p>
  <w:p w14:paraId="13499367" w14:textId="77777777" w:rsidR="003A2E75" w:rsidRDefault="003A2E75" w:rsidP="007E2F82">
    <w:pPr>
      <w:pStyle w:val="Intestazione"/>
    </w:pPr>
  </w:p>
  <w:p w14:paraId="08A88F11" w14:textId="77777777" w:rsidR="003A2E75" w:rsidRDefault="003A2E75" w:rsidP="007E2F82">
    <w:pPr>
      <w:pStyle w:val="Intestazione"/>
    </w:pPr>
  </w:p>
  <w:p w14:paraId="45853EF1" w14:textId="77777777" w:rsidR="003A2E75" w:rsidRDefault="003A2E75" w:rsidP="007E2F82">
    <w:pPr>
      <w:pStyle w:val="Intestazione"/>
    </w:pPr>
  </w:p>
  <w:p w14:paraId="23CC6D22" w14:textId="77777777" w:rsidR="003A2E75" w:rsidRDefault="003A2E75" w:rsidP="007E2F82">
    <w:pPr>
      <w:pStyle w:val="Intestazione"/>
    </w:pPr>
  </w:p>
  <w:p w14:paraId="74837310" w14:textId="77777777" w:rsidR="003A2E75" w:rsidRDefault="003A2E75" w:rsidP="007E2F82">
    <w:pPr>
      <w:pStyle w:val="Intestazione"/>
    </w:pPr>
  </w:p>
  <w:p w14:paraId="71E2121D" w14:textId="77777777" w:rsidR="003A2E75" w:rsidRDefault="003A2E75" w:rsidP="007E2F82">
    <w:pPr>
      <w:pStyle w:val="Intestazione"/>
    </w:pPr>
  </w:p>
  <w:p w14:paraId="08DDD28F" w14:textId="77777777" w:rsidR="003A2E75" w:rsidRDefault="003A2E75" w:rsidP="007E2F82">
    <w:pPr>
      <w:pStyle w:val="Intestazione"/>
    </w:pPr>
  </w:p>
  <w:p w14:paraId="40E35A57" w14:textId="77777777" w:rsidR="003A2E75" w:rsidRDefault="003A2E75" w:rsidP="007E2F82">
    <w:pPr>
      <w:pStyle w:val="Intestazione"/>
    </w:pPr>
  </w:p>
  <w:p w14:paraId="6D0DA3C1" w14:textId="77777777" w:rsidR="003A2E75" w:rsidRDefault="003A2E75" w:rsidP="007E2F82">
    <w:pPr>
      <w:pStyle w:val="Intestazione"/>
    </w:pPr>
  </w:p>
  <w:p w14:paraId="3F500F63" w14:textId="77777777" w:rsidR="003A2E75" w:rsidRDefault="003A2E75" w:rsidP="007E2F82">
    <w:pPr>
      <w:pStyle w:val="Intestazione"/>
    </w:pPr>
  </w:p>
  <w:p w14:paraId="7D6B0E92" w14:textId="77777777" w:rsidR="003A2E75" w:rsidRDefault="003A2E75" w:rsidP="007E2F82">
    <w:pPr>
      <w:pStyle w:val="Intestazione"/>
    </w:pPr>
  </w:p>
  <w:p w14:paraId="0F1AED6E" w14:textId="77777777" w:rsidR="003A2E75" w:rsidRPr="007E2F82" w:rsidRDefault="003A2E75" w:rsidP="007E2F82">
    <w:pPr>
      <w:pStyle w:val="Intestazione"/>
    </w:pPr>
    <w:r>
      <w:rPr>
        <w:noProof/>
        <w:lang w:eastAsia="it-IT"/>
      </w:rPr>
      <w:drawing>
        <wp:inline distT="0" distB="0" distL="0" distR="0" wp14:anchorId="43EB85FA" wp14:editId="3D7F9260">
          <wp:extent cx="6115050" cy="5762625"/>
          <wp:effectExtent l="0" t="0" r="0" b="9525"/>
          <wp:docPr id="8"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r>
      <w:rPr>
        <w:noProof/>
        <w:lang w:eastAsia="it-IT"/>
      </w:rPr>
      <w:drawing>
        <wp:inline distT="0" distB="0" distL="0" distR="0" wp14:anchorId="621F3C72" wp14:editId="635EDDDE">
          <wp:extent cx="6591300" cy="6219825"/>
          <wp:effectExtent l="0" t="0" r="0" b="9525"/>
          <wp:docPr id="9" name="Immagin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16"/>
                  <pic:cNvPicPr>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91300" cy="6219825"/>
                  </a:xfrm>
                  <a:prstGeom prst="rect">
                    <a:avLst/>
                  </a:prstGeom>
                  <a:noFill/>
                  <a:ln>
                    <a:noFill/>
                  </a:ln>
                </pic:spPr>
              </pic:pic>
            </a:graphicData>
          </a:graphic>
        </wp:inline>
      </w:drawing>
    </w:r>
    <w:r>
      <w:rPr>
        <w:noProof/>
        <w:lang w:eastAsia="it-IT"/>
      </w:rPr>
      <w:drawing>
        <wp:inline distT="0" distB="0" distL="0" distR="0" wp14:anchorId="49728289" wp14:editId="4906A965">
          <wp:extent cx="6115050" cy="5762625"/>
          <wp:effectExtent l="0" t="0" r="0" b="9525"/>
          <wp:docPr id="10"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r>
      <w:rPr>
        <w:noProof/>
        <w:lang w:eastAsia="it-IT"/>
      </w:rPr>
      <w:drawing>
        <wp:inline distT="0" distB="0" distL="0" distR="0" wp14:anchorId="1F9D698D" wp14:editId="74E7023D">
          <wp:extent cx="6115050" cy="5762625"/>
          <wp:effectExtent l="0" t="0" r="0" b="9525"/>
          <wp:docPr id="11"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3F21BC"/>
    <w:multiLevelType w:val="multilevel"/>
    <w:tmpl w:val="6A70C32A"/>
    <w:styleLink w:val="Stile1"/>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3.%2.%1"/>
      <w:lvlJc w:val="left"/>
      <w:pPr>
        <w:ind w:left="1080" w:hanging="360"/>
      </w:pPr>
      <w:rPr>
        <w:rFonts w:hint="default"/>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2FA15E78"/>
    <w:multiLevelType w:val="multilevel"/>
    <w:tmpl w:val="7D7A12F4"/>
    <w:lvl w:ilvl="0">
      <w:start w:val="1"/>
      <w:numFmt w:val="decimal"/>
      <w:lvlText w:val="%1."/>
      <w:lvlJc w:val="left"/>
      <w:pPr>
        <w:tabs>
          <w:tab w:val="num" w:pos="360"/>
        </w:tabs>
        <w:ind w:left="360" w:hanging="360"/>
      </w:pPr>
      <w:rPr>
        <w:rFonts w:hint="default"/>
        <w:b/>
        <w:bCs/>
        <w:i w:val="0"/>
        <w:iCs w:val="0"/>
        <w:caps/>
        <w:strike w:val="0"/>
        <w:dstrike w:val="0"/>
        <w:vanish w:val="0"/>
        <w:color w:val="000080"/>
        <w:sz w:val="22"/>
        <w:szCs w:val="22"/>
        <w:u w:val="none"/>
        <w:vertAlign w:val="baseline"/>
      </w:rPr>
    </w:lvl>
    <w:lvl w:ilvl="1">
      <w:start w:val="1"/>
      <w:numFmt w:val="decimal"/>
      <w:lvlText w:val="%1.%2."/>
      <w:lvlJc w:val="left"/>
      <w:pPr>
        <w:tabs>
          <w:tab w:val="num" w:pos="726"/>
        </w:tabs>
        <w:ind w:left="726" w:hanging="432"/>
      </w:pPr>
      <w:rPr>
        <w:rFonts w:hint="default"/>
        <w:b/>
        <w:bCs/>
        <w:i w:val="0"/>
        <w:iCs w:val="0"/>
        <w:caps w:val="0"/>
        <w:strike w:val="0"/>
        <w:dstrike w:val="0"/>
        <w:vanish w:val="0"/>
        <w:color w:val="000080"/>
        <w:sz w:val="22"/>
        <w:szCs w:val="22"/>
        <w:vertAlign w:val="baseline"/>
      </w:rPr>
    </w:lvl>
    <w:lvl w:ilvl="2">
      <w:start w:val="1"/>
      <w:numFmt w:val="decimal"/>
      <w:pStyle w:val="Stile3"/>
      <w:lvlText w:val="%1.%2.%3."/>
      <w:lvlJc w:val="left"/>
      <w:pPr>
        <w:tabs>
          <w:tab w:val="num" w:pos="1374"/>
        </w:tabs>
        <w:ind w:left="1158" w:hanging="504"/>
      </w:pPr>
      <w:rPr>
        <w:rFonts w:hint="default"/>
        <w:b/>
        <w:bCs/>
        <w:i w:val="0"/>
        <w:iCs w:val="0"/>
        <w:color w:val="000080"/>
        <w:sz w:val="24"/>
        <w:szCs w:val="24"/>
      </w:rPr>
    </w:lvl>
    <w:lvl w:ilvl="3">
      <w:start w:val="1"/>
      <w:numFmt w:val="decimal"/>
      <w:lvlText w:val="%1.%2.%3.%4."/>
      <w:lvlJc w:val="left"/>
      <w:pPr>
        <w:tabs>
          <w:tab w:val="num" w:pos="2094"/>
        </w:tabs>
        <w:ind w:left="1662" w:hanging="648"/>
      </w:pPr>
      <w:rPr>
        <w:rFonts w:hint="default"/>
      </w:rPr>
    </w:lvl>
    <w:lvl w:ilvl="4">
      <w:start w:val="1"/>
      <w:numFmt w:val="decimal"/>
      <w:lvlText w:val="%1.%2.%3.%4.%5."/>
      <w:lvlJc w:val="left"/>
      <w:pPr>
        <w:tabs>
          <w:tab w:val="num" w:pos="2454"/>
        </w:tabs>
        <w:ind w:left="2166" w:hanging="792"/>
      </w:pPr>
      <w:rPr>
        <w:rFonts w:hint="default"/>
      </w:rPr>
    </w:lvl>
    <w:lvl w:ilvl="5">
      <w:start w:val="1"/>
      <w:numFmt w:val="decimal"/>
      <w:lvlText w:val="%1.%2.%3.%4.%5.%6."/>
      <w:lvlJc w:val="left"/>
      <w:pPr>
        <w:tabs>
          <w:tab w:val="num" w:pos="3174"/>
        </w:tabs>
        <w:ind w:left="2670" w:hanging="936"/>
      </w:pPr>
      <w:rPr>
        <w:rFonts w:hint="default"/>
      </w:rPr>
    </w:lvl>
    <w:lvl w:ilvl="6">
      <w:start w:val="1"/>
      <w:numFmt w:val="decimal"/>
      <w:lvlText w:val="%1.%2.%3.%4.%5.%6.%7."/>
      <w:lvlJc w:val="left"/>
      <w:pPr>
        <w:tabs>
          <w:tab w:val="num" w:pos="3534"/>
        </w:tabs>
        <w:ind w:left="3174" w:hanging="1080"/>
      </w:pPr>
      <w:rPr>
        <w:rFonts w:hint="default"/>
      </w:rPr>
    </w:lvl>
    <w:lvl w:ilvl="7">
      <w:start w:val="1"/>
      <w:numFmt w:val="decimal"/>
      <w:lvlText w:val="%1.%2.%3.%4.%5.%6.%7.%8."/>
      <w:lvlJc w:val="left"/>
      <w:pPr>
        <w:tabs>
          <w:tab w:val="num" w:pos="4254"/>
        </w:tabs>
        <w:ind w:left="3678" w:hanging="1224"/>
      </w:pPr>
      <w:rPr>
        <w:rFonts w:hint="default"/>
      </w:rPr>
    </w:lvl>
    <w:lvl w:ilvl="8">
      <w:start w:val="1"/>
      <w:numFmt w:val="decimal"/>
      <w:lvlText w:val="%1.%2.%3.%4.%5.%6.%7.%8.%9."/>
      <w:lvlJc w:val="left"/>
      <w:pPr>
        <w:tabs>
          <w:tab w:val="num" w:pos="4974"/>
        </w:tabs>
        <w:ind w:left="4254" w:hanging="1440"/>
      </w:pPr>
      <w:rPr>
        <w:rFonts w:hint="default"/>
      </w:rPr>
    </w:lvl>
  </w:abstractNum>
  <w:abstractNum w:abstractNumId="2" w15:restartNumberingAfterBreak="0">
    <w:nsid w:val="3B086114"/>
    <w:multiLevelType w:val="hybridMultilevel"/>
    <w:tmpl w:val="FA88C062"/>
    <w:lvl w:ilvl="0" w:tplc="1CC89D3A">
      <w:start w:val="1"/>
      <w:numFmt w:val="bullet"/>
      <w:pStyle w:val="PuntoElenco"/>
      <w:lvlText w:val=""/>
      <w:lvlJc w:val="left"/>
      <w:pPr>
        <w:ind w:left="720" w:hanging="360"/>
      </w:pPr>
      <w:rPr>
        <w:rFonts w:ascii="Wingdings" w:hAnsi="Wingdings" w:cs="Wingdings" w:hint="default"/>
        <w:color w:val="auto"/>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cs="Wingdings" w:hint="default"/>
      </w:rPr>
    </w:lvl>
    <w:lvl w:ilvl="3" w:tplc="04100001">
      <w:start w:val="1"/>
      <w:numFmt w:val="bullet"/>
      <w:lvlText w:val=""/>
      <w:lvlJc w:val="left"/>
      <w:pPr>
        <w:ind w:left="2880" w:hanging="360"/>
      </w:pPr>
      <w:rPr>
        <w:rFonts w:ascii="Symbol" w:hAnsi="Symbol" w:cs="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cs="Wingdings" w:hint="default"/>
      </w:rPr>
    </w:lvl>
    <w:lvl w:ilvl="6" w:tplc="04100001">
      <w:start w:val="1"/>
      <w:numFmt w:val="bullet"/>
      <w:lvlText w:val=""/>
      <w:lvlJc w:val="left"/>
      <w:pPr>
        <w:ind w:left="5040" w:hanging="360"/>
      </w:pPr>
      <w:rPr>
        <w:rFonts w:ascii="Symbol" w:hAnsi="Symbol" w:cs="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cs="Wingdings" w:hint="default"/>
      </w:rPr>
    </w:lvl>
  </w:abstractNum>
  <w:abstractNum w:abstractNumId="3" w15:restartNumberingAfterBreak="0">
    <w:nsid w:val="46723869"/>
    <w:multiLevelType w:val="multilevel"/>
    <w:tmpl w:val="F4D8B800"/>
    <w:lvl w:ilvl="0">
      <w:start w:val="1"/>
      <w:numFmt w:val="decimal"/>
      <w:pStyle w:val="Titolo1"/>
      <w:lvlText w:val="%1"/>
      <w:lvlJc w:val="left"/>
      <w:pPr>
        <w:ind w:left="10354" w:hanging="432"/>
      </w:pPr>
    </w:lvl>
    <w:lvl w:ilvl="1">
      <w:start w:val="1"/>
      <w:numFmt w:val="decimal"/>
      <w:lvlText w:val="%1.%2"/>
      <w:lvlJc w:val="left"/>
      <w:pPr>
        <w:ind w:left="1143" w:hanging="576"/>
      </w:pPr>
    </w:lvl>
    <w:lvl w:ilvl="2">
      <w:start w:val="1"/>
      <w:numFmt w:val="decimal"/>
      <w:pStyle w:val="Titolo3"/>
      <w:lvlText w:val="%1.%2.%3"/>
      <w:lvlJc w:val="left"/>
      <w:pPr>
        <w:ind w:left="720" w:hanging="720"/>
      </w:pPr>
    </w:lvl>
    <w:lvl w:ilvl="3">
      <w:start w:val="1"/>
      <w:numFmt w:val="decimal"/>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4" w15:restartNumberingAfterBreak="0">
    <w:nsid w:val="4B7E761F"/>
    <w:multiLevelType w:val="hybridMultilevel"/>
    <w:tmpl w:val="38BA7FCA"/>
    <w:lvl w:ilvl="0" w:tplc="C7DA809C">
      <w:start w:val="1"/>
      <w:numFmt w:val="bullet"/>
      <w:pStyle w:val="puntoelenco-1liv2"/>
      <w:lvlText w:val=""/>
      <w:lvlJc w:val="left"/>
      <w:pPr>
        <w:ind w:left="720" w:hanging="360"/>
      </w:pPr>
      <w:rPr>
        <w:rFonts w:ascii="Symbol" w:hAnsi="Symbol" w:cs="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cs="Wingdings" w:hint="default"/>
      </w:rPr>
    </w:lvl>
    <w:lvl w:ilvl="3" w:tplc="04100001">
      <w:start w:val="1"/>
      <w:numFmt w:val="bullet"/>
      <w:lvlText w:val=""/>
      <w:lvlJc w:val="left"/>
      <w:pPr>
        <w:ind w:left="2880" w:hanging="360"/>
      </w:pPr>
      <w:rPr>
        <w:rFonts w:ascii="Symbol" w:hAnsi="Symbol" w:cs="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cs="Wingdings" w:hint="default"/>
      </w:rPr>
    </w:lvl>
    <w:lvl w:ilvl="6" w:tplc="04100001">
      <w:start w:val="1"/>
      <w:numFmt w:val="bullet"/>
      <w:lvlText w:val=""/>
      <w:lvlJc w:val="left"/>
      <w:pPr>
        <w:ind w:left="5040" w:hanging="360"/>
      </w:pPr>
      <w:rPr>
        <w:rFonts w:ascii="Symbol" w:hAnsi="Symbol" w:cs="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cs="Wingdings" w:hint="default"/>
      </w:rPr>
    </w:lvl>
  </w:abstractNum>
  <w:abstractNum w:abstractNumId="5" w15:restartNumberingAfterBreak="0">
    <w:nsid w:val="57477E00"/>
    <w:multiLevelType w:val="hybridMultilevel"/>
    <w:tmpl w:val="42367166"/>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B494AB7"/>
    <w:multiLevelType w:val="multilevel"/>
    <w:tmpl w:val="4D96F068"/>
    <w:lvl w:ilvl="0">
      <w:start w:val="1"/>
      <w:numFmt w:val="decimal"/>
      <w:pStyle w:val="MIHeading1"/>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5F6C7427"/>
    <w:multiLevelType w:val="hybridMultilevel"/>
    <w:tmpl w:val="22800DDC"/>
    <w:lvl w:ilvl="0" w:tplc="04100001">
      <w:start w:val="1"/>
      <w:numFmt w:val="bullet"/>
      <w:lvlText w:val=""/>
      <w:lvlJc w:val="left"/>
      <w:pPr>
        <w:ind w:left="720" w:hanging="360"/>
      </w:pPr>
      <w:rPr>
        <w:rFonts w:ascii="Symbol" w:hAnsi="Symbol" w:cs="Symbol" w:hint="default"/>
      </w:rPr>
    </w:lvl>
    <w:lvl w:ilvl="1" w:tplc="F45AE3FC">
      <w:start w:val="1"/>
      <w:numFmt w:val="bullet"/>
      <w:pStyle w:val="puntoelenco-2liv"/>
      <w:lvlText w:val=""/>
      <w:lvlJc w:val="left"/>
      <w:pPr>
        <w:ind w:left="1440" w:hanging="360"/>
      </w:pPr>
      <w:rPr>
        <w:rFonts w:ascii="Wingdings" w:hAnsi="Wingdings" w:cs="Wingdings" w:hint="default"/>
        <w:color w:val="7F7F7F"/>
        <w:sz w:val="18"/>
        <w:szCs w:val="18"/>
      </w:rPr>
    </w:lvl>
    <w:lvl w:ilvl="2" w:tplc="04100005">
      <w:start w:val="1"/>
      <w:numFmt w:val="bullet"/>
      <w:lvlText w:val=""/>
      <w:lvlJc w:val="left"/>
      <w:pPr>
        <w:ind w:left="2160" w:hanging="360"/>
      </w:pPr>
      <w:rPr>
        <w:rFonts w:ascii="Wingdings" w:hAnsi="Wingdings" w:cs="Wingdings" w:hint="default"/>
      </w:rPr>
    </w:lvl>
    <w:lvl w:ilvl="3" w:tplc="04100001">
      <w:start w:val="1"/>
      <w:numFmt w:val="bullet"/>
      <w:lvlText w:val=""/>
      <w:lvlJc w:val="left"/>
      <w:pPr>
        <w:ind w:left="2880" w:hanging="360"/>
      </w:pPr>
      <w:rPr>
        <w:rFonts w:ascii="Symbol" w:hAnsi="Symbol" w:cs="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cs="Wingdings" w:hint="default"/>
      </w:rPr>
    </w:lvl>
    <w:lvl w:ilvl="6" w:tplc="04100001">
      <w:start w:val="1"/>
      <w:numFmt w:val="bullet"/>
      <w:lvlText w:val=""/>
      <w:lvlJc w:val="left"/>
      <w:pPr>
        <w:ind w:left="5040" w:hanging="360"/>
      </w:pPr>
      <w:rPr>
        <w:rFonts w:ascii="Symbol" w:hAnsi="Symbol" w:cs="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cs="Wingdings" w:hint="default"/>
      </w:rPr>
    </w:lvl>
  </w:abstractNum>
  <w:abstractNum w:abstractNumId="8" w15:restartNumberingAfterBreak="0">
    <w:nsid w:val="79E47C1A"/>
    <w:multiLevelType w:val="hybridMultilevel"/>
    <w:tmpl w:val="89E232D8"/>
    <w:lvl w:ilvl="0" w:tplc="F5E048DA">
      <w:start w:val="1"/>
      <w:numFmt w:val="bullet"/>
      <w:pStyle w:val="puntoelenco-1liv"/>
      <w:lvlText w:val=""/>
      <w:lvlJc w:val="left"/>
      <w:pPr>
        <w:ind w:left="720" w:hanging="360"/>
      </w:pPr>
      <w:rPr>
        <w:rFonts w:ascii="Wingdings" w:hAnsi="Wingdings" w:cs="Wingdings" w:hint="default"/>
        <w:color w:val="5B9BD5"/>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cs="Wingdings" w:hint="default"/>
      </w:rPr>
    </w:lvl>
    <w:lvl w:ilvl="3" w:tplc="04100001">
      <w:start w:val="1"/>
      <w:numFmt w:val="bullet"/>
      <w:lvlText w:val=""/>
      <w:lvlJc w:val="left"/>
      <w:pPr>
        <w:ind w:left="2880" w:hanging="360"/>
      </w:pPr>
      <w:rPr>
        <w:rFonts w:ascii="Symbol" w:hAnsi="Symbol" w:cs="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cs="Wingdings" w:hint="default"/>
      </w:rPr>
    </w:lvl>
    <w:lvl w:ilvl="6" w:tplc="04100001">
      <w:start w:val="1"/>
      <w:numFmt w:val="bullet"/>
      <w:lvlText w:val=""/>
      <w:lvlJc w:val="left"/>
      <w:pPr>
        <w:ind w:left="5040" w:hanging="360"/>
      </w:pPr>
      <w:rPr>
        <w:rFonts w:ascii="Symbol" w:hAnsi="Symbol" w:cs="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cs="Wingdings" w:hint="default"/>
      </w:rPr>
    </w:lvl>
  </w:abstractNum>
  <w:num w:numId="1">
    <w:abstractNumId w:val="1"/>
  </w:num>
  <w:num w:numId="2">
    <w:abstractNumId w:val="0"/>
  </w:num>
  <w:num w:numId="3">
    <w:abstractNumId w:val="3"/>
  </w:num>
  <w:num w:numId="4">
    <w:abstractNumId w:val="8"/>
  </w:num>
  <w:num w:numId="5">
    <w:abstractNumId w:val="7"/>
  </w:num>
  <w:num w:numId="6">
    <w:abstractNumId w:val="2"/>
  </w:num>
  <w:num w:numId="7">
    <w:abstractNumId w:val="4"/>
  </w:num>
  <w:num w:numId="8">
    <w:abstractNumId w:val="6"/>
  </w:num>
  <w:num w:numId="9">
    <w:abstractNumId w:val="5"/>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0"/>
  <w:proofState w:spelling="clean" w:grammar="clean"/>
  <w:defaultTabStop w:val="709"/>
  <w:hyphenationZone w:val="283"/>
  <w:doNotHyphenateCaps/>
  <w:characterSpacingControl w:val="doNotCompress"/>
  <w:doNotValidateAgainstSchema/>
  <w:doNotDemarcateInvalidXml/>
  <w:hdrShapeDefaults>
    <o:shapedefaults v:ext="edit" spidmax="3276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625E"/>
    <w:rsid w:val="00001354"/>
    <w:rsid w:val="00001FC3"/>
    <w:rsid w:val="000025E1"/>
    <w:rsid w:val="000060B6"/>
    <w:rsid w:val="00012660"/>
    <w:rsid w:val="00013323"/>
    <w:rsid w:val="00016270"/>
    <w:rsid w:val="00020B0C"/>
    <w:rsid w:val="00023807"/>
    <w:rsid w:val="0002417B"/>
    <w:rsid w:val="0002461E"/>
    <w:rsid w:val="00025039"/>
    <w:rsid w:val="000253AA"/>
    <w:rsid w:val="0002604A"/>
    <w:rsid w:val="00027E0E"/>
    <w:rsid w:val="00032C29"/>
    <w:rsid w:val="00033EEF"/>
    <w:rsid w:val="00033EFB"/>
    <w:rsid w:val="0004012E"/>
    <w:rsid w:val="00043C59"/>
    <w:rsid w:val="0004526F"/>
    <w:rsid w:val="00050EB4"/>
    <w:rsid w:val="0005165F"/>
    <w:rsid w:val="000518B8"/>
    <w:rsid w:val="0005216E"/>
    <w:rsid w:val="00052B28"/>
    <w:rsid w:val="0005594A"/>
    <w:rsid w:val="00056588"/>
    <w:rsid w:val="00056E8B"/>
    <w:rsid w:val="0006231A"/>
    <w:rsid w:val="000643A2"/>
    <w:rsid w:val="00065141"/>
    <w:rsid w:val="000651F8"/>
    <w:rsid w:val="000675DA"/>
    <w:rsid w:val="000711AE"/>
    <w:rsid w:val="00071578"/>
    <w:rsid w:val="00074E88"/>
    <w:rsid w:val="00076CB0"/>
    <w:rsid w:val="00080A23"/>
    <w:rsid w:val="00082900"/>
    <w:rsid w:val="00084D21"/>
    <w:rsid w:val="00085FB3"/>
    <w:rsid w:val="00086040"/>
    <w:rsid w:val="00087AE3"/>
    <w:rsid w:val="00090113"/>
    <w:rsid w:val="00090653"/>
    <w:rsid w:val="000918D0"/>
    <w:rsid w:val="000918DA"/>
    <w:rsid w:val="00091EF2"/>
    <w:rsid w:val="000926B9"/>
    <w:rsid w:val="000936DD"/>
    <w:rsid w:val="00093A0B"/>
    <w:rsid w:val="00093A88"/>
    <w:rsid w:val="000947CA"/>
    <w:rsid w:val="00094B60"/>
    <w:rsid w:val="00094F0E"/>
    <w:rsid w:val="00096D28"/>
    <w:rsid w:val="000A0916"/>
    <w:rsid w:val="000A2819"/>
    <w:rsid w:val="000A2FBA"/>
    <w:rsid w:val="000A5A52"/>
    <w:rsid w:val="000A6D4F"/>
    <w:rsid w:val="000A7F1C"/>
    <w:rsid w:val="000B20D7"/>
    <w:rsid w:val="000B3F89"/>
    <w:rsid w:val="000B4E6D"/>
    <w:rsid w:val="000B7FD3"/>
    <w:rsid w:val="000C0725"/>
    <w:rsid w:val="000C3973"/>
    <w:rsid w:val="000C5285"/>
    <w:rsid w:val="000C7728"/>
    <w:rsid w:val="000C7754"/>
    <w:rsid w:val="000D34F7"/>
    <w:rsid w:val="000D7321"/>
    <w:rsid w:val="000D7930"/>
    <w:rsid w:val="000D7B0F"/>
    <w:rsid w:val="000E0ACF"/>
    <w:rsid w:val="000E1578"/>
    <w:rsid w:val="000E160F"/>
    <w:rsid w:val="000E31CA"/>
    <w:rsid w:val="000E627A"/>
    <w:rsid w:val="000E6A77"/>
    <w:rsid w:val="000E6B1C"/>
    <w:rsid w:val="000E7C4C"/>
    <w:rsid w:val="000F1930"/>
    <w:rsid w:val="000F361C"/>
    <w:rsid w:val="000F44F3"/>
    <w:rsid w:val="000F519F"/>
    <w:rsid w:val="000F55FC"/>
    <w:rsid w:val="0010040C"/>
    <w:rsid w:val="0010055A"/>
    <w:rsid w:val="00100AC1"/>
    <w:rsid w:val="00101FF8"/>
    <w:rsid w:val="001020E9"/>
    <w:rsid w:val="00105C92"/>
    <w:rsid w:val="00111407"/>
    <w:rsid w:val="00112533"/>
    <w:rsid w:val="00112540"/>
    <w:rsid w:val="00112CAB"/>
    <w:rsid w:val="0011316A"/>
    <w:rsid w:val="00114177"/>
    <w:rsid w:val="00116266"/>
    <w:rsid w:val="00124F8F"/>
    <w:rsid w:val="0012515C"/>
    <w:rsid w:val="00125EF2"/>
    <w:rsid w:val="00127C27"/>
    <w:rsid w:val="00130389"/>
    <w:rsid w:val="0013192B"/>
    <w:rsid w:val="001327B5"/>
    <w:rsid w:val="00133B68"/>
    <w:rsid w:val="00134F64"/>
    <w:rsid w:val="00140367"/>
    <w:rsid w:val="00141613"/>
    <w:rsid w:val="00141E77"/>
    <w:rsid w:val="0014319F"/>
    <w:rsid w:val="001451BD"/>
    <w:rsid w:val="00145A94"/>
    <w:rsid w:val="001461F4"/>
    <w:rsid w:val="00147F9B"/>
    <w:rsid w:val="00150176"/>
    <w:rsid w:val="0015194A"/>
    <w:rsid w:val="00152586"/>
    <w:rsid w:val="00152D11"/>
    <w:rsid w:val="0015374E"/>
    <w:rsid w:val="00154A48"/>
    <w:rsid w:val="00155285"/>
    <w:rsid w:val="00155D3E"/>
    <w:rsid w:val="001561E9"/>
    <w:rsid w:val="00156F50"/>
    <w:rsid w:val="00157531"/>
    <w:rsid w:val="00160938"/>
    <w:rsid w:val="00160F1B"/>
    <w:rsid w:val="00162425"/>
    <w:rsid w:val="0016558E"/>
    <w:rsid w:val="001665F9"/>
    <w:rsid w:val="001669A9"/>
    <w:rsid w:val="001705AA"/>
    <w:rsid w:val="00170679"/>
    <w:rsid w:val="00170768"/>
    <w:rsid w:val="00170DB6"/>
    <w:rsid w:val="00171070"/>
    <w:rsid w:val="0017110F"/>
    <w:rsid w:val="00173581"/>
    <w:rsid w:val="001749EA"/>
    <w:rsid w:val="001768AB"/>
    <w:rsid w:val="001816BD"/>
    <w:rsid w:val="00181E9B"/>
    <w:rsid w:val="00183A1F"/>
    <w:rsid w:val="00185237"/>
    <w:rsid w:val="00185828"/>
    <w:rsid w:val="00187F3E"/>
    <w:rsid w:val="00191D4D"/>
    <w:rsid w:val="00192D5E"/>
    <w:rsid w:val="001938E7"/>
    <w:rsid w:val="00195A8E"/>
    <w:rsid w:val="001975AC"/>
    <w:rsid w:val="00197D27"/>
    <w:rsid w:val="00197FFB"/>
    <w:rsid w:val="001A36C6"/>
    <w:rsid w:val="001A3B59"/>
    <w:rsid w:val="001A6EC1"/>
    <w:rsid w:val="001A77EE"/>
    <w:rsid w:val="001A7850"/>
    <w:rsid w:val="001B203D"/>
    <w:rsid w:val="001B3DDD"/>
    <w:rsid w:val="001B524C"/>
    <w:rsid w:val="001B55FB"/>
    <w:rsid w:val="001B56CB"/>
    <w:rsid w:val="001B7CDA"/>
    <w:rsid w:val="001C022D"/>
    <w:rsid w:val="001C1949"/>
    <w:rsid w:val="001C1E12"/>
    <w:rsid w:val="001C36D4"/>
    <w:rsid w:val="001C6D03"/>
    <w:rsid w:val="001C6E24"/>
    <w:rsid w:val="001D06FC"/>
    <w:rsid w:val="001D0F8F"/>
    <w:rsid w:val="001D1629"/>
    <w:rsid w:val="001D21E3"/>
    <w:rsid w:val="001D258B"/>
    <w:rsid w:val="001D6ABF"/>
    <w:rsid w:val="001D7153"/>
    <w:rsid w:val="001E0516"/>
    <w:rsid w:val="001E0CCF"/>
    <w:rsid w:val="001E2333"/>
    <w:rsid w:val="001E495B"/>
    <w:rsid w:val="001E50FC"/>
    <w:rsid w:val="001E6EE5"/>
    <w:rsid w:val="001F4A3B"/>
    <w:rsid w:val="00204A5E"/>
    <w:rsid w:val="00204E71"/>
    <w:rsid w:val="0020573C"/>
    <w:rsid w:val="00207663"/>
    <w:rsid w:val="002125D5"/>
    <w:rsid w:val="002133C4"/>
    <w:rsid w:val="00214635"/>
    <w:rsid w:val="00215B11"/>
    <w:rsid w:val="00215BD8"/>
    <w:rsid w:val="00217707"/>
    <w:rsid w:val="00217A0C"/>
    <w:rsid w:val="002233F8"/>
    <w:rsid w:val="002243C8"/>
    <w:rsid w:val="00224CB7"/>
    <w:rsid w:val="00225179"/>
    <w:rsid w:val="0022548A"/>
    <w:rsid w:val="00226DA3"/>
    <w:rsid w:val="002308A2"/>
    <w:rsid w:val="00230BB8"/>
    <w:rsid w:val="00233AF8"/>
    <w:rsid w:val="002342F4"/>
    <w:rsid w:val="00234526"/>
    <w:rsid w:val="0023478F"/>
    <w:rsid w:val="002347D1"/>
    <w:rsid w:val="002400CC"/>
    <w:rsid w:val="00240D90"/>
    <w:rsid w:val="00240DA9"/>
    <w:rsid w:val="00244655"/>
    <w:rsid w:val="00244E7A"/>
    <w:rsid w:val="002458B4"/>
    <w:rsid w:val="00245F83"/>
    <w:rsid w:val="002474AE"/>
    <w:rsid w:val="0024779D"/>
    <w:rsid w:val="00251422"/>
    <w:rsid w:val="002515D4"/>
    <w:rsid w:val="00252593"/>
    <w:rsid w:val="00253B3E"/>
    <w:rsid w:val="0025463A"/>
    <w:rsid w:val="00256881"/>
    <w:rsid w:val="00260AEF"/>
    <w:rsid w:val="00261299"/>
    <w:rsid w:val="002620B8"/>
    <w:rsid w:val="002626D8"/>
    <w:rsid w:val="0026328F"/>
    <w:rsid w:val="00264ED8"/>
    <w:rsid w:val="00265C29"/>
    <w:rsid w:val="00270612"/>
    <w:rsid w:val="002721F1"/>
    <w:rsid w:val="00272BFC"/>
    <w:rsid w:val="00272C55"/>
    <w:rsid w:val="00272F7E"/>
    <w:rsid w:val="00272FFE"/>
    <w:rsid w:val="00273F21"/>
    <w:rsid w:val="00280279"/>
    <w:rsid w:val="00282390"/>
    <w:rsid w:val="00283479"/>
    <w:rsid w:val="00284075"/>
    <w:rsid w:val="00285FD5"/>
    <w:rsid w:val="00286296"/>
    <w:rsid w:val="00290E2B"/>
    <w:rsid w:val="00295505"/>
    <w:rsid w:val="002959F7"/>
    <w:rsid w:val="002965B8"/>
    <w:rsid w:val="002A0A34"/>
    <w:rsid w:val="002A3917"/>
    <w:rsid w:val="002A3D1B"/>
    <w:rsid w:val="002A4D7D"/>
    <w:rsid w:val="002A667D"/>
    <w:rsid w:val="002A6907"/>
    <w:rsid w:val="002A6C20"/>
    <w:rsid w:val="002A709E"/>
    <w:rsid w:val="002B547B"/>
    <w:rsid w:val="002C2CAB"/>
    <w:rsid w:val="002C35DD"/>
    <w:rsid w:val="002C37EF"/>
    <w:rsid w:val="002C45DC"/>
    <w:rsid w:val="002C792B"/>
    <w:rsid w:val="002D0B5A"/>
    <w:rsid w:val="002D2430"/>
    <w:rsid w:val="002D3CA2"/>
    <w:rsid w:val="002D57FD"/>
    <w:rsid w:val="002E0237"/>
    <w:rsid w:val="002E20D4"/>
    <w:rsid w:val="002E3346"/>
    <w:rsid w:val="002E4EA7"/>
    <w:rsid w:val="002E5565"/>
    <w:rsid w:val="002E58B4"/>
    <w:rsid w:val="002E5E86"/>
    <w:rsid w:val="002E71C6"/>
    <w:rsid w:val="002F0C5F"/>
    <w:rsid w:val="002F16E9"/>
    <w:rsid w:val="002F2F4A"/>
    <w:rsid w:val="002F4B79"/>
    <w:rsid w:val="002F4C4B"/>
    <w:rsid w:val="002F5457"/>
    <w:rsid w:val="002F6738"/>
    <w:rsid w:val="00300AB6"/>
    <w:rsid w:val="00300B24"/>
    <w:rsid w:val="00305E6C"/>
    <w:rsid w:val="003063B5"/>
    <w:rsid w:val="00312406"/>
    <w:rsid w:val="00315F90"/>
    <w:rsid w:val="00321052"/>
    <w:rsid w:val="00321712"/>
    <w:rsid w:val="0032171C"/>
    <w:rsid w:val="003247F6"/>
    <w:rsid w:val="0032497B"/>
    <w:rsid w:val="003258B8"/>
    <w:rsid w:val="003267CF"/>
    <w:rsid w:val="00330A15"/>
    <w:rsid w:val="00330A44"/>
    <w:rsid w:val="00331F8E"/>
    <w:rsid w:val="00332EC4"/>
    <w:rsid w:val="00333E32"/>
    <w:rsid w:val="003344FF"/>
    <w:rsid w:val="00335BBD"/>
    <w:rsid w:val="00336AB2"/>
    <w:rsid w:val="00336C89"/>
    <w:rsid w:val="0034210B"/>
    <w:rsid w:val="0034312A"/>
    <w:rsid w:val="00343311"/>
    <w:rsid w:val="003459B4"/>
    <w:rsid w:val="0034614C"/>
    <w:rsid w:val="0034762C"/>
    <w:rsid w:val="003504FE"/>
    <w:rsid w:val="00350B48"/>
    <w:rsid w:val="00351BFC"/>
    <w:rsid w:val="00352FBB"/>
    <w:rsid w:val="003533BC"/>
    <w:rsid w:val="0035367E"/>
    <w:rsid w:val="00354DB5"/>
    <w:rsid w:val="0035687C"/>
    <w:rsid w:val="00356ECC"/>
    <w:rsid w:val="003572C9"/>
    <w:rsid w:val="00357D42"/>
    <w:rsid w:val="00361E07"/>
    <w:rsid w:val="003635EE"/>
    <w:rsid w:val="003637E0"/>
    <w:rsid w:val="00363BC0"/>
    <w:rsid w:val="003653D4"/>
    <w:rsid w:val="00365D8E"/>
    <w:rsid w:val="00371865"/>
    <w:rsid w:val="00372FBC"/>
    <w:rsid w:val="00374494"/>
    <w:rsid w:val="003746A2"/>
    <w:rsid w:val="00374C1E"/>
    <w:rsid w:val="003755C5"/>
    <w:rsid w:val="00375BC6"/>
    <w:rsid w:val="00375F15"/>
    <w:rsid w:val="003761CA"/>
    <w:rsid w:val="003803BB"/>
    <w:rsid w:val="00381C4E"/>
    <w:rsid w:val="00382842"/>
    <w:rsid w:val="00382D76"/>
    <w:rsid w:val="0038661E"/>
    <w:rsid w:val="00387BBE"/>
    <w:rsid w:val="00391884"/>
    <w:rsid w:val="00392B7B"/>
    <w:rsid w:val="00393968"/>
    <w:rsid w:val="00393DC0"/>
    <w:rsid w:val="00394124"/>
    <w:rsid w:val="003941BE"/>
    <w:rsid w:val="0039443C"/>
    <w:rsid w:val="00395E36"/>
    <w:rsid w:val="00395F27"/>
    <w:rsid w:val="00397097"/>
    <w:rsid w:val="00397C24"/>
    <w:rsid w:val="00397C8C"/>
    <w:rsid w:val="003A1757"/>
    <w:rsid w:val="003A1C27"/>
    <w:rsid w:val="003A24D3"/>
    <w:rsid w:val="003A2B16"/>
    <w:rsid w:val="003A2D55"/>
    <w:rsid w:val="003A2E75"/>
    <w:rsid w:val="003A41E5"/>
    <w:rsid w:val="003A48E5"/>
    <w:rsid w:val="003A4EFD"/>
    <w:rsid w:val="003A6859"/>
    <w:rsid w:val="003A68BB"/>
    <w:rsid w:val="003B1621"/>
    <w:rsid w:val="003B17D7"/>
    <w:rsid w:val="003B25E4"/>
    <w:rsid w:val="003B6C2F"/>
    <w:rsid w:val="003B6DF8"/>
    <w:rsid w:val="003B7663"/>
    <w:rsid w:val="003C2472"/>
    <w:rsid w:val="003C2AFC"/>
    <w:rsid w:val="003C3A6F"/>
    <w:rsid w:val="003C5736"/>
    <w:rsid w:val="003C598D"/>
    <w:rsid w:val="003D1EE5"/>
    <w:rsid w:val="003D2929"/>
    <w:rsid w:val="003D2D33"/>
    <w:rsid w:val="003D349C"/>
    <w:rsid w:val="003D449E"/>
    <w:rsid w:val="003D4693"/>
    <w:rsid w:val="003D5C60"/>
    <w:rsid w:val="003D6CD2"/>
    <w:rsid w:val="003E02EA"/>
    <w:rsid w:val="003E1132"/>
    <w:rsid w:val="003E160D"/>
    <w:rsid w:val="003E3008"/>
    <w:rsid w:val="003E358F"/>
    <w:rsid w:val="003E396B"/>
    <w:rsid w:val="003E3D9E"/>
    <w:rsid w:val="003E4AB0"/>
    <w:rsid w:val="003E6F7B"/>
    <w:rsid w:val="003E72FD"/>
    <w:rsid w:val="003E75AC"/>
    <w:rsid w:val="003E7BB3"/>
    <w:rsid w:val="003F1EDF"/>
    <w:rsid w:val="003F4292"/>
    <w:rsid w:val="004028EE"/>
    <w:rsid w:val="004047C2"/>
    <w:rsid w:val="004048BC"/>
    <w:rsid w:val="00404B39"/>
    <w:rsid w:val="00410133"/>
    <w:rsid w:val="0041063D"/>
    <w:rsid w:val="0041184C"/>
    <w:rsid w:val="00411E43"/>
    <w:rsid w:val="00411EE8"/>
    <w:rsid w:val="00412004"/>
    <w:rsid w:val="00415321"/>
    <w:rsid w:val="004155A4"/>
    <w:rsid w:val="00417E45"/>
    <w:rsid w:val="004206AB"/>
    <w:rsid w:val="00422DC0"/>
    <w:rsid w:val="004255C6"/>
    <w:rsid w:val="004256CA"/>
    <w:rsid w:val="00425E56"/>
    <w:rsid w:val="004276EE"/>
    <w:rsid w:val="00427E61"/>
    <w:rsid w:val="004302AF"/>
    <w:rsid w:val="00433A76"/>
    <w:rsid w:val="004346F4"/>
    <w:rsid w:val="0043496E"/>
    <w:rsid w:val="00434E1B"/>
    <w:rsid w:val="00437C1A"/>
    <w:rsid w:val="00440978"/>
    <w:rsid w:val="00442DC1"/>
    <w:rsid w:val="004448F0"/>
    <w:rsid w:val="00445A46"/>
    <w:rsid w:val="0044748F"/>
    <w:rsid w:val="00447F11"/>
    <w:rsid w:val="0045061C"/>
    <w:rsid w:val="0045109A"/>
    <w:rsid w:val="00453D67"/>
    <w:rsid w:val="00453FD2"/>
    <w:rsid w:val="004544A7"/>
    <w:rsid w:val="004554B4"/>
    <w:rsid w:val="004628BE"/>
    <w:rsid w:val="0046606B"/>
    <w:rsid w:val="00466AC8"/>
    <w:rsid w:val="004749AA"/>
    <w:rsid w:val="004768EE"/>
    <w:rsid w:val="004770C0"/>
    <w:rsid w:val="004833FC"/>
    <w:rsid w:val="0048487B"/>
    <w:rsid w:val="00484925"/>
    <w:rsid w:val="00484BCA"/>
    <w:rsid w:val="00485312"/>
    <w:rsid w:val="00485480"/>
    <w:rsid w:val="00485D50"/>
    <w:rsid w:val="00486801"/>
    <w:rsid w:val="00487C14"/>
    <w:rsid w:val="00490026"/>
    <w:rsid w:val="00490440"/>
    <w:rsid w:val="00490C57"/>
    <w:rsid w:val="00493A49"/>
    <w:rsid w:val="0049502A"/>
    <w:rsid w:val="004A0322"/>
    <w:rsid w:val="004A0F13"/>
    <w:rsid w:val="004A1300"/>
    <w:rsid w:val="004A1E5C"/>
    <w:rsid w:val="004A5064"/>
    <w:rsid w:val="004A53ED"/>
    <w:rsid w:val="004A570D"/>
    <w:rsid w:val="004A5F63"/>
    <w:rsid w:val="004B141B"/>
    <w:rsid w:val="004B55A2"/>
    <w:rsid w:val="004B6DC5"/>
    <w:rsid w:val="004B7078"/>
    <w:rsid w:val="004C058C"/>
    <w:rsid w:val="004C0FEA"/>
    <w:rsid w:val="004C190D"/>
    <w:rsid w:val="004C5056"/>
    <w:rsid w:val="004C65B5"/>
    <w:rsid w:val="004C680E"/>
    <w:rsid w:val="004C7A59"/>
    <w:rsid w:val="004D0717"/>
    <w:rsid w:val="004D1659"/>
    <w:rsid w:val="004D193E"/>
    <w:rsid w:val="004D1FE3"/>
    <w:rsid w:val="004D30D1"/>
    <w:rsid w:val="004D4833"/>
    <w:rsid w:val="004D5CA8"/>
    <w:rsid w:val="004D602A"/>
    <w:rsid w:val="004D6877"/>
    <w:rsid w:val="004D7692"/>
    <w:rsid w:val="004D7CC5"/>
    <w:rsid w:val="004E2681"/>
    <w:rsid w:val="004E7E84"/>
    <w:rsid w:val="004F04B5"/>
    <w:rsid w:val="004F08AF"/>
    <w:rsid w:val="004F2BF5"/>
    <w:rsid w:val="004F7F25"/>
    <w:rsid w:val="00500416"/>
    <w:rsid w:val="005022C1"/>
    <w:rsid w:val="0050467E"/>
    <w:rsid w:val="00504A84"/>
    <w:rsid w:val="005053A7"/>
    <w:rsid w:val="00511261"/>
    <w:rsid w:val="005119E7"/>
    <w:rsid w:val="00512EDD"/>
    <w:rsid w:val="00517314"/>
    <w:rsid w:val="005201A1"/>
    <w:rsid w:val="00522969"/>
    <w:rsid w:val="00522A03"/>
    <w:rsid w:val="00524409"/>
    <w:rsid w:val="00524860"/>
    <w:rsid w:val="00524869"/>
    <w:rsid w:val="00524986"/>
    <w:rsid w:val="00524CC6"/>
    <w:rsid w:val="005254A3"/>
    <w:rsid w:val="0052610B"/>
    <w:rsid w:val="00526798"/>
    <w:rsid w:val="00526803"/>
    <w:rsid w:val="00530489"/>
    <w:rsid w:val="00530BF2"/>
    <w:rsid w:val="005315F9"/>
    <w:rsid w:val="00540DB3"/>
    <w:rsid w:val="00541291"/>
    <w:rsid w:val="005412A7"/>
    <w:rsid w:val="005458A3"/>
    <w:rsid w:val="00545A80"/>
    <w:rsid w:val="00545AD2"/>
    <w:rsid w:val="005464D5"/>
    <w:rsid w:val="00547B30"/>
    <w:rsid w:val="00550023"/>
    <w:rsid w:val="005544C5"/>
    <w:rsid w:val="00555C2E"/>
    <w:rsid w:val="005561A3"/>
    <w:rsid w:val="00563A7D"/>
    <w:rsid w:val="0056685B"/>
    <w:rsid w:val="00566CFC"/>
    <w:rsid w:val="00567B9D"/>
    <w:rsid w:val="00567E53"/>
    <w:rsid w:val="00570976"/>
    <w:rsid w:val="005713F8"/>
    <w:rsid w:val="00571BCE"/>
    <w:rsid w:val="00572CF8"/>
    <w:rsid w:val="00573A09"/>
    <w:rsid w:val="00573F9D"/>
    <w:rsid w:val="00574546"/>
    <w:rsid w:val="00575294"/>
    <w:rsid w:val="00576CAD"/>
    <w:rsid w:val="00577447"/>
    <w:rsid w:val="005809BB"/>
    <w:rsid w:val="00582047"/>
    <w:rsid w:val="0058213F"/>
    <w:rsid w:val="005828B7"/>
    <w:rsid w:val="00583B37"/>
    <w:rsid w:val="005845EB"/>
    <w:rsid w:val="00584A40"/>
    <w:rsid w:val="00584FA4"/>
    <w:rsid w:val="00586463"/>
    <w:rsid w:val="00587281"/>
    <w:rsid w:val="00587446"/>
    <w:rsid w:val="00587C94"/>
    <w:rsid w:val="005904A0"/>
    <w:rsid w:val="00591B19"/>
    <w:rsid w:val="00591FA1"/>
    <w:rsid w:val="005950E4"/>
    <w:rsid w:val="00595D7F"/>
    <w:rsid w:val="005A0847"/>
    <w:rsid w:val="005A0E7E"/>
    <w:rsid w:val="005A2693"/>
    <w:rsid w:val="005A2F59"/>
    <w:rsid w:val="005A340A"/>
    <w:rsid w:val="005A4260"/>
    <w:rsid w:val="005A49A0"/>
    <w:rsid w:val="005A4DE1"/>
    <w:rsid w:val="005A5905"/>
    <w:rsid w:val="005A7C1B"/>
    <w:rsid w:val="005B0380"/>
    <w:rsid w:val="005B08B3"/>
    <w:rsid w:val="005B1A8A"/>
    <w:rsid w:val="005B267F"/>
    <w:rsid w:val="005B2A10"/>
    <w:rsid w:val="005B4039"/>
    <w:rsid w:val="005B600F"/>
    <w:rsid w:val="005C0352"/>
    <w:rsid w:val="005C1E7F"/>
    <w:rsid w:val="005C4EE4"/>
    <w:rsid w:val="005C58D3"/>
    <w:rsid w:val="005D2C9B"/>
    <w:rsid w:val="005D3B92"/>
    <w:rsid w:val="005D608A"/>
    <w:rsid w:val="005D6297"/>
    <w:rsid w:val="005D691B"/>
    <w:rsid w:val="005E15FC"/>
    <w:rsid w:val="005E461D"/>
    <w:rsid w:val="005E62DF"/>
    <w:rsid w:val="005E68D5"/>
    <w:rsid w:val="005F1A46"/>
    <w:rsid w:val="00600FB7"/>
    <w:rsid w:val="00601A53"/>
    <w:rsid w:val="00602714"/>
    <w:rsid w:val="006030DE"/>
    <w:rsid w:val="00605895"/>
    <w:rsid w:val="00606291"/>
    <w:rsid w:val="006065B2"/>
    <w:rsid w:val="00611513"/>
    <w:rsid w:val="00612708"/>
    <w:rsid w:val="00612A94"/>
    <w:rsid w:val="00614DF4"/>
    <w:rsid w:val="00615318"/>
    <w:rsid w:val="006167AD"/>
    <w:rsid w:val="00616CFD"/>
    <w:rsid w:val="00620691"/>
    <w:rsid w:val="00620D4A"/>
    <w:rsid w:val="00623D91"/>
    <w:rsid w:val="00624051"/>
    <w:rsid w:val="006244B0"/>
    <w:rsid w:val="006246A5"/>
    <w:rsid w:val="006249F5"/>
    <w:rsid w:val="00625708"/>
    <w:rsid w:val="0062597F"/>
    <w:rsid w:val="00631840"/>
    <w:rsid w:val="00631E61"/>
    <w:rsid w:val="00634049"/>
    <w:rsid w:val="0063436A"/>
    <w:rsid w:val="00634982"/>
    <w:rsid w:val="00634F4E"/>
    <w:rsid w:val="006358E0"/>
    <w:rsid w:val="00636633"/>
    <w:rsid w:val="006376BC"/>
    <w:rsid w:val="00641877"/>
    <w:rsid w:val="0064273B"/>
    <w:rsid w:val="00643B57"/>
    <w:rsid w:val="00645644"/>
    <w:rsid w:val="00645CA5"/>
    <w:rsid w:val="00646FA1"/>
    <w:rsid w:val="00653195"/>
    <w:rsid w:val="00653834"/>
    <w:rsid w:val="006542C0"/>
    <w:rsid w:val="00654E30"/>
    <w:rsid w:val="006554C5"/>
    <w:rsid w:val="00655E3F"/>
    <w:rsid w:val="00656CC4"/>
    <w:rsid w:val="00656CC6"/>
    <w:rsid w:val="00657803"/>
    <w:rsid w:val="00657E6D"/>
    <w:rsid w:val="00662856"/>
    <w:rsid w:val="006656A1"/>
    <w:rsid w:val="006676E1"/>
    <w:rsid w:val="00667C70"/>
    <w:rsid w:val="00667E46"/>
    <w:rsid w:val="00670C16"/>
    <w:rsid w:val="00671671"/>
    <w:rsid w:val="006725A5"/>
    <w:rsid w:val="006730D9"/>
    <w:rsid w:val="00673A76"/>
    <w:rsid w:val="00674E6F"/>
    <w:rsid w:val="00676D96"/>
    <w:rsid w:val="00680F95"/>
    <w:rsid w:val="00681128"/>
    <w:rsid w:val="00681443"/>
    <w:rsid w:val="00692EF9"/>
    <w:rsid w:val="00693C3B"/>
    <w:rsid w:val="0069407F"/>
    <w:rsid w:val="0069485B"/>
    <w:rsid w:val="00694CF6"/>
    <w:rsid w:val="00697791"/>
    <w:rsid w:val="006A0B80"/>
    <w:rsid w:val="006A0C83"/>
    <w:rsid w:val="006A1342"/>
    <w:rsid w:val="006A2775"/>
    <w:rsid w:val="006A67B5"/>
    <w:rsid w:val="006A72B8"/>
    <w:rsid w:val="006B0B98"/>
    <w:rsid w:val="006B1174"/>
    <w:rsid w:val="006B455E"/>
    <w:rsid w:val="006B4F14"/>
    <w:rsid w:val="006B505B"/>
    <w:rsid w:val="006B611C"/>
    <w:rsid w:val="006B6D99"/>
    <w:rsid w:val="006B7586"/>
    <w:rsid w:val="006B7719"/>
    <w:rsid w:val="006B7D8D"/>
    <w:rsid w:val="006B7EFD"/>
    <w:rsid w:val="006C291C"/>
    <w:rsid w:val="006C2D92"/>
    <w:rsid w:val="006C393A"/>
    <w:rsid w:val="006C4097"/>
    <w:rsid w:val="006C6C06"/>
    <w:rsid w:val="006D1E1F"/>
    <w:rsid w:val="006D396B"/>
    <w:rsid w:val="006D7BE2"/>
    <w:rsid w:val="006E0E7A"/>
    <w:rsid w:val="006E238E"/>
    <w:rsid w:val="006E29CF"/>
    <w:rsid w:val="006E4AE6"/>
    <w:rsid w:val="006E5FA7"/>
    <w:rsid w:val="006E63F1"/>
    <w:rsid w:val="006E7687"/>
    <w:rsid w:val="006F1210"/>
    <w:rsid w:val="006F1F28"/>
    <w:rsid w:val="006F25EE"/>
    <w:rsid w:val="006F2A92"/>
    <w:rsid w:val="006F3AB3"/>
    <w:rsid w:val="006F4239"/>
    <w:rsid w:val="006F4408"/>
    <w:rsid w:val="006F4904"/>
    <w:rsid w:val="006F7953"/>
    <w:rsid w:val="0070037B"/>
    <w:rsid w:val="00700607"/>
    <w:rsid w:val="00701E5F"/>
    <w:rsid w:val="00702650"/>
    <w:rsid w:val="00703606"/>
    <w:rsid w:val="0070426A"/>
    <w:rsid w:val="007113CD"/>
    <w:rsid w:val="00712B8E"/>
    <w:rsid w:val="007159BE"/>
    <w:rsid w:val="00716FED"/>
    <w:rsid w:val="00720B34"/>
    <w:rsid w:val="00720C7B"/>
    <w:rsid w:val="00723078"/>
    <w:rsid w:val="00725C3F"/>
    <w:rsid w:val="00727E5C"/>
    <w:rsid w:val="0073137F"/>
    <w:rsid w:val="00733E6E"/>
    <w:rsid w:val="00734EEF"/>
    <w:rsid w:val="00736D93"/>
    <w:rsid w:val="007405AA"/>
    <w:rsid w:val="007405DB"/>
    <w:rsid w:val="007425A7"/>
    <w:rsid w:val="00742ECE"/>
    <w:rsid w:val="00743222"/>
    <w:rsid w:val="00745079"/>
    <w:rsid w:val="00745915"/>
    <w:rsid w:val="00745BB3"/>
    <w:rsid w:val="007520F6"/>
    <w:rsid w:val="00753D4F"/>
    <w:rsid w:val="0075432C"/>
    <w:rsid w:val="00754444"/>
    <w:rsid w:val="00754A1E"/>
    <w:rsid w:val="007556BB"/>
    <w:rsid w:val="007561D3"/>
    <w:rsid w:val="0075757E"/>
    <w:rsid w:val="00760274"/>
    <w:rsid w:val="00762BA6"/>
    <w:rsid w:val="0076495E"/>
    <w:rsid w:val="00765333"/>
    <w:rsid w:val="007667CE"/>
    <w:rsid w:val="00772C3D"/>
    <w:rsid w:val="00774CEB"/>
    <w:rsid w:val="00776E22"/>
    <w:rsid w:val="0077753B"/>
    <w:rsid w:val="007814FA"/>
    <w:rsid w:val="00781968"/>
    <w:rsid w:val="00781B03"/>
    <w:rsid w:val="00784576"/>
    <w:rsid w:val="0078485F"/>
    <w:rsid w:val="0078519D"/>
    <w:rsid w:val="00787C5C"/>
    <w:rsid w:val="00790613"/>
    <w:rsid w:val="007913CA"/>
    <w:rsid w:val="0079311E"/>
    <w:rsid w:val="00796AEE"/>
    <w:rsid w:val="007A17AC"/>
    <w:rsid w:val="007A3259"/>
    <w:rsid w:val="007A4857"/>
    <w:rsid w:val="007A55DE"/>
    <w:rsid w:val="007A5BFF"/>
    <w:rsid w:val="007A7254"/>
    <w:rsid w:val="007B104C"/>
    <w:rsid w:val="007B1CED"/>
    <w:rsid w:val="007B2B0E"/>
    <w:rsid w:val="007B32EF"/>
    <w:rsid w:val="007B3FF7"/>
    <w:rsid w:val="007B43C6"/>
    <w:rsid w:val="007B5384"/>
    <w:rsid w:val="007B58E2"/>
    <w:rsid w:val="007B7379"/>
    <w:rsid w:val="007C16EC"/>
    <w:rsid w:val="007C257F"/>
    <w:rsid w:val="007C2D31"/>
    <w:rsid w:val="007C3F75"/>
    <w:rsid w:val="007C40F8"/>
    <w:rsid w:val="007C56E5"/>
    <w:rsid w:val="007C78DC"/>
    <w:rsid w:val="007D0B86"/>
    <w:rsid w:val="007D1038"/>
    <w:rsid w:val="007D20A3"/>
    <w:rsid w:val="007D4D59"/>
    <w:rsid w:val="007D52DE"/>
    <w:rsid w:val="007D54D7"/>
    <w:rsid w:val="007D5EF5"/>
    <w:rsid w:val="007D737E"/>
    <w:rsid w:val="007E08C0"/>
    <w:rsid w:val="007E2F82"/>
    <w:rsid w:val="007E4F6D"/>
    <w:rsid w:val="007E6E50"/>
    <w:rsid w:val="007F063C"/>
    <w:rsid w:val="007F2538"/>
    <w:rsid w:val="007F3841"/>
    <w:rsid w:val="0080069A"/>
    <w:rsid w:val="00804391"/>
    <w:rsid w:val="00804D89"/>
    <w:rsid w:val="00805087"/>
    <w:rsid w:val="00806862"/>
    <w:rsid w:val="008113DC"/>
    <w:rsid w:val="00812734"/>
    <w:rsid w:val="0081455D"/>
    <w:rsid w:val="00814870"/>
    <w:rsid w:val="008154B3"/>
    <w:rsid w:val="0081708E"/>
    <w:rsid w:val="0081713F"/>
    <w:rsid w:val="00817986"/>
    <w:rsid w:val="00820CA2"/>
    <w:rsid w:val="0082141D"/>
    <w:rsid w:val="00822C31"/>
    <w:rsid w:val="008246BB"/>
    <w:rsid w:val="0082507E"/>
    <w:rsid w:val="008259FB"/>
    <w:rsid w:val="0082751A"/>
    <w:rsid w:val="0083046F"/>
    <w:rsid w:val="008324B8"/>
    <w:rsid w:val="008367EE"/>
    <w:rsid w:val="00840311"/>
    <w:rsid w:val="008407C4"/>
    <w:rsid w:val="0084100C"/>
    <w:rsid w:val="00843C1B"/>
    <w:rsid w:val="00843C87"/>
    <w:rsid w:val="00844702"/>
    <w:rsid w:val="0084612E"/>
    <w:rsid w:val="00847AEB"/>
    <w:rsid w:val="00850421"/>
    <w:rsid w:val="00851886"/>
    <w:rsid w:val="00851FC0"/>
    <w:rsid w:val="00851FD0"/>
    <w:rsid w:val="00852409"/>
    <w:rsid w:val="00852633"/>
    <w:rsid w:val="00856B1A"/>
    <w:rsid w:val="008605EB"/>
    <w:rsid w:val="00860F78"/>
    <w:rsid w:val="0086481E"/>
    <w:rsid w:val="00865FEF"/>
    <w:rsid w:val="00866330"/>
    <w:rsid w:val="00866381"/>
    <w:rsid w:val="00867B71"/>
    <w:rsid w:val="00872633"/>
    <w:rsid w:val="008726BD"/>
    <w:rsid w:val="0087445F"/>
    <w:rsid w:val="00875CCA"/>
    <w:rsid w:val="00877907"/>
    <w:rsid w:val="008839CF"/>
    <w:rsid w:val="0088417D"/>
    <w:rsid w:val="00885D2F"/>
    <w:rsid w:val="008907AD"/>
    <w:rsid w:val="008922D0"/>
    <w:rsid w:val="00893300"/>
    <w:rsid w:val="0089423D"/>
    <w:rsid w:val="00896479"/>
    <w:rsid w:val="008A0A9F"/>
    <w:rsid w:val="008A1CA1"/>
    <w:rsid w:val="008A249E"/>
    <w:rsid w:val="008A5693"/>
    <w:rsid w:val="008A6CD8"/>
    <w:rsid w:val="008A72F3"/>
    <w:rsid w:val="008B05DC"/>
    <w:rsid w:val="008B229A"/>
    <w:rsid w:val="008B3C2B"/>
    <w:rsid w:val="008B3F66"/>
    <w:rsid w:val="008B40A0"/>
    <w:rsid w:val="008B5760"/>
    <w:rsid w:val="008C04D9"/>
    <w:rsid w:val="008C26AF"/>
    <w:rsid w:val="008C653B"/>
    <w:rsid w:val="008C6C6B"/>
    <w:rsid w:val="008C7373"/>
    <w:rsid w:val="008D13E7"/>
    <w:rsid w:val="008D7500"/>
    <w:rsid w:val="008E333F"/>
    <w:rsid w:val="008E4A16"/>
    <w:rsid w:val="008E4E50"/>
    <w:rsid w:val="008E5011"/>
    <w:rsid w:val="008E5E45"/>
    <w:rsid w:val="008E63EA"/>
    <w:rsid w:val="008E697C"/>
    <w:rsid w:val="008E6F47"/>
    <w:rsid w:val="008E6FBF"/>
    <w:rsid w:val="008E78DC"/>
    <w:rsid w:val="008E7E73"/>
    <w:rsid w:val="008F334E"/>
    <w:rsid w:val="008F47ED"/>
    <w:rsid w:val="008F583D"/>
    <w:rsid w:val="008F58B7"/>
    <w:rsid w:val="008F6121"/>
    <w:rsid w:val="008F627E"/>
    <w:rsid w:val="008F7056"/>
    <w:rsid w:val="0090053F"/>
    <w:rsid w:val="00901503"/>
    <w:rsid w:val="00902AA5"/>
    <w:rsid w:val="009111FA"/>
    <w:rsid w:val="00912346"/>
    <w:rsid w:val="0091460B"/>
    <w:rsid w:val="00915D55"/>
    <w:rsid w:val="0091611F"/>
    <w:rsid w:val="009211B7"/>
    <w:rsid w:val="00922A42"/>
    <w:rsid w:val="0092366F"/>
    <w:rsid w:val="009246D4"/>
    <w:rsid w:val="00925060"/>
    <w:rsid w:val="00927709"/>
    <w:rsid w:val="00930007"/>
    <w:rsid w:val="00930870"/>
    <w:rsid w:val="00936637"/>
    <w:rsid w:val="00940F1A"/>
    <w:rsid w:val="0094196D"/>
    <w:rsid w:val="009458FD"/>
    <w:rsid w:val="00945988"/>
    <w:rsid w:val="00947CA0"/>
    <w:rsid w:val="00950478"/>
    <w:rsid w:val="00950485"/>
    <w:rsid w:val="00950CFC"/>
    <w:rsid w:val="009513D1"/>
    <w:rsid w:val="0095305D"/>
    <w:rsid w:val="00953CCE"/>
    <w:rsid w:val="009550FD"/>
    <w:rsid w:val="009551CB"/>
    <w:rsid w:val="00956103"/>
    <w:rsid w:val="00956E7C"/>
    <w:rsid w:val="00957784"/>
    <w:rsid w:val="009578A1"/>
    <w:rsid w:val="00961272"/>
    <w:rsid w:val="00961913"/>
    <w:rsid w:val="0096319F"/>
    <w:rsid w:val="0096490C"/>
    <w:rsid w:val="00970B0D"/>
    <w:rsid w:val="00971FEB"/>
    <w:rsid w:val="0097218C"/>
    <w:rsid w:val="00972968"/>
    <w:rsid w:val="00972B5D"/>
    <w:rsid w:val="009761E4"/>
    <w:rsid w:val="0097695C"/>
    <w:rsid w:val="00977AFA"/>
    <w:rsid w:val="009833E9"/>
    <w:rsid w:val="009840F6"/>
    <w:rsid w:val="00985B11"/>
    <w:rsid w:val="00986095"/>
    <w:rsid w:val="009906A9"/>
    <w:rsid w:val="0099364D"/>
    <w:rsid w:val="00993AFB"/>
    <w:rsid w:val="009943F6"/>
    <w:rsid w:val="00995A5D"/>
    <w:rsid w:val="00995B0E"/>
    <w:rsid w:val="00995D91"/>
    <w:rsid w:val="00996279"/>
    <w:rsid w:val="009962ED"/>
    <w:rsid w:val="0099631F"/>
    <w:rsid w:val="009A00DC"/>
    <w:rsid w:val="009A01C9"/>
    <w:rsid w:val="009A05FE"/>
    <w:rsid w:val="009A107C"/>
    <w:rsid w:val="009A1692"/>
    <w:rsid w:val="009A1891"/>
    <w:rsid w:val="009A39A1"/>
    <w:rsid w:val="009A6B8B"/>
    <w:rsid w:val="009B05A7"/>
    <w:rsid w:val="009B29AD"/>
    <w:rsid w:val="009B34C8"/>
    <w:rsid w:val="009B4E99"/>
    <w:rsid w:val="009B5E6D"/>
    <w:rsid w:val="009B6419"/>
    <w:rsid w:val="009B791E"/>
    <w:rsid w:val="009B7B33"/>
    <w:rsid w:val="009C2BA3"/>
    <w:rsid w:val="009C503A"/>
    <w:rsid w:val="009C6F50"/>
    <w:rsid w:val="009C7875"/>
    <w:rsid w:val="009D1551"/>
    <w:rsid w:val="009D46DB"/>
    <w:rsid w:val="009E1DED"/>
    <w:rsid w:val="009E278C"/>
    <w:rsid w:val="009F079F"/>
    <w:rsid w:val="009F16F9"/>
    <w:rsid w:val="009F4663"/>
    <w:rsid w:val="00A009BC"/>
    <w:rsid w:val="00A02AB3"/>
    <w:rsid w:val="00A041A3"/>
    <w:rsid w:val="00A04A39"/>
    <w:rsid w:val="00A061A6"/>
    <w:rsid w:val="00A06352"/>
    <w:rsid w:val="00A0645D"/>
    <w:rsid w:val="00A07088"/>
    <w:rsid w:val="00A11657"/>
    <w:rsid w:val="00A15751"/>
    <w:rsid w:val="00A21B4C"/>
    <w:rsid w:val="00A22518"/>
    <w:rsid w:val="00A23036"/>
    <w:rsid w:val="00A239B3"/>
    <w:rsid w:val="00A24B97"/>
    <w:rsid w:val="00A2549A"/>
    <w:rsid w:val="00A26AE7"/>
    <w:rsid w:val="00A27824"/>
    <w:rsid w:val="00A27FAE"/>
    <w:rsid w:val="00A31D77"/>
    <w:rsid w:val="00A32F53"/>
    <w:rsid w:val="00A335DC"/>
    <w:rsid w:val="00A3437F"/>
    <w:rsid w:val="00A34AAA"/>
    <w:rsid w:val="00A3526B"/>
    <w:rsid w:val="00A36E24"/>
    <w:rsid w:val="00A37158"/>
    <w:rsid w:val="00A40360"/>
    <w:rsid w:val="00A4160A"/>
    <w:rsid w:val="00A418CA"/>
    <w:rsid w:val="00A4299E"/>
    <w:rsid w:val="00A42DA0"/>
    <w:rsid w:val="00A42E56"/>
    <w:rsid w:val="00A43244"/>
    <w:rsid w:val="00A43828"/>
    <w:rsid w:val="00A43DB3"/>
    <w:rsid w:val="00A43F92"/>
    <w:rsid w:val="00A4757E"/>
    <w:rsid w:val="00A5496A"/>
    <w:rsid w:val="00A54B7E"/>
    <w:rsid w:val="00A5746A"/>
    <w:rsid w:val="00A6057B"/>
    <w:rsid w:val="00A62C6F"/>
    <w:rsid w:val="00A64401"/>
    <w:rsid w:val="00A64FA3"/>
    <w:rsid w:val="00A67607"/>
    <w:rsid w:val="00A71806"/>
    <w:rsid w:val="00A71C53"/>
    <w:rsid w:val="00A744A5"/>
    <w:rsid w:val="00A74A4C"/>
    <w:rsid w:val="00A74D02"/>
    <w:rsid w:val="00A74DD6"/>
    <w:rsid w:val="00A76B7E"/>
    <w:rsid w:val="00A8156C"/>
    <w:rsid w:val="00A8156D"/>
    <w:rsid w:val="00A8295A"/>
    <w:rsid w:val="00A84517"/>
    <w:rsid w:val="00A84B4C"/>
    <w:rsid w:val="00A859C7"/>
    <w:rsid w:val="00A85D51"/>
    <w:rsid w:val="00A85E53"/>
    <w:rsid w:val="00A85F94"/>
    <w:rsid w:val="00A8612F"/>
    <w:rsid w:val="00A86560"/>
    <w:rsid w:val="00A9046E"/>
    <w:rsid w:val="00A93EBE"/>
    <w:rsid w:val="00A969AC"/>
    <w:rsid w:val="00A971DA"/>
    <w:rsid w:val="00AA141C"/>
    <w:rsid w:val="00AA2355"/>
    <w:rsid w:val="00AA30A6"/>
    <w:rsid w:val="00AA35BE"/>
    <w:rsid w:val="00AA6C45"/>
    <w:rsid w:val="00AA6EDE"/>
    <w:rsid w:val="00AB1196"/>
    <w:rsid w:val="00AB162C"/>
    <w:rsid w:val="00AB4051"/>
    <w:rsid w:val="00AB4452"/>
    <w:rsid w:val="00AB4E21"/>
    <w:rsid w:val="00AB5D66"/>
    <w:rsid w:val="00AC0192"/>
    <w:rsid w:val="00AC35FA"/>
    <w:rsid w:val="00AC4691"/>
    <w:rsid w:val="00AC4710"/>
    <w:rsid w:val="00AC7A6E"/>
    <w:rsid w:val="00AD01BC"/>
    <w:rsid w:val="00AD2674"/>
    <w:rsid w:val="00AD2B0C"/>
    <w:rsid w:val="00AD4744"/>
    <w:rsid w:val="00AD4A97"/>
    <w:rsid w:val="00AD4B52"/>
    <w:rsid w:val="00AD6E66"/>
    <w:rsid w:val="00AD754F"/>
    <w:rsid w:val="00AE325D"/>
    <w:rsid w:val="00AE464A"/>
    <w:rsid w:val="00AE5433"/>
    <w:rsid w:val="00AE5502"/>
    <w:rsid w:val="00AE60D5"/>
    <w:rsid w:val="00AE7080"/>
    <w:rsid w:val="00AE7450"/>
    <w:rsid w:val="00AF3BAD"/>
    <w:rsid w:val="00AF52AB"/>
    <w:rsid w:val="00AF57DB"/>
    <w:rsid w:val="00B00D1C"/>
    <w:rsid w:val="00B021CA"/>
    <w:rsid w:val="00B03976"/>
    <w:rsid w:val="00B04B39"/>
    <w:rsid w:val="00B06200"/>
    <w:rsid w:val="00B078D5"/>
    <w:rsid w:val="00B1028E"/>
    <w:rsid w:val="00B10F44"/>
    <w:rsid w:val="00B1145B"/>
    <w:rsid w:val="00B117C4"/>
    <w:rsid w:val="00B122AC"/>
    <w:rsid w:val="00B12A38"/>
    <w:rsid w:val="00B14761"/>
    <w:rsid w:val="00B14BE2"/>
    <w:rsid w:val="00B15496"/>
    <w:rsid w:val="00B16013"/>
    <w:rsid w:val="00B161CC"/>
    <w:rsid w:val="00B2020B"/>
    <w:rsid w:val="00B21121"/>
    <w:rsid w:val="00B21282"/>
    <w:rsid w:val="00B21568"/>
    <w:rsid w:val="00B21BA2"/>
    <w:rsid w:val="00B21D7B"/>
    <w:rsid w:val="00B2337F"/>
    <w:rsid w:val="00B2664E"/>
    <w:rsid w:val="00B26D4B"/>
    <w:rsid w:val="00B30979"/>
    <w:rsid w:val="00B309BB"/>
    <w:rsid w:val="00B31F8E"/>
    <w:rsid w:val="00B32898"/>
    <w:rsid w:val="00B32A5E"/>
    <w:rsid w:val="00B33084"/>
    <w:rsid w:val="00B33B71"/>
    <w:rsid w:val="00B34632"/>
    <w:rsid w:val="00B351CD"/>
    <w:rsid w:val="00B3579B"/>
    <w:rsid w:val="00B3590A"/>
    <w:rsid w:val="00B36550"/>
    <w:rsid w:val="00B3769B"/>
    <w:rsid w:val="00B37D70"/>
    <w:rsid w:val="00B428FF"/>
    <w:rsid w:val="00B42ACD"/>
    <w:rsid w:val="00B4348B"/>
    <w:rsid w:val="00B4666B"/>
    <w:rsid w:val="00B467B1"/>
    <w:rsid w:val="00B5051F"/>
    <w:rsid w:val="00B510AD"/>
    <w:rsid w:val="00B5538F"/>
    <w:rsid w:val="00B55C13"/>
    <w:rsid w:val="00B61646"/>
    <w:rsid w:val="00B649A8"/>
    <w:rsid w:val="00B6565D"/>
    <w:rsid w:val="00B73D67"/>
    <w:rsid w:val="00B740CE"/>
    <w:rsid w:val="00B74C72"/>
    <w:rsid w:val="00B751C0"/>
    <w:rsid w:val="00B83753"/>
    <w:rsid w:val="00B83931"/>
    <w:rsid w:val="00B83B29"/>
    <w:rsid w:val="00B8633F"/>
    <w:rsid w:val="00B863E8"/>
    <w:rsid w:val="00B9016D"/>
    <w:rsid w:val="00B91C48"/>
    <w:rsid w:val="00B91ECE"/>
    <w:rsid w:val="00B942DE"/>
    <w:rsid w:val="00B94DD1"/>
    <w:rsid w:val="00B95E7E"/>
    <w:rsid w:val="00B96791"/>
    <w:rsid w:val="00B97380"/>
    <w:rsid w:val="00BA0726"/>
    <w:rsid w:val="00BA10E5"/>
    <w:rsid w:val="00BA1C07"/>
    <w:rsid w:val="00BA67D8"/>
    <w:rsid w:val="00BB07E7"/>
    <w:rsid w:val="00BB3746"/>
    <w:rsid w:val="00BB3AEE"/>
    <w:rsid w:val="00BB5CA0"/>
    <w:rsid w:val="00BB5E6C"/>
    <w:rsid w:val="00BB647B"/>
    <w:rsid w:val="00BB6532"/>
    <w:rsid w:val="00BB79BF"/>
    <w:rsid w:val="00BC10C7"/>
    <w:rsid w:val="00BC3A3C"/>
    <w:rsid w:val="00BC3DFF"/>
    <w:rsid w:val="00BC526B"/>
    <w:rsid w:val="00BC5D2E"/>
    <w:rsid w:val="00BC7B18"/>
    <w:rsid w:val="00BD1625"/>
    <w:rsid w:val="00BD19CD"/>
    <w:rsid w:val="00BD2198"/>
    <w:rsid w:val="00BD26AD"/>
    <w:rsid w:val="00BD3387"/>
    <w:rsid w:val="00BD4EDF"/>
    <w:rsid w:val="00BD7373"/>
    <w:rsid w:val="00BD7817"/>
    <w:rsid w:val="00BE215F"/>
    <w:rsid w:val="00BE224C"/>
    <w:rsid w:val="00BE5451"/>
    <w:rsid w:val="00BF003E"/>
    <w:rsid w:val="00BF01F4"/>
    <w:rsid w:val="00BF07BD"/>
    <w:rsid w:val="00BF45C0"/>
    <w:rsid w:val="00C00247"/>
    <w:rsid w:val="00C0065E"/>
    <w:rsid w:val="00C00D8F"/>
    <w:rsid w:val="00C025D5"/>
    <w:rsid w:val="00C03BA0"/>
    <w:rsid w:val="00C04B87"/>
    <w:rsid w:val="00C05F3B"/>
    <w:rsid w:val="00C079A3"/>
    <w:rsid w:val="00C10491"/>
    <w:rsid w:val="00C117FF"/>
    <w:rsid w:val="00C14317"/>
    <w:rsid w:val="00C146D9"/>
    <w:rsid w:val="00C1628E"/>
    <w:rsid w:val="00C16BD1"/>
    <w:rsid w:val="00C2080A"/>
    <w:rsid w:val="00C31CCE"/>
    <w:rsid w:val="00C32231"/>
    <w:rsid w:val="00C323EA"/>
    <w:rsid w:val="00C3263D"/>
    <w:rsid w:val="00C327B2"/>
    <w:rsid w:val="00C32D1A"/>
    <w:rsid w:val="00C33549"/>
    <w:rsid w:val="00C362C4"/>
    <w:rsid w:val="00C40CFB"/>
    <w:rsid w:val="00C42EE6"/>
    <w:rsid w:val="00C43439"/>
    <w:rsid w:val="00C434E7"/>
    <w:rsid w:val="00C446C4"/>
    <w:rsid w:val="00C45411"/>
    <w:rsid w:val="00C4547F"/>
    <w:rsid w:val="00C46550"/>
    <w:rsid w:val="00C47D6E"/>
    <w:rsid w:val="00C50782"/>
    <w:rsid w:val="00C52105"/>
    <w:rsid w:val="00C5358F"/>
    <w:rsid w:val="00C540D8"/>
    <w:rsid w:val="00C56167"/>
    <w:rsid w:val="00C56CBC"/>
    <w:rsid w:val="00C56D27"/>
    <w:rsid w:val="00C602E1"/>
    <w:rsid w:val="00C6126D"/>
    <w:rsid w:val="00C61FE5"/>
    <w:rsid w:val="00C66CC3"/>
    <w:rsid w:val="00C670C2"/>
    <w:rsid w:val="00C713EE"/>
    <w:rsid w:val="00C724FF"/>
    <w:rsid w:val="00C74489"/>
    <w:rsid w:val="00C75822"/>
    <w:rsid w:val="00C75F1D"/>
    <w:rsid w:val="00C7739C"/>
    <w:rsid w:val="00C77D22"/>
    <w:rsid w:val="00C80D55"/>
    <w:rsid w:val="00C829D8"/>
    <w:rsid w:val="00C84A37"/>
    <w:rsid w:val="00C85279"/>
    <w:rsid w:val="00C85B10"/>
    <w:rsid w:val="00C86347"/>
    <w:rsid w:val="00C86BF7"/>
    <w:rsid w:val="00C870CC"/>
    <w:rsid w:val="00C902FE"/>
    <w:rsid w:val="00C9098A"/>
    <w:rsid w:val="00C91B94"/>
    <w:rsid w:val="00C959D6"/>
    <w:rsid w:val="00C9791C"/>
    <w:rsid w:val="00C97C6E"/>
    <w:rsid w:val="00CA208E"/>
    <w:rsid w:val="00CA3BDB"/>
    <w:rsid w:val="00CA7259"/>
    <w:rsid w:val="00CA736C"/>
    <w:rsid w:val="00CB1F0F"/>
    <w:rsid w:val="00CB4296"/>
    <w:rsid w:val="00CB42F4"/>
    <w:rsid w:val="00CB5BCF"/>
    <w:rsid w:val="00CB5D71"/>
    <w:rsid w:val="00CB64EF"/>
    <w:rsid w:val="00CC1865"/>
    <w:rsid w:val="00CC2656"/>
    <w:rsid w:val="00CC273D"/>
    <w:rsid w:val="00CC4293"/>
    <w:rsid w:val="00CC5262"/>
    <w:rsid w:val="00CC73CD"/>
    <w:rsid w:val="00CC7A0C"/>
    <w:rsid w:val="00CD0685"/>
    <w:rsid w:val="00CD1E05"/>
    <w:rsid w:val="00CD26F5"/>
    <w:rsid w:val="00CD2825"/>
    <w:rsid w:val="00CD5322"/>
    <w:rsid w:val="00CD60A9"/>
    <w:rsid w:val="00CD6644"/>
    <w:rsid w:val="00CD7CCE"/>
    <w:rsid w:val="00CE3133"/>
    <w:rsid w:val="00CE44AE"/>
    <w:rsid w:val="00CE5F39"/>
    <w:rsid w:val="00CE610B"/>
    <w:rsid w:val="00CE76F7"/>
    <w:rsid w:val="00CF0C25"/>
    <w:rsid w:val="00CF183C"/>
    <w:rsid w:val="00CF2BD9"/>
    <w:rsid w:val="00CF384F"/>
    <w:rsid w:val="00CF3F80"/>
    <w:rsid w:val="00CF423F"/>
    <w:rsid w:val="00CF4930"/>
    <w:rsid w:val="00CF5E4A"/>
    <w:rsid w:val="00CF6DB3"/>
    <w:rsid w:val="00CF7385"/>
    <w:rsid w:val="00D00654"/>
    <w:rsid w:val="00D03587"/>
    <w:rsid w:val="00D04726"/>
    <w:rsid w:val="00D063B9"/>
    <w:rsid w:val="00D120CB"/>
    <w:rsid w:val="00D12702"/>
    <w:rsid w:val="00D129C8"/>
    <w:rsid w:val="00D13B15"/>
    <w:rsid w:val="00D13F00"/>
    <w:rsid w:val="00D14CFD"/>
    <w:rsid w:val="00D15E03"/>
    <w:rsid w:val="00D1625E"/>
    <w:rsid w:val="00D16600"/>
    <w:rsid w:val="00D166A1"/>
    <w:rsid w:val="00D16BEC"/>
    <w:rsid w:val="00D174D2"/>
    <w:rsid w:val="00D17C44"/>
    <w:rsid w:val="00D20F09"/>
    <w:rsid w:val="00D21229"/>
    <w:rsid w:val="00D21703"/>
    <w:rsid w:val="00D26807"/>
    <w:rsid w:val="00D26C6F"/>
    <w:rsid w:val="00D26E08"/>
    <w:rsid w:val="00D2739B"/>
    <w:rsid w:val="00D307FA"/>
    <w:rsid w:val="00D35461"/>
    <w:rsid w:val="00D35C10"/>
    <w:rsid w:val="00D41B5C"/>
    <w:rsid w:val="00D445CF"/>
    <w:rsid w:val="00D44E37"/>
    <w:rsid w:val="00D4587F"/>
    <w:rsid w:val="00D458BA"/>
    <w:rsid w:val="00D45AC1"/>
    <w:rsid w:val="00D46068"/>
    <w:rsid w:val="00D46FFC"/>
    <w:rsid w:val="00D47A49"/>
    <w:rsid w:val="00D51501"/>
    <w:rsid w:val="00D51615"/>
    <w:rsid w:val="00D52143"/>
    <w:rsid w:val="00D5215B"/>
    <w:rsid w:val="00D53FDC"/>
    <w:rsid w:val="00D546C4"/>
    <w:rsid w:val="00D54BE0"/>
    <w:rsid w:val="00D5625E"/>
    <w:rsid w:val="00D566D3"/>
    <w:rsid w:val="00D57BAB"/>
    <w:rsid w:val="00D60D63"/>
    <w:rsid w:val="00D624FE"/>
    <w:rsid w:val="00D62CD8"/>
    <w:rsid w:val="00D62E47"/>
    <w:rsid w:val="00D62FF6"/>
    <w:rsid w:val="00D63774"/>
    <w:rsid w:val="00D6381B"/>
    <w:rsid w:val="00D63DFB"/>
    <w:rsid w:val="00D672EF"/>
    <w:rsid w:val="00D70E26"/>
    <w:rsid w:val="00D711F6"/>
    <w:rsid w:val="00D715C6"/>
    <w:rsid w:val="00D71D51"/>
    <w:rsid w:val="00D73D05"/>
    <w:rsid w:val="00D75F29"/>
    <w:rsid w:val="00D8296C"/>
    <w:rsid w:val="00D834E8"/>
    <w:rsid w:val="00D876FC"/>
    <w:rsid w:val="00D9004E"/>
    <w:rsid w:val="00D90071"/>
    <w:rsid w:val="00D90958"/>
    <w:rsid w:val="00D9411A"/>
    <w:rsid w:val="00D9456F"/>
    <w:rsid w:val="00D94EE9"/>
    <w:rsid w:val="00D96E04"/>
    <w:rsid w:val="00D974D0"/>
    <w:rsid w:val="00DA0578"/>
    <w:rsid w:val="00DA11BD"/>
    <w:rsid w:val="00DA2AD9"/>
    <w:rsid w:val="00DA3BAD"/>
    <w:rsid w:val="00DA4E67"/>
    <w:rsid w:val="00DA519B"/>
    <w:rsid w:val="00DA7547"/>
    <w:rsid w:val="00DB1856"/>
    <w:rsid w:val="00DB2361"/>
    <w:rsid w:val="00DB518B"/>
    <w:rsid w:val="00DB5EE8"/>
    <w:rsid w:val="00DB6391"/>
    <w:rsid w:val="00DB6EE9"/>
    <w:rsid w:val="00DC0695"/>
    <w:rsid w:val="00DC1677"/>
    <w:rsid w:val="00DC1B3D"/>
    <w:rsid w:val="00DC1CFB"/>
    <w:rsid w:val="00DC64DE"/>
    <w:rsid w:val="00DC7373"/>
    <w:rsid w:val="00DC770A"/>
    <w:rsid w:val="00DD1075"/>
    <w:rsid w:val="00DD167D"/>
    <w:rsid w:val="00DD2189"/>
    <w:rsid w:val="00DD2D26"/>
    <w:rsid w:val="00DD4B72"/>
    <w:rsid w:val="00DD76FC"/>
    <w:rsid w:val="00DE2BF3"/>
    <w:rsid w:val="00DE41FA"/>
    <w:rsid w:val="00DE4952"/>
    <w:rsid w:val="00DE5517"/>
    <w:rsid w:val="00DE55CA"/>
    <w:rsid w:val="00DE6056"/>
    <w:rsid w:val="00DE6CD6"/>
    <w:rsid w:val="00DE7821"/>
    <w:rsid w:val="00DF0690"/>
    <w:rsid w:val="00DF0718"/>
    <w:rsid w:val="00DF1C18"/>
    <w:rsid w:val="00DF27D4"/>
    <w:rsid w:val="00DF2997"/>
    <w:rsid w:val="00DF31C5"/>
    <w:rsid w:val="00DF3763"/>
    <w:rsid w:val="00DF7E85"/>
    <w:rsid w:val="00E02098"/>
    <w:rsid w:val="00E022AF"/>
    <w:rsid w:val="00E02F09"/>
    <w:rsid w:val="00E11B28"/>
    <w:rsid w:val="00E1233D"/>
    <w:rsid w:val="00E1268D"/>
    <w:rsid w:val="00E138C9"/>
    <w:rsid w:val="00E13E5B"/>
    <w:rsid w:val="00E14336"/>
    <w:rsid w:val="00E163F9"/>
    <w:rsid w:val="00E225A6"/>
    <w:rsid w:val="00E27C35"/>
    <w:rsid w:val="00E304BA"/>
    <w:rsid w:val="00E30A35"/>
    <w:rsid w:val="00E31CA4"/>
    <w:rsid w:val="00E32387"/>
    <w:rsid w:val="00E327FB"/>
    <w:rsid w:val="00E357D8"/>
    <w:rsid w:val="00E35A94"/>
    <w:rsid w:val="00E35E0E"/>
    <w:rsid w:val="00E36DDD"/>
    <w:rsid w:val="00E36E06"/>
    <w:rsid w:val="00E4388E"/>
    <w:rsid w:val="00E43CE1"/>
    <w:rsid w:val="00E456A9"/>
    <w:rsid w:val="00E465A8"/>
    <w:rsid w:val="00E47963"/>
    <w:rsid w:val="00E516A6"/>
    <w:rsid w:val="00E518C3"/>
    <w:rsid w:val="00E52DE7"/>
    <w:rsid w:val="00E5481C"/>
    <w:rsid w:val="00E5599E"/>
    <w:rsid w:val="00E57EA8"/>
    <w:rsid w:val="00E60197"/>
    <w:rsid w:val="00E61F88"/>
    <w:rsid w:val="00E63327"/>
    <w:rsid w:val="00E6378E"/>
    <w:rsid w:val="00E64882"/>
    <w:rsid w:val="00E6589F"/>
    <w:rsid w:val="00E70558"/>
    <w:rsid w:val="00E728B9"/>
    <w:rsid w:val="00E75E65"/>
    <w:rsid w:val="00E76F2E"/>
    <w:rsid w:val="00E777BF"/>
    <w:rsid w:val="00E77A3B"/>
    <w:rsid w:val="00E833D9"/>
    <w:rsid w:val="00E854E5"/>
    <w:rsid w:val="00E86482"/>
    <w:rsid w:val="00E91397"/>
    <w:rsid w:val="00E9612D"/>
    <w:rsid w:val="00E9616F"/>
    <w:rsid w:val="00E9676F"/>
    <w:rsid w:val="00EA22B6"/>
    <w:rsid w:val="00EA2EB2"/>
    <w:rsid w:val="00EA6512"/>
    <w:rsid w:val="00EA7026"/>
    <w:rsid w:val="00EA7940"/>
    <w:rsid w:val="00EB122A"/>
    <w:rsid w:val="00EB126A"/>
    <w:rsid w:val="00EB32A8"/>
    <w:rsid w:val="00EB3FE3"/>
    <w:rsid w:val="00EB4462"/>
    <w:rsid w:val="00EB7344"/>
    <w:rsid w:val="00EC1458"/>
    <w:rsid w:val="00EC1C08"/>
    <w:rsid w:val="00EC2418"/>
    <w:rsid w:val="00EC4E27"/>
    <w:rsid w:val="00EC4FB0"/>
    <w:rsid w:val="00EC5917"/>
    <w:rsid w:val="00ED13ED"/>
    <w:rsid w:val="00ED405C"/>
    <w:rsid w:val="00ED4339"/>
    <w:rsid w:val="00ED58C3"/>
    <w:rsid w:val="00ED7490"/>
    <w:rsid w:val="00ED7608"/>
    <w:rsid w:val="00ED77AE"/>
    <w:rsid w:val="00EE04C1"/>
    <w:rsid w:val="00EE1C34"/>
    <w:rsid w:val="00EE37AD"/>
    <w:rsid w:val="00EE617C"/>
    <w:rsid w:val="00EE7388"/>
    <w:rsid w:val="00EF14F6"/>
    <w:rsid w:val="00EF3783"/>
    <w:rsid w:val="00F0154C"/>
    <w:rsid w:val="00F03186"/>
    <w:rsid w:val="00F052F8"/>
    <w:rsid w:val="00F10608"/>
    <w:rsid w:val="00F10E09"/>
    <w:rsid w:val="00F11400"/>
    <w:rsid w:val="00F11E62"/>
    <w:rsid w:val="00F13D68"/>
    <w:rsid w:val="00F14744"/>
    <w:rsid w:val="00F1541E"/>
    <w:rsid w:val="00F15C00"/>
    <w:rsid w:val="00F17087"/>
    <w:rsid w:val="00F226AE"/>
    <w:rsid w:val="00F23CA2"/>
    <w:rsid w:val="00F24146"/>
    <w:rsid w:val="00F31625"/>
    <w:rsid w:val="00F31FE2"/>
    <w:rsid w:val="00F32EC6"/>
    <w:rsid w:val="00F330C7"/>
    <w:rsid w:val="00F33850"/>
    <w:rsid w:val="00F348A8"/>
    <w:rsid w:val="00F34B2A"/>
    <w:rsid w:val="00F359CF"/>
    <w:rsid w:val="00F370FB"/>
    <w:rsid w:val="00F3739E"/>
    <w:rsid w:val="00F374FE"/>
    <w:rsid w:val="00F37546"/>
    <w:rsid w:val="00F4072C"/>
    <w:rsid w:val="00F4419C"/>
    <w:rsid w:val="00F46B32"/>
    <w:rsid w:val="00F47B5E"/>
    <w:rsid w:val="00F509E6"/>
    <w:rsid w:val="00F50A0F"/>
    <w:rsid w:val="00F50A87"/>
    <w:rsid w:val="00F5248A"/>
    <w:rsid w:val="00F5265C"/>
    <w:rsid w:val="00F5441C"/>
    <w:rsid w:val="00F54DF5"/>
    <w:rsid w:val="00F55AD1"/>
    <w:rsid w:val="00F625F7"/>
    <w:rsid w:val="00F62AA0"/>
    <w:rsid w:val="00F62E53"/>
    <w:rsid w:val="00F6454F"/>
    <w:rsid w:val="00F659BB"/>
    <w:rsid w:val="00F71215"/>
    <w:rsid w:val="00F71BEB"/>
    <w:rsid w:val="00F72E8F"/>
    <w:rsid w:val="00F73968"/>
    <w:rsid w:val="00F73F6E"/>
    <w:rsid w:val="00F772A8"/>
    <w:rsid w:val="00F77422"/>
    <w:rsid w:val="00F77CC5"/>
    <w:rsid w:val="00F86CCA"/>
    <w:rsid w:val="00F87991"/>
    <w:rsid w:val="00F90F06"/>
    <w:rsid w:val="00F91118"/>
    <w:rsid w:val="00F916CF"/>
    <w:rsid w:val="00F92117"/>
    <w:rsid w:val="00F97211"/>
    <w:rsid w:val="00FA04DB"/>
    <w:rsid w:val="00FA091F"/>
    <w:rsid w:val="00FA0B20"/>
    <w:rsid w:val="00FA1DC7"/>
    <w:rsid w:val="00FA6A78"/>
    <w:rsid w:val="00FA7018"/>
    <w:rsid w:val="00FB02F7"/>
    <w:rsid w:val="00FB08CD"/>
    <w:rsid w:val="00FB1094"/>
    <w:rsid w:val="00FB25ED"/>
    <w:rsid w:val="00FB3DDC"/>
    <w:rsid w:val="00FB3E9D"/>
    <w:rsid w:val="00FB54B8"/>
    <w:rsid w:val="00FB7183"/>
    <w:rsid w:val="00FC361F"/>
    <w:rsid w:val="00FC374C"/>
    <w:rsid w:val="00FC3C92"/>
    <w:rsid w:val="00FD0755"/>
    <w:rsid w:val="00FD0FA8"/>
    <w:rsid w:val="00FD1713"/>
    <w:rsid w:val="00FD5C95"/>
    <w:rsid w:val="00FD64B7"/>
    <w:rsid w:val="00FE19BE"/>
    <w:rsid w:val="00FE2CE0"/>
    <w:rsid w:val="00FE5D46"/>
    <w:rsid w:val="00FE63E5"/>
    <w:rsid w:val="00FE7101"/>
    <w:rsid w:val="00FE720F"/>
    <w:rsid w:val="00FF0D69"/>
    <w:rsid w:val="00FF3888"/>
    <w:rsid w:val="00FF4531"/>
    <w:rsid w:val="00FF4987"/>
    <w:rsid w:val="00FF5868"/>
    <w:rsid w:val="00FF6A66"/>
    <w:rsid w:val="00FF73CA"/>
    <w:rsid w:val="00FF7DF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2769"/>
    <o:shapelayout v:ext="edit">
      <o:idmap v:ext="edit" data="1"/>
    </o:shapelayout>
  </w:shapeDefaults>
  <w:decimalSymbol w:val=","/>
  <w:listSeparator w:val=";"/>
  <w14:docId w14:val="0C6FE8F5"/>
  <w15:docId w15:val="{BBEF203F-CEB9-4A69-834F-D7902F6A7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sz w:val="22"/>
        <w:szCs w:val="22"/>
        <w:lang w:val="it-IT" w:eastAsia="it-IT"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qFormat="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locked="1"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E61F88"/>
    <w:pPr>
      <w:spacing w:after="160" w:line="259" w:lineRule="auto"/>
    </w:pPr>
    <w:rPr>
      <w:rFonts w:cs="Calibri"/>
      <w:lang w:eastAsia="en-US"/>
    </w:rPr>
  </w:style>
  <w:style w:type="paragraph" w:styleId="Titolo1">
    <w:name w:val="heading 1"/>
    <w:aliases w:val="SPC Titolo 1,ASAPHeading 1,Heading 1 Char,1 ghost Char,g Char,Ghost Char,ghost Char,h1 Char,R1,H11,Section Heading,II+,I,H12,H13,H14,H15,H16,H17,H18,H111,H121,H131,H141,H151,H161,H171,H19,H112,H122,H132,H142,H152,H162,H172,H181,H1111,H1211,H1"/>
    <w:basedOn w:val="Normale"/>
    <w:next w:val="Normale"/>
    <w:link w:val="Titolo1Carattere"/>
    <w:autoRedefine/>
    <w:uiPriority w:val="9"/>
    <w:qFormat/>
    <w:rsid w:val="00A76B7E"/>
    <w:pPr>
      <w:keepNext/>
      <w:keepLines/>
      <w:pageBreakBefore/>
      <w:numPr>
        <w:numId w:val="3"/>
      </w:numPr>
      <w:spacing w:before="840" w:after="600" w:line="240" w:lineRule="auto"/>
      <w:ind w:left="567" w:right="-423" w:hanging="425"/>
      <w:outlineLvl w:val="0"/>
    </w:pPr>
    <w:rPr>
      <w:rFonts w:ascii="Calibri Light" w:eastAsia="Times New Roman" w:hAnsi="Calibri Light" w:cs="Calibri Light"/>
      <w:caps/>
      <w:color w:val="2E74B5"/>
      <w:sz w:val="40"/>
      <w:szCs w:val="40"/>
    </w:rPr>
  </w:style>
  <w:style w:type="paragraph" w:styleId="Titolo2">
    <w:name w:val="heading 2"/>
    <w:aliases w:val="Titolo 2 buono,Heading 2 Char,Carattere1 Char,2 headline Char,h Char,headline Char,h2 Char,h2,CAPITOLO,Attribute Heading 2,H2,(1.1,1.2,1.3 etc),Prophead 2,A,A.B.C.,R2,H21,Level 2 Head,21,E2,l2,list 2,list 2,heading 2TOC,Head 2,t2 Carattere,t"/>
    <w:basedOn w:val="Normale"/>
    <w:next w:val="Normale"/>
    <w:link w:val="Titolo2Carattere"/>
    <w:autoRedefine/>
    <w:uiPriority w:val="9"/>
    <w:qFormat/>
    <w:rsid w:val="00A76B7E"/>
    <w:pPr>
      <w:keepNext/>
      <w:keepLines/>
      <w:spacing w:before="240" w:after="120"/>
      <w:outlineLvl w:val="1"/>
    </w:pPr>
    <w:rPr>
      <w:rFonts w:ascii="Calibri Light" w:eastAsia="Times New Roman" w:hAnsi="Calibri Light" w:cs="Calibri Light"/>
      <w:color w:val="2E74B5"/>
      <w:sz w:val="26"/>
      <w:szCs w:val="26"/>
    </w:rPr>
  </w:style>
  <w:style w:type="paragraph" w:styleId="Titolo3">
    <w:name w:val="heading 3"/>
    <w:aliases w:val="Carattere,3 bullet,b,2,SECOND,Second,bullet,h3,Bulle,BLANK2,Livello 3,H3,Org Heading 1,h1,§,§§,ASAPHeading 3,Org Heanormal,1.2.3.,titolo 3,3,summit,y,l3,Level 3 Head,Titolo 3.gf,3m,sotto§,Heading 3 - Logicasiel,3 Heading,3rdOrd (1.),Prophead"/>
    <w:basedOn w:val="Normale"/>
    <w:next w:val="Normale"/>
    <w:link w:val="Titolo3Carattere"/>
    <w:autoRedefine/>
    <w:uiPriority w:val="9"/>
    <w:qFormat/>
    <w:rsid w:val="0032497B"/>
    <w:pPr>
      <w:keepNext/>
      <w:keepLines/>
      <w:numPr>
        <w:ilvl w:val="2"/>
        <w:numId w:val="3"/>
      </w:numPr>
      <w:spacing w:before="120" w:after="120"/>
      <w:ind w:left="709"/>
      <w:outlineLvl w:val="2"/>
    </w:pPr>
    <w:rPr>
      <w:rFonts w:ascii="Calibri Light" w:eastAsia="Times New Roman" w:hAnsi="Calibri Light" w:cs="Calibri Light"/>
      <w:color w:val="4472C4"/>
      <w:sz w:val="26"/>
      <w:szCs w:val="26"/>
    </w:rPr>
  </w:style>
  <w:style w:type="paragraph" w:styleId="Titolo4">
    <w:name w:val="heading 4"/>
    <w:basedOn w:val="Normale"/>
    <w:next w:val="Normale"/>
    <w:link w:val="Titolo4Carattere"/>
    <w:autoRedefine/>
    <w:uiPriority w:val="9"/>
    <w:qFormat/>
    <w:rsid w:val="00094F0E"/>
    <w:pPr>
      <w:keepNext/>
      <w:keepLines/>
      <w:spacing w:before="120" w:after="60" w:line="240" w:lineRule="auto"/>
      <w:outlineLvl w:val="3"/>
    </w:pPr>
    <w:rPr>
      <w:rFonts w:ascii="Calibri Light" w:eastAsia="Times New Roman" w:hAnsi="Calibri Light" w:cs="Calibri Light"/>
      <w:color w:val="2E74B5"/>
      <w:sz w:val="26"/>
      <w:szCs w:val="26"/>
    </w:rPr>
  </w:style>
  <w:style w:type="paragraph" w:styleId="Titolo5">
    <w:name w:val="heading 5"/>
    <w:aliases w:val="h5,ITT t5,PA Pico Section,H5,Appendix A to X,Heading 5   Appendix A to X,Tit5,tit5,Ref Heading 2,rh2,Second Subheading,Ref Heading 21,rh21,H51,h51,Second Subheading1,Ref Heading 22,rh22,H52,Ref Heading 23,rh23,H53,h52,Second Subheading2,rh24,sb"/>
    <w:basedOn w:val="Normale"/>
    <w:next w:val="Normale"/>
    <w:link w:val="Titolo5Carattere"/>
    <w:uiPriority w:val="9"/>
    <w:qFormat/>
    <w:rsid w:val="00094F0E"/>
    <w:pPr>
      <w:keepNext/>
      <w:keepLines/>
      <w:numPr>
        <w:ilvl w:val="4"/>
        <w:numId w:val="3"/>
      </w:numPr>
      <w:spacing w:before="40" w:after="0"/>
      <w:outlineLvl w:val="4"/>
    </w:pPr>
    <w:rPr>
      <w:rFonts w:ascii="Calibri Light" w:eastAsia="Times New Roman" w:hAnsi="Calibri Light" w:cs="Calibri Light"/>
      <w:color w:val="2E74B5"/>
    </w:rPr>
  </w:style>
  <w:style w:type="paragraph" w:styleId="Titolo6">
    <w:name w:val="heading 6"/>
    <w:aliases w:val="h6,ITT t6,PA Appendix,ASAPHeading 6,Tit6,Tit61,H6,sub-dash,sd,5,L6,Ref Heading 3,rh3,Third Subheading,Ref Heading 31,rh31,Ref Heading 32,rh32,h61,Third Subheading1,Ref Heading 33,rh33,Ref Heading 34,rh34,h62,Third Subheading2,Ref Heading 35,T,s"/>
    <w:basedOn w:val="Normale"/>
    <w:next w:val="Normale"/>
    <w:link w:val="Titolo6Carattere"/>
    <w:uiPriority w:val="9"/>
    <w:qFormat/>
    <w:rsid w:val="00094F0E"/>
    <w:pPr>
      <w:keepNext/>
      <w:keepLines/>
      <w:numPr>
        <w:ilvl w:val="5"/>
        <w:numId w:val="3"/>
      </w:numPr>
      <w:spacing w:before="40" w:after="0"/>
      <w:outlineLvl w:val="5"/>
    </w:pPr>
    <w:rPr>
      <w:rFonts w:ascii="Calibri Light" w:eastAsia="Times New Roman" w:hAnsi="Calibri Light" w:cs="Calibri Light"/>
      <w:color w:val="1F4D78"/>
    </w:rPr>
  </w:style>
  <w:style w:type="paragraph" w:styleId="Titolo7">
    <w:name w:val="heading 7"/>
    <w:aliases w:val="ITT t7,PA Appendix Major,ASAPHeading 7,L7,sottopar11111,L71,ASAPHeading 71,sottopar111111,App Heading11,L72,ASAPHeading 72,sottopar111112,App Heading12,L73,ASAPHeading 73,L74,ASAPHeading 74,sottopar111113,App Heading13,sottopar111114,L75,L76,h7"/>
    <w:basedOn w:val="Normale"/>
    <w:next w:val="Normale"/>
    <w:link w:val="Titolo7Carattere"/>
    <w:uiPriority w:val="9"/>
    <w:qFormat/>
    <w:rsid w:val="00094F0E"/>
    <w:pPr>
      <w:keepNext/>
      <w:keepLines/>
      <w:numPr>
        <w:ilvl w:val="6"/>
        <w:numId w:val="3"/>
      </w:numPr>
      <w:spacing w:before="40" w:after="0"/>
      <w:outlineLvl w:val="6"/>
    </w:pPr>
    <w:rPr>
      <w:rFonts w:ascii="Calibri Light" w:eastAsia="Times New Roman" w:hAnsi="Calibri Light" w:cs="Calibri Light"/>
      <w:i/>
      <w:iCs/>
      <w:color w:val="1F4D78"/>
    </w:rPr>
  </w:style>
  <w:style w:type="paragraph" w:styleId="Titolo8">
    <w:name w:val="heading 8"/>
    <w:aliases w:val="ASAPHeading 8,ASAPHeading 81,ASAPHeading 82,ASAPHeading 83,ASAPHeading 84,ASAPHeading 85,ASAPHeading 86,ASAPHeading 87,action,Enzo,Legal Level 1.1.1.,8,FigureTitle,Condition,requirement,req2,req,Center Bold,Legal Level 1.1.1.1,poi,ITT t8,h8,r"/>
    <w:basedOn w:val="Normale"/>
    <w:next w:val="Normale"/>
    <w:link w:val="Titolo8Carattere"/>
    <w:uiPriority w:val="9"/>
    <w:qFormat/>
    <w:rsid w:val="00094F0E"/>
    <w:pPr>
      <w:keepNext/>
      <w:keepLines/>
      <w:numPr>
        <w:ilvl w:val="7"/>
        <w:numId w:val="3"/>
      </w:numPr>
      <w:spacing w:before="40" w:after="0"/>
      <w:outlineLvl w:val="7"/>
    </w:pPr>
    <w:rPr>
      <w:rFonts w:ascii="Calibri Light" w:eastAsia="Times New Roman" w:hAnsi="Calibri Light" w:cs="Calibri Light"/>
      <w:color w:val="272727"/>
      <w:sz w:val="21"/>
      <w:szCs w:val="21"/>
    </w:rPr>
  </w:style>
  <w:style w:type="paragraph" w:styleId="Titolo9">
    <w:name w:val="heading 9"/>
    <w:aliases w:val="ASAPHeading 9,App Heading,App Heading1,Appendix,App Heading2,App Heading3,App Heading4,App Heading5,App Heading6,Appendix1,App Heading7,ASAPHeading 91,App Heading21,App Heading31,App Heading41,App Heading51,App Heading61,Appendix2,ITT t9,h9,f,9"/>
    <w:basedOn w:val="Normale"/>
    <w:next w:val="Normale"/>
    <w:link w:val="Titolo9Carattere"/>
    <w:uiPriority w:val="9"/>
    <w:qFormat/>
    <w:rsid w:val="00094F0E"/>
    <w:pPr>
      <w:keepNext/>
      <w:keepLines/>
      <w:numPr>
        <w:ilvl w:val="8"/>
        <w:numId w:val="3"/>
      </w:numPr>
      <w:spacing w:before="40" w:after="0"/>
      <w:outlineLvl w:val="8"/>
    </w:pPr>
    <w:rPr>
      <w:rFonts w:ascii="Calibri Light" w:eastAsia="Times New Roman" w:hAnsi="Calibri Light" w:cs="Calibri Light"/>
      <w:i/>
      <w:iCs/>
      <w:color w:val="272727"/>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SPC Titolo 1 Carattere,ASAPHeading 1 Carattere,Heading 1 Char Carattere,1 ghost Char Carattere,g Char Carattere,Ghost Char Carattere,ghost Char Carattere,h1 Char Carattere,R1 Carattere,H11 Carattere,Section Heading Carattere"/>
    <w:basedOn w:val="Carpredefinitoparagrafo"/>
    <w:link w:val="Titolo1"/>
    <w:uiPriority w:val="9"/>
    <w:locked/>
    <w:rsid w:val="00A76B7E"/>
    <w:rPr>
      <w:rFonts w:ascii="Calibri Light" w:eastAsia="Times New Roman" w:hAnsi="Calibri Light" w:cs="Calibri Light"/>
      <w:caps/>
      <w:color w:val="2E74B5"/>
      <w:sz w:val="40"/>
      <w:szCs w:val="40"/>
      <w:lang w:eastAsia="en-US"/>
    </w:rPr>
  </w:style>
  <w:style w:type="character" w:customStyle="1" w:styleId="Heading2Char1">
    <w:name w:val="Heading 2 Char1"/>
    <w:aliases w:val="Titolo 2 buono Char,Heading 2 Char Char,Carattere1 Char Char,2 headline Char Char,h Char Char,headline Char Char,h2 Char Char,h2 Char1,CAPITOLO Char,Attribute Heading 2 Char,H2 Char,(1.1 Char,1.2 Char,1.3 etc) Char,Prophead 2 Char,A Char"/>
    <w:basedOn w:val="Carpredefinitoparagrafo"/>
    <w:uiPriority w:val="9"/>
    <w:semiHidden/>
    <w:rsid w:val="005228A4"/>
    <w:rPr>
      <w:rFonts w:asciiTheme="majorHAnsi" w:eastAsiaTheme="majorEastAsia" w:hAnsiTheme="majorHAnsi" w:cstheme="majorBidi"/>
      <w:b/>
      <w:bCs/>
      <w:i/>
      <w:iCs/>
      <w:sz w:val="28"/>
      <w:szCs w:val="28"/>
      <w:lang w:eastAsia="en-US"/>
    </w:rPr>
  </w:style>
  <w:style w:type="character" w:customStyle="1" w:styleId="Titolo3Carattere">
    <w:name w:val="Titolo 3 Carattere"/>
    <w:aliases w:val="Carattere Carattere,3 bullet Carattere,b Carattere,2 Carattere,SECOND Carattere,Second Carattere,bullet Carattere,h3 Carattere,Bulle Carattere,BLANK2 Carattere,Livello 3 Carattere,H3 Carattere,Org Heading 1 Carattere,h1 Carattere"/>
    <w:basedOn w:val="Carpredefinitoparagrafo"/>
    <w:link w:val="Titolo3"/>
    <w:uiPriority w:val="9"/>
    <w:locked/>
    <w:rsid w:val="0032497B"/>
    <w:rPr>
      <w:rFonts w:ascii="Calibri Light" w:eastAsia="Times New Roman" w:hAnsi="Calibri Light" w:cs="Calibri Light"/>
      <w:color w:val="4472C4"/>
      <w:sz w:val="26"/>
      <w:szCs w:val="26"/>
      <w:lang w:eastAsia="en-US"/>
    </w:rPr>
  </w:style>
  <w:style w:type="character" w:customStyle="1" w:styleId="Titolo4Carattere">
    <w:name w:val="Titolo 4 Carattere"/>
    <w:basedOn w:val="Carpredefinitoparagrafo"/>
    <w:link w:val="Titolo4"/>
    <w:uiPriority w:val="9"/>
    <w:locked/>
    <w:rsid w:val="00094F0E"/>
    <w:rPr>
      <w:rFonts w:ascii="Calibri Light" w:hAnsi="Calibri Light" w:cs="Calibri Light"/>
      <w:color w:val="2E74B5"/>
      <w:sz w:val="26"/>
      <w:szCs w:val="26"/>
    </w:rPr>
  </w:style>
  <w:style w:type="character" w:customStyle="1" w:styleId="Titolo5Carattere">
    <w:name w:val="Titolo 5 Carattere"/>
    <w:aliases w:val="h5 Carattere,ITT t5 Carattere,PA Pico Section Carattere,H5 Carattere,Appendix A to X Carattere,Heading 5   Appendix A to X Carattere,Tit5 Carattere,tit5 Carattere,Ref Heading 2 Carattere,rh2 Carattere,Second Subheading Carattere"/>
    <w:basedOn w:val="Carpredefinitoparagrafo"/>
    <w:link w:val="Titolo5"/>
    <w:uiPriority w:val="9"/>
    <w:locked/>
    <w:rsid w:val="00094F0E"/>
    <w:rPr>
      <w:rFonts w:ascii="Calibri Light" w:eastAsia="Times New Roman" w:hAnsi="Calibri Light" w:cs="Calibri Light"/>
      <w:color w:val="2E74B5"/>
      <w:lang w:eastAsia="en-US"/>
    </w:rPr>
  </w:style>
  <w:style w:type="character" w:customStyle="1" w:styleId="Heading6Char">
    <w:name w:val="Heading 6 Char"/>
    <w:aliases w:val="h6 Char,ITT t6 Char,PA Appendix Char,ASAPHeading 6 Char,Tit6 Char,Tit61 Char,H6 Char,sub-dash Char,sd Char,5 Char,L6 Char,Ref Heading 3 Char,rh3 Char,Third Subheading Char,Ref Heading 31 Char,rh31 Char,Ref Heading 32 Char,rh32 Char,T Char"/>
    <w:basedOn w:val="Carpredefinitoparagrafo"/>
    <w:uiPriority w:val="9"/>
    <w:semiHidden/>
    <w:rsid w:val="005228A4"/>
    <w:rPr>
      <w:rFonts w:asciiTheme="minorHAnsi" w:eastAsiaTheme="minorEastAsia" w:hAnsiTheme="minorHAnsi" w:cstheme="minorBidi"/>
      <w:b/>
      <w:bCs/>
      <w:lang w:eastAsia="en-US"/>
    </w:rPr>
  </w:style>
  <w:style w:type="character" w:customStyle="1" w:styleId="Titolo7Carattere">
    <w:name w:val="Titolo 7 Carattere"/>
    <w:aliases w:val="ITT t7 Carattere,PA Appendix Major Carattere,ASAPHeading 7 Carattere,L7 Carattere,sottopar11111 Carattere,L71 Carattere,ASAPHeading 71 Carattere,sottopar111111 Carattere,App Heading11 Carattere,L72 Carattere,ASAPHeading 72 Carattere"/>
    <w:basedOn w:val="Carpredefinitoparagrafo"/>
    <w:link w:val="Titolo7"/>
    <w:uiPriority w:val="9"/>
    <w:locked/>
    <w:rsid w:val="00094F0E"/>
    <w:rPr>
      <w:rFonts w:ascii="Calibri Light" w:eastAsia="Times New Roman" w:hAnsi="Calibri Light" w:cs="Calibri Light"/>
      <w:i/>
      <w:iCs/>
      <w:color w:val="1F4D78"/>
      <w:lang w:eastAsia="en-US"/>
    </w:rPr>
  </w:style>
  <w:style w:type="character" w:customStyle="1" w:styleId="Heading8Char">
    <w:name w:val="Heading 8 Char"/>
    <w:aliases w:val="ASAPHeading 8 Char,ASAPHeading 81 Char,ASAPHeading 82 Char,ASAPHeading 83 Char,ASAPHeading 84 Char,ASAPHeading 85 Char,ASAPHeading 86 Char,ASAPHeading 87 Char,action Char,Enzo Char,Legal Level 1.1.1. Char,8 Char,FigureTitle Char,req2 Char"/>
    <w:basedOn w:val="Carpredefinitoparagrafo"/>
    <w:uiPriority w:val="9"/>
    <w:semiHidden/>
    <w:rsid w:val="005228A4"/>
    <w:rPr>
      <w:rFonts w:asciiTheme="minorHAnsi" w:eastAsiaTheme="minorEastAsia" w:hAnsiTheme="minorHAnsi" w:cstheme="minorBidi"/>
      <w:i/>
      <w:iCs/>
      <w:sz w:val="24"/>
      <w:szCs w:val="24"/>
      <w:lang w:eastAsia="en-US"/>
    </w:rPr>
  </w:style>
  <w:style w:type="character" w:customStyle="1" w:styleId="Titolo9Carattere">
    <w:name w:val="Titolo 9 Carattere"/>
    <w:aliases w:val="ASAPHeading 9 Carattere,App Heading Carattere,App Heading1 Carattere,Appendix Carattere,App Heading2 Carattere,App Heading3 Carattere,App Heading4 Carattere,App Heading5 Carattere,App Heading6 Carattere,Appendix1 Carattere,f Carattere"/>
    <w:basedOn w:val="Carpredefinitoparagrafo"/>
    <w:link w:val="Titolo9"/>
    <w:uiPriority w:val="9"/>
    <w:locked/>
    <w:rsid w:val="00094F0E"/>
    <w:rPr>
      <w:rFonts w:ascii="Calibri Light" w:eastAsia="Times New Roman" w:hAnsi="Calibri Light" w:cs="Calibri Light"/>
      <w:i/>
      <w:iCs/>
      <w:color w:val="272727"/>
      <w:sz w:val="21"/>
      <w:szCs w:val="21"/>
      <w:lang w:eastAsia="en-US"/>
    </w:rPr>
  </w:style>
  <w:style w:type="paragraph" w:styleId="Intestazione">
    <w:name w:val="header"/>
    <w:basedOn w:val="Normale"/>
    <w:link w:val="IntestazioneCarattere"/>
    <w:uiPriority w:val="99"/>
    <w:rsid w:val="00094F0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locked/>
    <w:rsid w:val="00094F0E"/>
  </w:style>
  <w:style w:type="paragraph" w:styleId="Pidipagina">
    <w:name w:val="footer"/>
    <w:basedOn w:val="Normale"/>
    <w:link w:val="PidipaginaCarattere"/>
    <w:uiPriority w:val="99"/>
    <w:rsid w:val="00094F0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locked/>
    <w:rsid w:val="00094F0E"/>
  </w:style>
  <w:style w:type="table" w:customStyle="1" w:styleId="TableGrid">
    <w:name w:val="TableGrid"/>
    <w:rsid w:val="00094F0E"/>
    <w:rPr>
      <w:rFonts w:eastAsia="Times New Roman" w:cs="Calibri"/>
    </w:rPr>
    <w:tblPr>
      <w:tblCellMar>
        <w:top w:w="0" w:type="dxa"/>
        <w:left w:w="0" w:type="dxa"/>
        <w:bottom w:w="0" w:type="dxa"/>
        <w:right w:w="0" w:type="dxa"/>
      </w:tblCellMar>
    </w:tblPr>
  </w:style>
  <w:style w:type="paragraph" w:styleId="Testonotaapidipagina">
    <w:name w:val="footnote text"/>
    <w:basedOn w:val="Normale"/>
    <w:link w:val="TestonotaapidipaginaCarattere"/>
    <w:autoRedefine/>
    <w:semiHidden/>
    <w:rsid w:val="00094F0E"/>
    <w:pPr>
      <w:overflowPunct w:val="0"/>
      <w:autoSpaceDE w:val="0"/>
      <w:autoSpaceDN w:val="0"/>
      <w:adjustRightInd w:val="0"/>
      <w:spacing w:after="0" w:line="240" w:lineRule="auto"/>
      <w:jc w:val="both"/>
      <w:textAlignment w:val="baseline"/>
    </w:pPr>
    <w:rPr>
      <w:rFonts w:ascii="Arial" w:eastAsia="Times New Roman" w:hAnsi="Arial" w:cs="Arial"/>
      <w:sz w:val="20"/>
      <w:szCs w:val="20"/>
    </w:rPr>
  </w:style>
  <w:style w:type="character" w:customStyle="1" w:styleId="TestonotaapidipaginaCarattere">
    <w:name w:val="Testo nota a piè di pagina Carattere"/>
    <w:basedOn w:val="Carpredefinitoparagrafo"/>
    <w:link w:val="Testonotaapidipagina"/>
    <w:locked/>
    <w:rsid w:val="00094F0E"/>
    <w:rPr>
      <w:rFonts w:ascii="Arial" w:hAnsi="Arial" w:cs="Arial"/>
      <w:sz w:val="20"/>
      <w:szCs w:val="20"/>
    </w:rPr>
  </w:style>
  <w:style w:type="paragraph" w:customStyle="1" w:styleId="Titoloprocedura">
    <w:name w:val="Titolo procedura"/>
    <w:basedOn w:val="Normale"/>
    <w:rsid w:val="00094F0E"/>
    <w:pPr>
      <w:overflowPunct w:val="0"/>
      <w:autoSpaceDE w:val="0"/>
      <w:autoSpaceDN w:val="0"/>
      <w:adjustRightInd w:val="0"/>
      <w:spacing w:after="240" w:line="360" w:lineRule="auto"/>
      <w:jc w:val="center"/>
      <w:textAlignment w:val="baseline"/>
    </w:pPr>
    <w:rPr>
      <w:rFonts w:ascii="Arial Narrow" w:eastAsia="Times New Roman" w:hAnsi="Arial Narrow" w:cs="Arial Narrow"/>
      <w:b/>
      <w:bCs/>
      <w:caps/>
      <w:color w:val="333399"/>
      <w:sz w:val="40"/>
      <w:szCs w:val="40"/>
    </w:rPr>
  </w:style>
  <w:style w:type="paragraph" w:styleId="Sommario1">
    <w:name w:val="toc 1"/>
    <w:basedOn w:val="Normale"/>
    <w:next w:val="Normale"/>
    <w:autoRedefine/>
    <w:uiPriority w:val="39"/>
    <w:rsid w:val="00094F0E"/>
    <w:pPr>
      <w:tabs>
        <w:tab w:val="left" w:pos="709"/>
        <w:tab w:val="right" w:leader="dot" w:pos="9854"/>
      </w:tabs>
      <w:overflowPunct w:val="0"/>
      <w:autoSpaceDE w:val="0"/>
      <w:autoSpaceDN w:val="0"/>
      <w:adjustRightInd w:val="0"/>
      <w:spacing w:before="240" w:after="120" w:line="240" w:lineRule="auto"/>
      <w:textAlignment w:val="baseline"/>
    </w:pPr>
    <w:rPr>
      <w:rFonts w:eastAsia="Times New Roman"/>
      <w:b/>
      <w:bCs/>
      <w:caps/>
      <w:noProof/>
      <w:lang w:eastAsia="it-IT"/>
    </w:rPr>
  </w:style>
  <w:style w:type="paragraph" w:styleId="Sommario2">
    <w:name w:val="toc 2"/>
    <w:basedOn w:val="Normale"/>
    <w:next w:val="Normale"/>
    <w:autoRedefine/>
    <w:uiPriority w:val="39"/>
    <w:qFormat/>
    <w:rsid w:val="00094F0E"/>
    <w:pPr>
      <w:tabs>
        <w:tab w:val="left" w:pos="1418"/>
        <w:tab w:val="right" w:leader="dot" w:pos="9854"/>
      </w:tabs>
      <w:overflowPunct w:val="0"/>
      <w:autoSpaceDE w:val="0"/>
      <w:autoSpaceDN w:val="0"/>
      <w:adjustRightInd w:val="0"/>
      <w:spacing w:after="0" w:line="240" w:lineRule="auto"/>
      <w:ind w:left="709"/>
      <w:textAlignment w:val="baseline"/>
    </w:pPr>
    <w:rPr>
      <w:rFonts w:eastAsia="Times New Roman"/>
      <w:noProof/>
      <w:lang w:eastAsia="it-IT"/>
    </w:rPr>
  </w:style>
  <w:style w:type="paragraph" w:styleId="Sommario4">
    <w:name w:val="toc 4"/>
    <w:basedOn w:val="Normale"/>
    <w:next w:val="Normale"/>
    <w:autoRedefine/>
    <w:uiPriority w:val="39"/>
    <w:rsid w:val="00094F0E"/>
    <w:pPr>
      <w:overflowPunct w:val="0"/>
      <w:autoSpaceDE w:val="0"/>
      <w:autoSpaceDN w:val="0"/>
      <w:adjustRightInd w:val="0"/>
      <w:spacing w:after="0" w:line="240" w:lineRule="auto"/>
      <w:ind w:left="720"/>
      <w:textAlignment w:val="baseline"/>
    </w:pPr>
    <w:rPr>
      <w:rFonts w:eastAsia="Times New Roman"/>
      <w:sz w:val="20"/>
      <w:szCs w:val="20"/>
    </w:rPr>
  </w:style>
  <w:style w:type="character" w:styleId="Collegamentoipertestuale">
    <w:name w:val="Hyperlink"/>
    <w:basedOn w:val="Carpredefinitoparagrafo"/>
    <w:uiPriority w:val="99"/>
    <w:rsid w:val="00094F0E"/>
    <w:rPr>
      <w:rFonts w:ascii="Calibri" w:hAnsi="Calibri" w:cs="Calibri"/>
      <w:color w:val="0000FF"/>
      <w:sz w:val="22"/>
      <w:szCs w:val="22"/>
      <w:u w:val="single"/>
      <w:lang w:val="en-US" w:eastAsia="en-US"/>
    </w:rPr>
  </w:style>
  <w:style w:type="paragraph" w:styleId="Paragrafoelenco">
    <w:name w:val="List Paragraph"/>
    <w:aliases w:val="Elenco num ARGEA,List Paragraph1,Table of contents numbered,Normal bullet 2,Bullet list,Numbered List,Bullet 1,1st level - Bullet List Paragraph,Lettre d'introduction,List Paragraph à moi,Paragraph,Bullet EY,Medium Grid 1 - Accent 21,Ha"/>
    <w:basedOn w:val="Normale"/>
    <w:link w:val="ParagrafoelencoCarattere"/>
    <w:uiPriority w:val="34"/>
    <w:qFormat/>
    <w:rsid w:val="00094F0E"/>
    <w:pPr>
      <w:ind w:left="720"/>
    </w:pPr>
  </w:style>
  <w:style w:type="character" w:customStyle="1" w:styleId="Titolo2Carattere">
    <w:name w:val="Titolo 2 Carattere"/>
    <w:aliases w:val="Titolo 2 buono Carattere,Heading 2 Char Carattere,Carattere1 Char Carattere,2 headline Char Carattere,h Char Carattere,headline Char Carattere,h2 Char Carattere,h2 Carattere,CAPITOLO Carattere,Attribute Heading 2 Carattere,A Carattere"/>
    <w:basedOn w:val="Carpredefinitoparagrafo"/>
    <w:link w:val="Titolo2"/>
    <w:uiPriority w:val="9"/>
    <w:locked/>
    <w:rsid w:val="00A76B7E"/>
    <w:rPr>
      <w:rFonts w:ascii="Calibri Light" w:eastAsia="Times New Roman" w:hAnsi="Calibri Light" w:cs="Calibri Light"/>
      <w:color w:val="2E74B5"/>
      <w:sz w:val="26"/>
      <w:szCs w:val="26"/>
      <w:lang w:eastAsia="en-US"/>
    </w:rPr>
  </w:style>
  <w:style w:type="paragraph" w:customStyle="1" w:styleId="testo2">
    <w:name w:val="testo2"/>
    <w:basedOn w:val="Normale"/>
    <w:rsid w:val="00094F0E"/>
    <w:pPr>
      <w:overflowPunct w:val="0"/>
      <w:autoSpaceDE w:val="0"/>
      <w:autoSpaceDN w:val="0"/>
      <w:adjustRightInd w:val="0"/>
      <w:spacing w:after="0" w:line="240" w:lineRule="auto"/>
      <w:ind w:left="851"/>
      <w:jc w:val="both"/>
      <w:textAlignment w:val="baseline"/>
    </w:pPr>
    <w:rPr>
      <w:rFonts w:ascii="Arial" w:eastAsia="Times New Roman" w:hAnsi="Arial" w:cs="Arial"/>
      <w:sz w:val="24"/>
      <w:szCs w:val="24"/>
    </w:rPr>
  </w:style>
  <w:style w:type="paragraph" w:customStyle="1" w:styleId="Stile3">
    <w:name w:val="Stile3"/>
    <w:basedOn w:val="Normale"/>
    <w:rsid w:val="00094F0E"/>
    <w:pPr>
      <w:keepNext/>
      <w:numPr>
        <w:ilvl w:val="2"/>
        <w:numId w:val="1"/>
      </w:numPr>
      <w:overflowPunct w:val="0"/>
      <w:autoSpaceDE w:val="0"/>
      <w:autoSpaceDN w:val="0"/>
      <w:adjustRightInd w:val="0"/>
      <w:spacing w:before="360" w:after="360" w:line="240" w:lineRule="auto"/>
      <w:jc w:val="both"/>
      <w:textAlignment w:val="baseline"/>
      <w:outlineLvl w:val="2"/>
    </w:pPr>
    <w:rPr>
      <w:rFonts w:ascii="Verdana" w:eastAsia="Times New Roman" w:hAnsi="Verdana" w:cs="Verdana"/>
      <w:b/>
      <w:bCs/>
      <w:i/>
      <w:iCs/>
      <w:sz w:val="20"/>
      <w:szCs w:val="20"/>
    </w:rPr>
  </w:style>
  <w:style w:type="paragraph" w:styleId="Titolo">
    <w:name w:val="Title"/>
    <w:basedOn w:val="Normale"/>
    <w:next w:val="Normale"/>
    <w:link w:val="TitoloCarattere"/>
    <w:autoRedefine/>
    <w:uiPriority w:val="10"/>
    <w:qFormat/>
    <w:rsid w:val="00C540D8"/>
    <w:pPr>
      <w:spacing w:before="200" w:after="360" w:line="240" w:lineRule="auto"/>
    </w:pPr>
    <w:rPr>
      <w:rFonts w:ascii="Calibri Light" w:eastAsia="Times New Roman" w:hAnsi="Calibri Light" w:cs="Calibri Light"/>
      <w:color w:val="2E74B5"/>
      <w:spacing w:val="-10"/>
      <w:kern w:val="28"/>
      <w:sz w:val="32"/>
      <w:szCs w:val="32"/>
    </w:rPr>
  </w:style>
  <w:style w:type="character" w:customStyle="1" w:styleId="TitoloCarattere">
    <w:name w:val="Titolo Carattere"/>
    <w:basedOn w:val="Carpredefinitoparagrafo"/>
    <w:link w:val="Titolo"/>
    <w:uiPriority w:val="10"/>
    <w:locked/>
    <w:rsid w:val="00C540D8"/>
    <w:rPr>
      <w:rFonts w:ascii="Calibri Light" w:hAnsi="Calibri Light" w:cs="Calibri Light"/>
      <w:color w:val="2E74B5"/>
      <w:spacing w:val="-10"/>
      <w:kern w:val="28"/>
      <w:sz w:val="56"/>
      <w:szCs w:val="56"/>
    </w:rPr>
  </w:style>
  <w:style w:type="paragraph" w:styleId="Sottotitolo">
    <w:name w:val="Subtitle"/>
    <w:basedOn w:val="Normale"/>
    <w:next w:val="Normale"/>
    <w:link w:val="SottotitoloCarattere"/>
    <w:autoRedefine/>
    <w:uiPriority w:val="11"/>
    <w:qFormat/>
    <w:rsid w:val="0075432C"/>
    <w:pPr>
      <w:spacing w:before="360" w:after="200" w:line="240" w:lineRule="auto"/>
      <w:jc w:val="center"/>
    </w:pPr>
    <w:rPr>
      <w:rFonts w:eastAsia="Times New Roman"/>
      <w:noProof/>
      <w:color w:val="2E74B5"/>
      <w:spacing w:val="10"/>
      <w:sz w:val="28"/>
      <w:szCs w:val="28"/>
    </w:rPr>
  </w:style>
  <w:style w:type="character" w:customStyle="1" w:styleId="SottotitoloCarattere">
    <w:name w:val="Sottotitolo Carattere"/>
    <w:basedOn w:val="Carpredefinitoparagrafo"/>
    <w:link w:val="Sottotitolo"/>
    <w:uiPriority w:val="11"/>
    <w:locked/>
    <w:rsid w:val="0075432C"/>
    <w:rPr>
      <w:rFonts w:eastAsia="Times New Roman"/>
      <w:noProof/>
      <w:color w:val="2E74B5"/>
      <w:spacing w:val="10"/>
      <w:sz w:val="21"/>
      <w:szCs w:val="21"/>
    </w:rPr>
  </w:style>
  <w:style w:type="paragraph" w:styleId="Citazione">
    <w:name w:val="Quote"/>
    <w:basedOn w:val="Normale"/>
    <w:next w:val="Normale"/>
    <w:link w:val="CitazioneCarattere"/>
    <w:uiPriority w:val="29"/>
    <w:qFormat/>
    <w:rsid w:val="00094F0E"/>
    <w:pPr>
      <w:spacing w:before="100" w:after="200" w:line="276" w:lineRule="auto"/>
    </w:pPr>
    <w:rPr>
      <w:rFonts w:eastAsia="Times New Roman"/>
      <w:i/>
      <w:iCs/>
      <w:sz w:val="24"/>
      <w:szCs w:val="24"/>
    </w:rPr>
  </w:style>
  <w:style w:type="character" w:customStyle="1" w:styleId="CitazioneCarattere">
    <w:name w:val="Citazione Carattere"/>
    <w:basedOn w:val="Carpredefinitoparagrafo"/>
    <w:link w:val="Citazione"/>
    <w:uiPriority w:val="29"/>
    <w:locked/>
    <w:rsid w:val="00094F0E"/>
    <w:rPr>
      <w:rFonts w:eastAsia="Times New Roman"/>
      <w:i/>
      <w:iCs/>
      <w:sz w:val="24"/>
      <w:szCs w:val="24"/>
    </w:rPr>
  </w:style>
  <w:style w:type="character" w:styleId="Enfasiintensa">
    <w:name w:val="Intense Emphasis"/>
    <w:basedOn w:val="Carpredefinitoparagrafo"/>
    <w:uiPriority w:val="21"/>
    <w:qFormat/>
    <w:rsid w:val="00094F0E"/>
    <w:rPr>
      <w:b/>
      <w:bCs/>
      <w:caps/>
      <w:color w:val="1F4D78"/>
      <w:spacing w:val="10"/>
    </w:rPr>
  </w:style>
  <w:style w:type="table" w:customStyle="1" w:styleId="Tabellagriglia5scura-colore11">
    <w:name w:val="Tabella griglia 5 scura - colore 11"/>
    <w:uiPriority w:val="50"/>
    <w:rsid w:val="00094F0E"/>
    <w:rPr>
      <w:rFonts w:cs="Calibri"/>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paragraph" w:customStyle="1" w:styleId="spaziosopra">
    <w:name w:val="spazio sopra"/>
    <w:basedOn w:val="Normale"/>
    <w:link w:val="spaziosopraCarattere"/>
    <w:autoRedefine/>
    <w:qFormat/>
    <w:rsid w:val="00094F0E"/>
    <w:pPr>
      <w:spacing w:before="1080" w:after="0"/>
    </w:pPr>
    <w:rPr>
      <w:rFonts w:ascii="Arial" w:hAnsi="Arial" w:cs="Arial"/>
    </w:rPr>
  </w:style>
  <w:style w:type="paragraph" w:styleId="Nessunaspaziatura">
    <w:name w:val="No Spacing"/>
    <w:link w:val="NessunaspaziaturaCarattere"/>
    <w:uiPriority w:val="1"/>
    <w:qFormat/>
    <w:rsid w:val="00094F0E"/>
    <w:rPr>
      <w:rFonts w:cs="Calibri"/>
      <w:lang w:eastAsia="en-US"/>
    </w:rPr>
  </w:style>
  <w:style w:type="character" w:customStyle="1" w:styleId="spaziosopraCarattere">
    <w:name w:val="spazio sopra Carattere"/>
    <w:basedOn w:val="Carpredefinitoparagrafo"/>
    <w:link w:val="spaziosopra"/>
    <w:locked/>
    <w:rsid w:val="00094F0E"/>
    <w:rPr>
      <w:rFonts w:ascii="Arial" w:hAnsi="Arial" w:cs="Arial"/>
    </w:rPr>
  </w:style>
  <w:style w:type="paragraph" w:customStyle="1" w:styleId="notepiedipag">
    <w:name w:val="note piedipag"/>
    <w:basedOn w:val="Nessunaspaziatura"/>
    <w:link w:val="notepiedipagCarattere"/>
    <w:autoRedefine/>
    <w:qFormat/>
    <w:rsid w:val="00094F0E"/>
    <w:pPr>
      <w:spacing w:before="60" w:after="60"/>
    </w:pPr>
    <w:rPr>
      <w:color w:val="7F7F7F"/>
      <w:sz w:val="20"/>
      <w:szCs w:val="20"/>
    </w:rPr>
  </w:style>
  <w:style w:type="table" w:styleId="Grigliatabella">
    <w:name w:val="Table Grid"/>
    <w:aliases w:val="Deloitte,Table Definitions Grid"/>
    <w:basedOn w:val="Tabellanormale"/>
    <w:uiPriority w:val="39"/>
    <w:rsid w:val="00094F0E"/>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ssunaspaziaturaCarattere">
    <w:name w:val="Nessuna spaziatura Carattere"/>
    <w:basedOn w:val="Carpredefinitoparagrafo"/>
    <w:link w:val="Nessunaspaziatura"/>
    <w:uiPriority w:val="1"/>
    <w:locked/>
    <w:rsid w:val="00094F0E"/>
    <w:rPr>
      <w:sz w:val="22"/>
      <w:szCs w:val="22"/>
      <w:lang w:val="it-IT" w:eastAsia="en-US"/>
    </w:rPr>
  </w:style>
  <w:style w:type="character" w:customStyle="1" w:styleId="notepiedipagCarattere">
    <w:name w:val="note piedipag Carattere"/>
    <w:basedOn w:val="NessunaspaziaturaCarattere"/>
    <w:link w:val="notepiedipag"/>
    <w:locked/>
    <w:rsid w:val="00094F0E"/>
    <w:rPr>
      <w:color w:val="7F7F7F"/>
      <w:sz w:val="22"/>
      <w:szCs w:val="22"/>
      <w:lang w:val="it-IT" w:eastAsia="en-US"/>
    </w:rPr>
  </w:style>
  <w:style w:type="character" w:styleId="Titolodellibro">
    <w:name w:val="Book Title"/>
    <w:basedOn w:val="Carpredefinitoparagrafo"/>
    <w:uiPriority w:val="33"/>
    <w:qFormat/>
    <w:rsid w:val="00094F0E"/>
    <w:rPr>
      <w:b/>
      <w:bCs/>
      <w:i/>
      <w:iCs/>
      <w:spacing w:val="5"/>
    </w:rPr>
  </w:style>
  <w:style w:type="paragraph" w:customStyle="1" w:styleId="Titolodeldocumento">
    <w:name w:val="Titolo del documento"/>
    <w:basedOn w:val="Normale"/>
    <w:link w:val="TitolodeldocumentoCarattere"/>
    <w:autoRedefine/>
    <w:qFormat/>
    <w:rsid w:val="0075432C"/>
    <w:pPr>
      <w:spacing w:before="240" w:after="0" w:line="400" w:lineRule="exact"/>
      <w:ind w:left="1276" w:hanging="1276"/>
      <w:jc w:val="center"/>
    </w:pPr>
    <w:rPr>
      <w:rFonts w:eastAsia="Times New Roman"/>
      <w:noProof/>
      <w:color w:val="000000"/>
      <w:sz w:val="36"/>
      <w:szCs w:val="36"/>
      <w:lang w:eastAsia="it-IT"/>
    </w:rPr>
  </w:style>
  <w:style w:type="paragraph" w:customStyle="1" w:styleId="tabella">
    <w:name w:val="tabella"/>
    <w:basedOn w:val="Normale1"/>
    <w:autoRedefine/>
    <w:rsid w:val="00D9004E"/>
    <w:pPr>
      <w:spacing w:after="0"/>
      <w:jc w:val="left"/>
    </w:pPr>
    <w:rPr>
      <w:b/>
      <w:bCs/>
      <w:noProof/>
      <w:color w:val="FFFFFF"/>
      <w:sz w:val="20"/>
      <w:szCs w:val="20"/>
    </w:rPr>
  </w:style>
  <w:style w:type="character" w:customStyle="1" w:styleId="TitolodeldocumentoCarattere">
    <w:name w:val="Titolo del documento Carattere"/>
    <w:basedOn w:val="Carpredefinitoparagrafo"/>
    <w:link w:val="Titolodeldocumento"/>
    <w:locked/>
    <w:rsid w:val="0075432C"/>
    <w:rPr>
      <w:rFonts w:eastAsia="Times New Roman"/>
      <w:noProof/>
      <w:color w:val="000000"/>
      <w:sz w:val="28"/>
      <w:szCs w:val="28"/>
      <w:lang w:eastAsia="it-IT"/>
    </w:rPr>
  </w:style>
  <w:style w:type="paragraph" w:customStyle="1" w:styleId="Normale1">
    <w:name w:val="Normale1"/>
    <w:basedOn w:val="Normale"/>
    <w:rsid w:val="00094F0E"/>
    <w:pPr>
      <w:spacing w:after="120" w:line="264" w:lineRule="auto"/>
      <w:jc w:val="both"/>
    </w:pPr>
    <w:rPr>
      <w:rFonts w:eastAsia="Times New Roman"/>
      <w:sz w:val="24"/>
      <w:szCs w:val="24"/>
      <w:lang w:eastAsia="it-IT"/>
    </w:rPr>
  </w:style>
  <w:style w:type="paragraph" w:customStyle="1" w:styleId="IntroBreak">
    <w:name w:val="IntroBreak"/>
    <w:basedOn w:val="Normale"/>
    <w:autoRedefine/>
    <w:rsid w:val="00094F0E"/>
    <w:pPr>
      <w:spacing w:after="120" w:line="264" w:lineRule="auto"/>
    </w:pPr>
    <w:rPr>
      <w:rFonts w:ascii="Tahoma" w:eastAsia="Times New Roman" w:hAnsi="Tahoma" w:cs="Tahoma"/>
      <w:b/>
      <w:bCs/>
      <w:sz w:val="20"/>
      <w:szCs w:val="20"/>
    </w:rPr>
  </w:style>
  <w:style w:type="paragraph" w:styleId="Titolosommario">
    <w:name w:val="TOC Heading"/>
    <w:basedOn w:val="Titolo1"/>
    <w:next w:val="Normale"/>
    <w:autoRedefine/>
    <w:uiPriority w:val="39"/>
    <w:qFormat/>
    <w:rsid w:val="00094F0E"/>
    <w:pPr>
      <w:numPr>
        <w:numId w:val="0"/>
      </w:numPr>
      <w:spacing w:before="360" w:after="120"/>
      <w:outlineLvl w:val="9"/>
    </w:pPr>
    <w:rPr>
      <w:lang w:eastAsia="it-IT"/>
    </w:rPr>
  </w:style>
  <w:style w:type="paragraph" w:styleId="Sommario3">
    <w:name w:val="toc 3"/>
    <w:basedOn w:val="Normale"/>
    <w:next w:val="Normale"/>
    <w:autoRedefine/>
    <w:uiPriority w:val="39"/>
    <w:rsid w:val="00094F0E"/>
    <w:pPr>
      <w:tabs>
        <w:tab w:val="left" w:pos="1418"/>
        <w:tab w:val="right" w:leader="dot" w:pos="9854"/>
      </w:tabs>
      <w:spacing w:after="0" w:line="240" w:lineRule="auto"/>
      <w:ind w:left="993" w:hanging="300"/>
    </w:pPr>
    <w:rPr>
      <w:rFonts w:eastAsia="Times New Roman"/>
      <w:noProof/>
      <w:lang w:eastAsia="it-IT"/>
    </w:rPr>
  </w:style>
  <w:style w:type="character" w:styleId="Rimandonotaapidipagina">
    <w:name w:val="footnote reference"/>
    <w:basedOn w:val="Carpredefinitoparagrafo"/>
    <w:semiHidden/>
    <w:rsid w:val="00094F0E"/>
    <w:rPr>
      <w:vertAlign w:val="superscript"/>
    </w:rPr>
  </w:style>
  <w:style w:type="paragraph" w:customStyle="1" w:styleId="TableHeadBold">
    <w:name w:val="Table Head Bold"/>
    <w:basedOn w:val="Normale"/>
    <w:rsid w:val="00094F0E"/>
    <w:pPr>
      <w:keepNext/>
      <w:keepLines/>
      <w:overflowPunct w:val="0"/>
      <w:autoSpaceDE w:val="0"/>
      <w:autoSpaceDN w:val="0"/>
      <w:adjustRightInd w:val="0"/>
      <w:spacing w:before="60" w:after="60" w:line="264" w:lineRule="auto"/>
      <w:ind w:left="60" w:right="60"/>
      <w:textAlignment w:val="baseline"/>
    </w:pPr>
    <w:rPr>
      <w:rFonts w:ascii="Helvetica" w:eastAsia="Times New Roman" w:hAnsi="Helvetica" w:cs="Helvetica"/>
      <w:b/>
      <w:bCs/>
      <w:sz w:val="20"/>
      <w:szCs w:val="20"/>
      <w:lang w:val="en-US"/>
    </w:rPr>
  </w:style>
  <w:style w:type="table" w:customStyle="1" w:styleId="Tabellaelenco1chiara-colore11">
    <w:name w:val="Tabella elenco 1 chiara - colore 11"/>
    <w:uiPriority w:val="46"/>
    <w:rsid w:val="00094F0E"/>
    <w:rPr>
      <w:rFonts w:cs="Calibri"/>
      <w:sz w:val="20"/>
      <w:szCs w:val="20"/>
    </w:rPr>
    <w:tblPr>
      <w:tblStyleRowBandSize w:val="1"/>
      <w:tblStyleColBandSize w:val="1"/>
      <w:tblCellMar>
        <w:top w:w="0" w:type="dxa"/>
        <w:left w:w="108" w:type="dxa"/>
        <w:bottom w:w="0" w:type="dxa"/>
        <w:right w:w="108" w:type="dxa"/>
      </w:tblCellMar>
    </w:tblPr>
    <w:tblStylePr w:type="firstRow">
      <w:rPr>
        <w:b/>
        <w:bCs/>
      </w:rPr>
      <w:tblPr/>
      <w:tcPr>
        <w:tcBorders>
          <w:bottom w:val="single" w:sz="4" w:space="0" w:color="9CC2E5"/>
        </w:tcBorders>
      </w:tcPr>
    </w:tblStylePr>
    <w:tblStylePr w:type="lastRow">
      <w:rPr>
        <w:b/>
        <w:bCs/>
      </w:rPr>
      <w:tblPr/>
      <w:tcPr>
        <w:tcBorders>
          <w:top w:val="sing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4-colore11">
    <w:name w:val="Tabella griglia 4 - colore 11"/>
    <w:uiPriority w:val="49"/>
    <w:rsid w:val="00094F0E"/>
    <w:rPr>
      <w:rFonts w:cs="Calibri"/>
      <w:sz w:val="20"/>
      <w:szCs w:val="20"/>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elenco4-colore11">
    <w:name w:val="Tabella elenco 4 - colore 11"/>
    <w:uiPriority w:val="49"/>
    <w:rsid w:val="00094F0E"/>
    <w:rPr>
      <w:rFonts w:cs="Calibri"/>
      <w:sz w:val="20"/>
      <w:szCs w:val="20"/>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standard-01">
    <w:name w:val="Tabella standard-01"/>
    <w:basedOn w:val="Tabellaelenco4-colore11"/>
    <w:uiPriority w:val="99"/>
    <w:rsid w:val="00094F0E"/>
    <w:tblPr>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Pr>
    <w:tblStylePr w:type="firstRow">
      <w:rPr>
        <w:rFonts w:ascii="Calibri" w:hAnsi="Calibri" w:cs="Calibri"/>
        <w:b/>
        <w:bCs/>
        <w:color w:val="FFFFFF"/>
        <w:sz w:val="22"/>
        <w:szCs w:val="22"/>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intestazione0">
    <w:name w:val="intestazione"/>
    <w:basedOn w:val="Normale"/>
    <w:link w:val="intestazioneCarattere0"/>
    <w:autoRedefine/>
    <w:qFormat/>
    <w:rsid w:val="00094F0E"/>
    <w:pPr>
      <w:spacing w:after="0" w:line="264" w:lineRule="auto"/>
    </w:pPr>
    <w:rPr>
      <w:rFonts w:eastAsia="Times New Roman"/>
      <w:noProof/>
      <w:sz w:val="20"/>
      <w:szCs w:val="20"/>
      <w:lang w:eastAsia="it-IT"/>
    </w:rPr>
  </w:style>
  <w:style w:type="character" w:customStyle="1" w:styleId="intestazioneCarattere0">
    <w:name w:val="intestazione Carattere"/>
    <w:link w:val="intestazione0"/>
    <w:locked/>
    <w:rsid w:val="00094F0E"/>
    <w:rPr>
      <w:rFonts w:ascii="Calibri" w:hAnsi="Calibri" w:cs="Calibri"/>
      <w:noProof/>
      <w:sz w:val="20"/>
      <w:szCs w:val="20"/>
      <w:lang w:eastAsia="it-IT"/>
    </w:rPr>
  </w:style>
  <w:style w:type="table" w:customStyle="1" w:styleId="Grigliatabella1">
    <w:name w:val="Griglia tabella1"/>
    <w:rsid w:val="00616CFD"/>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6Carattere">
    <w:name w:val="Titolo 6 Carattere"/>
    <w:aliases w:val="h6 Carattere,ITT t6 Carattere,PA Appendix Carattere,ASAPHeading 6 Carattere,Tit6 Carattere,Tit61 Carattere,H6 Carattere,sub-dash Carattere,sd Carattere,5 Carattere,L6 Carattere,Ref Heading 3 Carattere,rh3 Carattere,rh31 Carattere"/>
    <w:basedOn w:val="Carpredefinitoparagrafo"/>
    <w:link w:val="Titolo6"/>
    <w:uiPriority w:val="9"/>
    <w:locked/>
    <w:rsid w:val="00094F0E"/>
    <w:rPr>
      <w:rFonts w:ascii="Calibri Light" w:eastAsia="Times New Roman" w:hAnsi="Calibri Light" w:cs="Calibri Light"/>
      <w:color w:val="1F4D78"/>
      <w:lang w:eastAsia="en-US"/>
    </w:rPr>
  </w:style>
  <w:style w:type="character" w:customStyle="1" w:styleId="Titolo8Carattere">
    <w:name w:val="Titolo 8 Carattere"/>
    <w:aliases w:val="ASAPHeading 8 Carattere,ASAPHeading 81 Carattere,ASAPHeading 82 Carattere,ASAPHeading 83 Carattere,ASAPHeading 84 Carattere,ASAPHeading 85 Carattere,ASAPHeading 86 Carattere,ASAPHeading 87 Carattere,action Carattere,Enzo Carattere"/>
    <w:basedOn w:val="Carpredefinitoparagrafo"/>
    <w:link w:val="Titolo8"/>
    <w:uiPriority w:val="9"/>
    <w:locked/>
    <w:rsid w:val="00094F0E"/>
    <w:rPr>
      <w:rFonts w:ascii="Calibri Light" w:eastAsia="Times New Roman" w:hAnsi="Calibri Light" w:cs="Calibri Light"/>
      <w:color w:val="272727"/>
      <w:sz w:val="21"/>
      <w:szCs w:val="21"/>
      <w:lang w:eastAsia="en-US"/>
    </w:rPr>
  </w:style>
  <w:style w:type="paragraph" w:customStyle="1" w:styleId="Normale2">
    <w:name w:val="Normale2"/>
    <w:basedOn w:val="Normale1"/>
    <w:link w:val="Normale2Carattere"/>
    <w:rsid w:val="00094F0E"/>
    <w:pPr>
      <w:spacing w:line="240" w:lineRule="auto"/>
      <w:ind w:left="700"/>
    </w:pPr>
    <w:rPr>
      <w:rFonts w:ascii="Times New Roman" w:hAnsi="Times New Roman" w:cs="Times New Roman"/>
    </w:rPr>
  </w:style>
  <w:style w:type="paragraph" w:customStyle="1" w:styleId="testoGuida">
    <w:name w:val="testo Guida"/>
    <w:basedOn w:val="Rientrocorpodeltesto"/>
    <w:link w:val="testoGuidaCarattere"/>
    <w:rsid w:val="00094F0E"/>
    <w:pPr>
      <w:pBdr>
        <w:top w:val="dashSmallGap" w:sz="4" w:space="1" w:color="auto"/>
        <w:left w:val="dashSmallGap" w:sz="4" w:space="4" w:color="auto"/>
        <w:bottom w:val="dashSmallGap" w:sz="4" w:space="1" w:color="auto"/>
        <w:right w:val="dashSmallGap" w:sz="4" w:space="4" w:color="auto"/>
      </w:pBdr>
      <w:spacing w:after="0" w:line="240" w:lineRule="auto"/>
      <w:ind w:left="0"/>
      <w:jc w:val="both"/>
    </w:pPr>
    <w:rPr>
      <w:rFonts w:ascii="Times New Roman" w:eastAsia="Times New Roman" w:hAnsi="Times New Roman" w:cs="Times New Roman"/>
      <w:sz w:val="24"/>
      <w:szCs w:val="24"/>
      <w:lang w:eastAsia="it-IT"/>
    </w:rPr>
  </w:style>
  <w:style w:type="paragraph" w:styleId="Rientrocorpodeltesto">
    <w:name w:val="Body Text Indent"/>
    <w:basedOn w:val="Normale"/>
    <w:link w:val="RientrocorpodeltestoCarattere"/>
    <w:uiPriority w:val="99"/>
    <w:semiHidden/>
    <w:rsid w:val="00094F0E"/>
    <w:pPr>
      <w:spacing w:after="120"/>
      <w:ind w:left="283"/>
    </w:pPr>
  </w:style>
  <w:style w:type="character" w:customStyle="1" w:styleId="RientrocorpodeltestoCarattere">
    <w:name w:val="Rientro corpo del testo Carattere"/>
    <w:basedOn w:val="Carpredefinitoparagrafo"/>
    <w:link w:val="Rientrocorpodeltesto"/>
    <w:uiPriority w:val="99"/>
    <w:semiHidden/>
    <w:locked/>
    <w:rsid w:val="00094F0E"/>
  </w:style>
  <w:style w:type="character" w:styleId="Rimandocommento">
    <w:name w:val="annotation reference"/>
    <w:basedOn w:val="Carpredefinitoparagrafo"/>
    <w:uiPriority w:val="99"/>
    <w:semiHidden/>
    <w:rsid w:val="00094F0E"/>
    <w:rPr>
      <w:sz w:val="16"/>
      <w:szCs w:val="16"/>
    </w:rPr>
  </w:style>
  <w:style w:type="paragraph" w:styleId="Testocommento">
    <w:name w:val="annotation text"/>
    <w:basedOn w:val="Normale"/>
    <w:link w:val="TestocommentoCarattere"/>
    <w:uiPriority w:val="99"/>
    <w:semiHidden/>
    <w:rsid w:val="00094F0E"/>
    <w:pPr>
      <w:spacing w:line="240" w:lineRule="auto"/>
    </w:pPr>
    <w:rPr>
      <w:sz w:val="20"/>
      <w:szCs w:val="20"/>
    </w:rPr>
  </w:style>
  <w:style w:type="character" w:customStyle="1" w:styleId="TestocommentoCarattere">
    <w:name w:val="Testo commento Carattere"/>
    <w:basedOn w:val="Carpredefinitoparagrafo"/>
    <w:link w:val="Testocommento"/>
    <w:uiPriority w:val="99"/>
    <w:semiHidden/>
    <w:locked/>
    <w:rsid w:val="00094F0E"/>
    <w:rPr>
      <w:sz w:val="20"/>
      <w:szCs w:val="20"/>
    </w:rPr>
  </w:style>
  <w:style w:type="paragraph" w:styleId="Soggettocommento">
    <w:name w:val="annotation subject"/>
    <w:basedOn w:val="Testocommento"/>
    <w:next w:val="Testocommento"/>
    <w:link w:val="SoggettocommentoCarattere"/>
    <w:uiPriority w:val="99"/>
    <w:semiHidden/>
    <w:rsid w:val="00094F0E"/>
    <w:rPr>
      <w:b/>
      <w:bCs/>
    </w:rPr>
  </w:style>
  <w:style w:type="character" w:customStyle="1" w:styleId="SoggettocommentoCarattere">
    <w:name w:val="Soggetto commento Carattere"/>
    <w:basedOn w:val="TestocommentoCarattere"/>
    <w:link w:val="Soggettocommento"/>
    <w:uiPriority w:val="99"/>
    <w:semiHidden/>
    <w:locked/>
    <w:rsid w:val="00094F0E"/>
    <w:rPr>
      <w:b/>
      <w:bCs/>
      <w:sz w:val="20"/>
      <w:szCs w:val="20"/>
    </w:rPr>
  </w:style>
  <w:style w:type="paragraph" w:styleId="Testofumetto">
    <w:name w:val="Balloon Text"/>
    <w:basedOn w:val="Normale"/>
    <w:link w:val="TestofumettoCarattere"/>
    <w:uiPriority w:val="99"/>
    <w:semiHidden/>
    <w:rsid w:val="00094F0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locked/>
    <w:rsid w:val="00094F0E"/>
    <w:rPr>
      <w:rFonts w:ascii="Segoe UI" w:hAnsi="Segoe UI" w:cs="Segoe UI"/>
      <w:sz w:val="18"/>
      <w:szCs w:val="18"/>
    </w:rPr>
  </w:style>
  <w:style w:type="paragraph" w:customStyle="1" w:styleId="puntoelenco-1liv">
    <w:name w:val="puntoelenco-1liv"/>
    <w:basedOn w:val="Paragrafoelenco"/>
    <w:link w:val="puntoelenco-1livCarattere"/>
    <w:autoRedefine/>
    <w:qFormat/>
    <w:rsid w:val="005A340A"/>
    <w:pPr>
      <w:numPr>
        <w:numId w:val="4"/>
      </w:numPr>
    </w:pPr>
    <w:rPr>
      <w:lang w:val="en-US"/>
    </w:rPr>
  </w:style>
  <w:style w:type="paragraph" w:customStyle="1" w:styleId="puntoelenco-2liv">
    <w:name w:val="puntoelenco-2liv"/>
    <w:basedOn w:val="Paragrafoelenco"/>
    <w:link w:val="puntoelenco-2livCarattere"/>
    <w:autoRedefine/>
    <w:qFormat/>
    <w:rsid w:val="0082751A"/>
    <w:pPr>
      <w:numPr>
        <w:ilvl w:val="1"/>
        <w:numId w:val="5"/>
      </w:numPr>
    </w:pPr>
  </w:style>
  <w:style w:type="character" w:customStyle="1" w:styleId="puntoelenco-1livCarattere">
    <w:name w:val="puntoelenco-1liv Carattere"/>
    <w:basedOn w:val="Carpredefinitoparagrafo"/>
    <w:link w:val="puntoelenco-1liv"/>
    <w:locked/>
    <w:rsid w:val="002E58B4"/>
    <w:rPr>
      <w:rFonts w:cs="Calibri"/>
      <w:lang w:val="en-US" w:eastAsia="en-US"/>
    </w:rPr>
  </w:style>
  <w:style w:type="table" w:customStyle="1" w:styleId="TAB-01">
    <w:name w:val="TAB-01"/>
    <w:uiPriority w:val="99"/>
    <w:rsid w:val="00094F0E"/>
    <w:rPr>
      <w:rFonts w:cs="Calibri"/>
      <w:sz w:val="20"/>
      <w:szCs w:val="20"/>
    </w:rPr>
    <w:tblPr>
      <w:tblCellMar>
        <w:top w:w="0" w:type="dxa"/>
        <w:left w:w="108" w:type="dxa"/>
        <w:bottom w:w="0" w:type="dxa"/>
        <w:right w:w="108" w:type="dxa"/>
      </w:tblCellMar>
    </w:tblPr>
  </w:style>
  <w:style w:type="character" w:customStyle="1" w:styleId="puntoelenco-2livCarattere">
    <w:name w:val="puntoelenco-2liv Carattere"/>
    <w:basedOn w:val="Carpredefinitoparagrafo"/>
    <w:link w:val="puntoelenco-2liv"/>
    <w:locked/>
    <w:rsid w:val="0082751A"/>
    <w:rPr>
      <w:rFonts w:cs="Calibri"/>
      <w:lang w:eastAsia="en-US"/>
    </w:rPr>
  </w:style>
  <w:style w:type="paragraph" w:customStyle="1" w:styleId="Testo-TAB-01">
    <w:name w:val="Testo-TAB-01"/>
    <w:basedOn w:val="Normale"/>
    <w:link w:val="Testo-TAB-01Carattere"/>
    <w:autoRedefine/>
    <w:qFormat/>
    <w:rsid w:val="00094F0E"/>
    <w:pPr>
      <w:spacing w:before="60" w:after="60" w:line="240" w:lineRule="auto"/>
    </w:pPr>
    <w:rPr>
      <w:rFonts w:eastAsia="Times New Roman"/>
      <w:color w:val="FFFFFF"/>
      <w:sz w:val="20"/>
      <w:szCs w:val="20"/>
      <w:lang w:val="fr-FR" w:eastAsia="it-IT"/>
    </w:rPr>
  </w:style>
  <w:style w:type="table" w:customStyle="1" w:styleId="Tabellastandard-02">
    <w:name w:val="Tabella standard-02"/>
    <w:basedOn w:val="Tabellastandard-01"/>
    <w:uiPriority w:val="99"/>
    <w:rsid w:val="00094F0E"/>
    <w:tblPr/>
    <w:tblStylePr w:type="firstRow">
      <w:rPr>
        <w:rFonts w:ascii="Calibri" w:hAnsi="Calibri" w:cs="Calibri"/>
        <w:b/>
        <w:bCs/>
        <w:color w:val="FFFFFF"/>
        <w:sz w:val="22"/>
        <w:szCs w:val="22"/>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Testo-TAB-01Carattere">
    <w:name w:val="Testo-TAB-01 Carattere"/>
    <w:basedOn w:val="Carpredefinitoparagrafo"/>
    <w:link w:val="Testo-TAB-01"/>
    <w:locked/>
    <w:rsid w:val="00094F0E"/>
    <w:rPr>
      <w:rFonts w:ascii="Calibri" w:hAnsi="Calibri" w:cs="Calibri"/>
      <w:color w:val="FFFFFF"/>
      <w:sz w:val="20"/>
      <w:szCs w:val="20"/>
      <w:lang w:val="fr-FR" w:eastAsia="it-IT"/>
    </w:rPr>
  </w:style>
  <w:style w:type="paragraph" w:customStyle="1" w:styleId="Testo-TAB-02">
    <w:name w:val="Testo-TAB-02"/>
    <w:basedOn w:val="Testo-TAB-01"/>
    <w:autoRedefine/>
    <w:qFormat/>
    <w:rsid w:val="00094F0E"/>
    <w:pPr>
      <w:ind w:left="113" w:right="113"/>
    </w:pPr>
    <w:rPr>
      <w:color w:val="auto"/>
    </w:rPr>
  </w:style>
  <w:style w:type="paragraph" w:customStyle="1" w:styleId="notainevidenza">
    <w:name w:val="nota in evidenza"/>
    <w:basedOn w:val="testoGuida"/>
    <w:link w:val="notainevidenzaCarattere"/>
    <w:autoRedefine/>
    <w:qFormat/>
    <w:rsid w:val="001E0CCF"/>
    <w:pPr>
      <w:spacing w:before="120" w:after="120"/>
      <w:ind w:right="54"/>
    </w:pPr>
    <w:rPr>
      <w:color w:val="ED7D31"/>
    </w:rPr>
  </w:style>
  <w:style w:type="character" w:customStyle="1" w:styleId="testoGuidaCarattere">
    <w:name w:val="testo Guida Carattere"/>
    <w:basedOn w:val="RientrocorpodeltestoCarattere"/>
    <w:link w:val="testoGuida"/>
    <w:locked/>
    <w:rsid w:val="00094F0E"/>
    <w:rPr>
      <w:rFonts w:ascii="Times New Roman" w:hAnsi="Times New Roman" w:cs="Times New Roman"/>
      <w:sz w:val="20"/>
      <w:szCs w:val="20"/>
      <w:lang w:eastAsia="it-IT"/>
    </w:rPr>
  </w:style>
  <w:style w:type="character" w:customStyle="1" w:styleId="notainevidenzaCarattere">
    <w:name w:val="nota in evidenza Carattere"/>
    <w:basedOn w:val="testoGuidaCarattere"/>
    <w:link w:val="notainevidenza"/>
    <w:locked/>
    <w:rsid w:val="001E0CCF"/>
    <w:rPr>
      <w:rFonts w:ascii="Times New Roman" w:hAnsi="Times New Roman" w:cs="Times New Roman"/>
      <w:color w:val="ED7D31"/>
      <w:sz w:val="18"/>
      <w:szCs w:val="18"/>
      <w:lang w:eastAsia="it-IT"/>
    </w:rPr>
  </w:style>
  <w:style w:type="paragraph" w:customStyle="1" w:styleId="StileTestoGuidaCorpoCalibri10ptNonGrassettoEvidenzi">
    <w:name w:val="Stile TestoGuida + +Corpo (Calibri) 10 pt Non Grassetto Evidenzi..."/>
    <w:basedOn w:val="Normale"/>
    <w:rsid w:val="00094F0E"/>
    <w:pPr>
      <w:pBdr>
        <w:top w:val="dashSmallGap" w:sz="4" w:space="1" w:color="auto"/>
        <w:left w:val="dashSmallGap" w:sz="4" w:space="0" w:color="auto"/>
        <w:bottom w:val="dashSmallGap" w:sz="4" w:space="0" w:color="auto"/>
        <w:right w:val="dashSmallGap" w:sz="4" w:space="4" w:color="auto"/>
      </w:pBdr>
      <w:spacing w:after="120" w:line="240" w:lineRule="auto"/>
      <w:ind w:left="300"/>
      <w:jc w:val="both"/>
    </w:pPr>
    <w:rPr>
      <w:rFonts w:eastAsia="Times New Roman"/>
      <w:color w:val="C45911"/>
      <w:sz w:val="20"/>
      <w:szCs w:val="20"/>
      <w:lang w:eastAsia="it-IT"/>
    </w:rPr>
  </w:style>
  <w:style w:type="character" w:styleId="Enfasicorsivo">
    <w:name w:val="Emphasis"/>
    <w:basedOn w:val="Carpredefinitoparagrafo"/>
    <w:uiPriority w:val="20"/>
    <w:qFormat/>
    <w:rsid w:val="00272C55"/>
    <w:rPr>
      <w:i/>
      <w:iCs/>
    </w:rPr>
  </w:style>
  <w:style w:type="paragraph" w:customStyle="1" w:styleId="Subhead">
    <w:name w:val="Subhead"/>
    <w:basedOn w:val="Intestazione"/>
    <w:autoRedefine/>
    <w:rsid w:val="00DD1075"/>
    <w:pPr>
      <w:tabs>
        <w:tab w:val="clear" w:pos="4819"/>
        <w:tab w:val="clear" w:pos="9638"/>
      </w:tabs>
      <w:spacing w:before="120" w:after="120"/>
      <w:jc w:val="both"/>
      <w:outlineLvl w:val="0"/>
    </w:pPr>
    <w:rPr>
      <w:noProof/>
    </w:rPr>
  </w:style>
  <w:style w:type="paragraph" w:customStyle="1" w:styleId="Specifics">
    <w:name w:val="Specifics"/>
    <w:basedOn w:val="Intestazione"/>
    <w:rsid w:val="00754444"/>
    <w:pPr>
      <w:tabs>
        <w:tab w:val="clear" w:pos="4819"/>
        <w:tab w:val="clear" w:pos="9638"/>
      </w:tabs>
      <w:spacing w:before="40" w:after="40"/>
    </w:pPr>
    <w:rPr>
      <w:rFonts w:ascii="Arial" w:hAnsi="Arial" w:cs="Arial"/>
      <w:b/>
      <w:bCs/>
      <w:noProof/>
      <w:sz w:val="20"/>
      <w:szCs w:val="20"/>
      <w:lang w:val="en-US"/>
    </w:rPr>
  </w:style>
  <w:style w:type="paragraph" w:customStyle="1" w:styleId="TableText">
    <w:name w:val="TableText"/>
    <w:basedOn w:val="Subhead"/>
    <w:rsid w:val="00754444"/>
    <w:pPr>
      <w:spacing w:before="40" w:after="40"/>
    </w:pPr>
    <w:rPr>
      <w:b/>
      <w:bCs/>
      <w:sz w:val="18"/>
      <w:szCs w:val="18"/>
    </w:rPr>
  </w:style>
  <w:style w:type="character" w:customStyle="1" w:styleId="Normale2Carattere">
    <w:name w:val="Normale2 Carattere"/>
    <w:basedOn w:val="Carpredefinitoparagrafo"/>
    <w:link w:val="Normale2"/>
    <w:locked/>
    <w:rsid w:val="00754444"/>
    <w:rPr>
      <w:rFonts w:ascii="Times New Roman" w:hAnsi="Times New Roman" w:cs="Times New Roman"/>
      <w:sz w:val="20"/>
      <w:szCs w:val="20"/>
      <w:lang w:eastAsia="it-IT"/>
    </w:rPr>
  </w:style>
  <w:style w:type="paragraph" w:customStyle="1" w:styleId="testo3">
    <w:name w:val="testo3"/>
    <w:basedOn w:val="Normale"/>
    <w:rsid w:val="00B510AD"/>
    <w:pPr>
      <w:overflowPunct w:val="0"/>
      <w:autoSpaceDE w:val="0"/>
      <w:autoSpaceDN w:val="0"/>
      <w:adjustRightInd w:val="0"/>
      <w:spacing w:after="0" w:line="240" w:lineRule="auto"/>
      <w:ind w:left="1560"/>
      <w:jc w:val="both"/>
      <w:textAlignment w:val="baseline"/>
    </w:pPr>
    <w:rPr>
      <w:rFonts w:ascii="Arial" w:eastAsia="Times New Roman" w:hAnsi="Arial" w:cs="Arial"/>
      <w:sz w:val="24"/>
      <w:szCs w:val="24"/>
      <w:lang w:eastAsia="it-IT"/>
    </w:rPr>
  </w:style>
  <w:style w:type="character" w:customStyle="1" w:styleId="ParagrafoelencoCarattere">
    <w:name w:val="Paragrafo elenco Carattere"/>
    <w:aliases w:val="Elenco num ARGEA Carattere,List Paragraph1 Carattere,Table of contents numbered Carattere,Normal bullet 2 Carattere,Bullet list Carattere,Numbered List Carattere,Bullet 1 Carattere,1st level - Bullet List Paragraph Carattere"/>
    <w:basedOn w:val="Carpredefinitoparagrafo"/>
    <w:link w:val="Paragrafoelenco"/>
    <w:uiPriority w:val="34"/>
    <w:locked/>
    <w:rsid w:val="001975AC"/>
  </w:style>
  <w:style w:type="paragraph" w:customStyle="1" w:styleId="NormalTableText">
    <w:name w:val="Normal Table Text"/>
    <w:basedOn w:val="Normale"/>
    <w:rsid w:val="005F1A46"/>
    <w:pPr>
      <w:spacing w:after="0" w:line="240" w:lineRule="auto"/>
    </w:pPr>
    <w:rPr>
      <w:rFonts w:ascii="Times New Roman" w:eastAsia="Times New Roman" w:hAnsi="Times New Roman" w:cs="Times New Roman"/>
      <w:sz w:val="20"/>
      <w:szCs w:val="20"/>
      <w:lang w:val="en-US"/>
    </w:rPr>
  </w:style>
  <w:style w:type="table" w:customStyle="1" w:styleId="Grigliatabellachiara1">
    <w:name w:val="Griglia tabella chiara1"/>
    <w:uiPriority w:val="40"/>
    <w:rsid w:val="005F1A46"/>
    <w:rPr>
      <w:rFonts w:cs="Calibri"/>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character" w:styleId="Enfasidelicata">
    <w:name w:val="Subtle Emphasis"/>
    <w:basedOn w:val="Carpredefinitoparagrafo"/>
    <w:uiPriority w:val="19"/>
    <w:qFormat/>
    <w:rsid w:val="009C7875"/>
    <w:rPr>
      <w:i/>
      <w:iCs/>
      <w:color w:val="auto"/>
    </w:rPr>
  </w:style>
  <w:style w:type="character" w:customStyle="1" w:styleId="Menzionenonrisolta1">
    <w:name w:val="Menzione non risolta1"/>
    <w:basedOn w:val="Carpredefinitoparagrafo"/>
    <w:uiPriority w:val="99"/>
    <w:semiHidden/>
    <w:rsid w:val="00C829D8"/>
    <w:rPr>
      <w:color w:val="808080"/>
      <w:shd w:val="clear" w:color="auto" w:fill="auto"/>
    </w:rPr>
  </w:style>
  <w:style w:type="paragraph" w:styleId="Corpotesto">
    <w:name w:val="Body Text"/>
    <w:basedOn w:val="Normale"/>
    <w:link w:val="CorpotestoCarattere"/>
    <w:uiPriority w:val="99"/>
    <w:semiHidden/>
    <w:rsid w:val="00F90F06"/>
    <w:pPr>
      <w:spacing w:after="120"/>
    </w:pPr>
  </w:style>
  <w:style w:type="character" w:customStyle="1" w:styleId="CorpotestoCarattere">
    <w:name w:val="Corpo testo Carattere"/>
    <w:basedOn w:val="Carpredefinitoparagrafo"/>
    <w:link w:val="Corpotesto"/>
    <w:uiPriority w:val="99"/>
    <w:semiHidden/>
    <w:locked/>
    <w:rsid w:val="00F90F06"/>
  </w:style>
  <w:style w:type="paragraph" w:customStyle="1" w:styleId="Default">
    <w:name w:val="Default"/>
    <w:qFormat/>
    <w:rsid w:val="00D4587F"/>
    <w:pPr>
      <w:autoSpaceDE w:val="0"/>
      <w:autoSpaceDN w:val="0"/>
      <w:adjustRightInd w:val="0"/>
    </w:pPr>
    <w:rPr>
      <w:rFonts w:ascii="Trebuchet MS" w:hAnsi="Trebuchet MS" w:cs="Trebuchet MS"/>
      <w:color w:val="000000"/>
      <w:sz w:val="24"/>
      <w:szCs w:val="24"/>
      <w:lang w:eastAsia="en-US"/>
    </w:rPr>
  </w:style>
  <w:style w:type="paragraph" w:customStyle="1" w:styleId="Textbody">
    <w:name w:val="Text body"/>
    <w:basedOn w:val="Normale"/>
    <w:rsid w:val="00D4587F"/>
    <w:pPr>
      <w:suppressAutoHyphens/>
      <w:autoSpaceDN w:val="0"/>
      <w:spacing w:after="140" w:line="276" w:lineRule="auto"/>
      <w:textAlignment w:val="baseline"/>
    </w:pPr>
    <w:rPr>
      <w:rFonts w:ascii="Liberation Serif" w:hAnsi="Liberation Serif" w:cs="Liberation Serif"/>
      <w:kern w:val="3"/>
      <w:sz w:val="24"/>
      <w:szCs w:val="24"/>
      <w:lang w:eastAsia="zh-CN"/>
    </w:rPr>
  </w:style>
  <w:style w:type="paragraph" w:customStyle="1" w:styleId="Standard">
    <w:name w:val="Standard"/>
    <w:rsid w:val="00D4587F"/>
    <w:pPr>
      <w:suppressAutoHyphens/>
      <w:autoSpaceDN w:val="0"/>
      <w:textAlignment w:val="baseline"/>
    </w:pPr>
    <w:rPr>
      <w:rFonts w:ascii="Liberation Serif" w:hAnsi="Liberation Serif" w:cs="Liberation Serif"/>
      <w:kern w:val="3"/>
      <w:sz w:val="24"/>
      <w:szCs w:val="24"/>
      <w:lang w:eastAsia="zh-CN"/>
    </w:rPr>
  </w:style>
  <w:style w:type="paragraph" w:customStyle="1" w:styleId="TableContents">
    <w:name w:val="Table Contents"/>
    <w:basedOn w:val="Standard"/>
    <w:rsid w:val="00D4587F"/>
    <w:pPr>
      <w:suppressLineNumbers/>
    </w:pPr>
    <w:rPr>
      <w:smallCaps/>
      <w:sz w:val="21"/>
      <w:szCs w:val="21"/>
    </w:rPr>
  </w:style>
  <w:style w:type="paragraph" w:customStyle="1" w:styleId="TableParagraph">
    <w:name w:val="Table Paragraph"/>
    <w:basedOn w:val="Normale"/>
    <w:uiPriority w:val="1"/>
    <w:qFormat/>
    <w:rsid w:val="00F5441C"/>
    <w:pPr>
      <w:widowControl w:val="0"/>
      <w:autoSpaceDE w:val="0"/>
      <w:autoSpaceDN w:val="0"/>
      <w:spacing w:before="2" w:after="0" w:line="240" w:lineRule="auto"/>
    </w:pPr>
    <w:rPr>
      <w:rFonts w:ascii="Arial" w:hAnsi="Arial" w:cs="Arial"/>
      <w:lang w:val="en-US"/>
    </w:rPr>
  </w:style>
  <w:style w:type="table" w:customStyle="1" w:styleId="TableNormal1">
    <w:name w:val="Table Normal1"/>
    <w:uiPriority w:val="99"/>
    <w:semiHidden/>
    <w:rsid w:val="00F5441C"/>
    <w:pPr>
      <w:widowControl w:val="0"/>
      <w:autoSpaceDE w:val="0"/>
      <w:autoSpaceDN w:val="0"/>
    </w:pPr>
    <w:rPr>
      <w:rFonts w:cs="Calibri"/>
      <w:lang w:val="en-US" w:eastAsia="en-US"/>
    </w:rPr>
    <w:tblPr>
      <w:tblCellMar>
        <w:top w:w="0" w:type="dxa"/>
        <w:left w:w="0" w:type="dxa"/>
        <w:bottom w:w="0" w:type="dxa"/>
        <w:right w:w="0" w:type="dxa"/>
      </w:tblCellMar>
    </w:tblPr>
  </w:style>
  <w:style w:type="paragraph" w:customStyle="1" w:styleId="PuntoElenco">
    <w:name w:val="Punto Elenco"/>
    <w:basedOn w:val="Paragrafoelenco"/>
    <w:link w:val="PuntoElencoCarattere"/>
    <w:rsid w:val="005904A0"/>
    <w:pPr>
      <w:widowControl w:val="0"/>
      <w:numPr>
        <w:numId w:val="6"/>
      </w:numPr>
      <w:spacing w:before="120" w:after="0" w:line="312" w:lineRule="auto"/>
      <w:jc w:val="both"/>
    </w:pPr>
    <w:rPr>
      <w:rFonts w:ascii="Candara" w:hAnsi="Candara" w:cs="Candara"/>
    </w:rPr>
  </w:style>
  <w:style w:type="character" w:customStyle="1" w:styleId="PuntoElencoCarattere">
    <w:name w:val="Punto Elenco Carattere"/>
    <w:basedOn w:val="Carpredefinitoparagrafo"/>
    <w:link w:val="PuntoElenco"/>
    <w:locked/>
    <w:rsid w:val="005904A0"/>
    <w:rPr>
      <w:rFonts w:ascii="Candara" w:hAnsi="Candara" w:cs="Candara"/>
      <w:lang w:eastAsia="en-US"/>
    </w:rPr>
  </w:style>
  <w:style w:type="paragraph" w:styleId="Didascalia">
    <w:name w:val="caption"/>
    <w:basedOn w:val="Normale"/>
    <w:next w:val="Normale"/>
    <w:uiPriority w:val="35"/>
    <w:qFormat/>
    <w:rsid w:val="00B021CA"/>
    <w:pPr>
      <w:spacing w:after="200" w:line="240" w:lineRule="auto"/>
    </w:pPr>
    <w:rPr>
      <w:i/>
      <w:iCs/>
      <w:color w:val="44546A"/>
      <w:sz w:val="18"/>
      <w:szCs w:val="18"/>
    </w:rPr>
  </w:style>
  <w:style w:type="character" w:customStyle="1" w:styleId="st">
    <w:name w:val="st"/>
    <w:basedOn w:val="Carpredefinitoparagrafo"/>
    <w:rsid w:val="00AA141C"/>
  </w:style>
  <w:style w:type="character" w:styleId="Enfasigrassetto">
    <w:name w:val="Strong"/>
    <w:basedOn w:val="Carpredefinitoparagrafo"/>
    <w:uiPriority w:val="22"/>
    <w:qFormat/>
    <w:rsid w:val="008A6CD8"/>
    <w:rPr>
      <w:b/>
      <w:bCs/>
    </w:rPr>
  </w:style>
  <w:style w:type="paragraph" w:styleId="Revisione">
    <w:name w:val="Revision"/>
    <w:hidden/>
    <w:uiPriority w:val="99"/>
    <w:semiHidden/>
    <w:rsid w:val="005A340A"/>
    <w:rPr>
      <w:rFonts w:cs="Calibri"/>
      <w:lang w:eastAsia="en-US"/>
    </w:rPr>
  </w:style>
  <w:style w:type="character" w:customStyle="1" w:styleId="caption-text">
    <w:name w:val="caption-text"/>
    <w:basedOn w:val="Carpredefinitoparagrafo"/>
    <w:rsid w:val="00A15751"/>
  </w:style>
  <w:style w:type="character" w:styleId="Collegamentovisitato">
    <w:name w:val="FollowedHyperlink"/>
    <w:basedOn w:val="Carpredefinitoparagrafo"/>
    <w:uiPriority w:val="99"/>
    <w:semiHidden/>
    <w:rsid w:val="00FD0755"/>
    <w:rPr>
      <w:color w:val="auto"/>
      <w:u w:val="single"/>
    </w:rPr>
  </w:style>
  <w:style w:type="paragraph" w:customStyle="1" w:styleId="xmsolistparagraph">
    <w:name w:val="x_msolistparagraph"/>
    <w:basedOn w:val="Normale"/>
    <w:rsid w:val="00233AF8"/>
    <w:pPr>
      <w:spacing w:after="0" w:line="240" w:lineRule="auto"/>
      <w:ind w:left="720"/>
    </w:pPr>
    <w:rPr>
      <w:lang w:eastAsia="it-IT"/>
    </w:rPr>
  </w:style>
  <w:style w:type="table" w:customStyle="1" w:styleId="Tabellagriglia1chiara1">
    <w:name w:val="Tabella griglia 1 chiara1"/>
    <w:uiPriority w:val="99"/>
    <w:rsid w:val="00F0154C"/>
    <w:rPr>
      <w:rFonts w:cs="Calibri"/>
      <w:sz w:val="20"/>
      <w:szCs w:val="20"/>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Tabellagriglia5scura1">
    <w:name w:val="Tabella griglia 5 scura1"/>
    <w:uiPriority w:val="99"/>
    <w:rsid w:val="00C602E1"/>
    <w:rPr>
      <w:rFonts w:cs="Calibri"/>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Tabellagriglia5scura-colore31">
    <w:name w:val="Tabella griglia 5 scura - colore 31"/>
    <w:uiPriority w:val="99"/>
    <w:rsid w:val="00C602E1"/>
    <w:rPr>
      <w:rFonts w:cs="Calibri"/>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customStyle="1" w:styleId="Tabellasemplice51">
    <w:name w:val="Tabella semplice 51"/>
    <w:uiPriority w:val="99"/>
    <w:rsid w:val="00C602E1"/>
    <w:rPr>
      <w:rFonts w:cs="Calibri"/>
      <w:sz w:val="20"/>
      <w:szCs w:val="20"/>
    </w:rPr>
    <w:tblPr>
      <w:tblStyleRowBandSize w:val="1"/>
      <w:tblStyleColBandSize w:val="1"/>
      <w:tblCellMar>
        <w:top w:w="0" w:type="dxa"/>
        <w:left w:w="108" w:type="dxa"/>
        <w:bottom w:w="0" w:type="dxa"/>
        <w:right w:w="108" w:type="dxa"/>
      </w:tblCellMar>
    </w:tblPr>
    <w:tblStylePr w:type="firstRow">
      <w:rPr>
        <w:rFonts w:ascii="Calibri Light" w:eastAsia="Times New Roman" w:hAnsi="Calibri Light" w:cs="Calibri Light"/>
        <w:i/>
        <w:iCs/>
        <w:sz w:val="26"/>
        <w:szCs w:val="26"/>
      </w:rPr>
      <w:tblPr/>
      <w:tcPr>
        <w:tcBorders>
          <w:bottom w:val="single" w:sz="4" w:space="0" w:color="7F7F7F"/>
        </w:tcBorders>
        <w:shd w:val="clear" w:color="auto" w:fill="FFFFFF"/>
      </w:tcPr>
    </w:tblStylePr>
    <w:tblStylePr w:type="lastRow">
      <w:rPr>
        <w:rFonts w:ascii="Calibri Light" w:eastAsia="Times New Roman" w:hAnsi="Calibri Light" w:cs="Calibri Light"/>
        <w:i/>
        <w:iCs/>
        <w:sz w:val="26"/>
        <w:szCs w:val="26"/>
      </w:rPr>
      <w:tblPr/>
      <w:tcPr>
        <w:tcBorders>
          <w:top w:val="single" w:sz="4" w:space="0" w:color="7F7F7F"/>
        </w:tcBorders>
        <w:shd w:val="clear" w:color="auto" w:fill="FFFFFF"/>
      </w:tcPr>
    </w:tblStylePr>
    <w:tblStylePr w:type="firstCol">
      <w:pPr>
        <w:jc w:val="right"/>
      </w:pPr>
      <w:rPr>
        <w:rFonts w:ascii="Calibri Light" w:eastAsia="Times New Roman" w:hAnsi="Calibri Light" w:cs="Calibri Light"/>
        <w:i/>
        <w:iCs/>
        <w:sz w:val="26"/>
        <w:szCs w:val="26"/>
      </w:rPr>
      <w:tblPr/>
      <w:tcPr>
        <w:tcBorders>
          <w:right w:val="single" w:sz="4" w:space="0" w:color="7F7F7F"/>
        </w:tcBorders>
        <w:shd w:val="clear" w:color="auto" w:fill="FFFFFF"/>
      </w:tcPr>
    </w:tblStylePr>
    <w:tblStylePr w:type="lastCol">
      <w:rPr>
        <w:rFonts w:ascii="Calibri Light" w:eastAsia="Times New Roman" w:hAnsi="Calibri Light" w:cs="Calibri Light"/>
        <w:i/>
        <w:iCs/>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gliatab31">
    <w:name w:val="Griglia tab. 31"/>
    <w:uiPriority w:val="99"/>
    <w:rsid w:val="00C602E1"/>
    <w:rPr>
      <w:rFonts w:cs="Calibri"/>
      <w:sz w:val="20"/>
      <w:szCs w:val="2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Tabellastandard-011">
    <w:name w:val="Tabella standard-011"/>
    <w:basedOn w:val="Tabellaelenco4-colore11"/>
    <w:uiPriority w:val="99"/>
    <w:rsid w:val="00397097"/>
    <w:tblPr>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Pr>
    <w:tblStylePr w:type="firstRow">
      <w:rPr>
        <w:rFonts w:ascii="Calibri" w:hAnsi="Calibri" w:cs="Calibri"/>
        <w:b/>
        <w:bCs/>
        <w:color w:val="FFFFFF"/>
        <w:sz w:val="22"/>
        <w:szCs w:val="22"/>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1">
    <w:name w:val="Tabella griglia 6 a colori1"/>
    <w:uiPriority w:val="99"/>
    <w:rsid w:val="00CF423F"/>
    <w:rPr>
      <w:rFonts w:cs="Calibri"/>
      <w:color w:val="000000"/>
      <w:sz w:val="20"/>
      <w:szCs w:val="2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
    <w:name w:val="Table Grid1"/>
    <w:rsid w:val="005A0E7E"/>
    <w:rPr>
      <w:rFonts w:eastAsia="Times New Roman" w:cs="Calibri"/>
    </w:rPr>
    <w:tblPr>
      <w:tblCellMar>
        <w:top w:w="0" w:type="dxa"/>
        <w:left w:w="0" w:type="dxa"/>
        <w:bottom w:w="0" w:type="dxa"/>
        <w:right w:w="0" w:type="dxa"/>
      </w:tblCellMar>
    </w:tblPr>
  </w:style>
  <w:style w:type="table" w:customStyle="1" w:styleId="TableGrid0">
    <w:name w:val="Table Grid0"/>
    <w:uiPriority w:val="39"/>
    <w:rsid w:val="005A0E7E"/>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untoelenco-1liv2">
    <w:name w:val="puntoelenco-1liv2"/>
    <w:basedOn w:val="Paragrafoelenco"/>
    <w:link w:val="puntoelenco-1liv2Carattere"/>
    <w:autoRedefine/>
    <w:qFormat/>
    <w:rsid w:val="005A0E7E"/>
    <w:pPr>
      <w:numPr>
        <w:numId w:val="7"/>
      </w:numPr>
    </w:pPr>
    <w:rPr>
      <w:lang w:val="en-US"/>
    </w:rPr>
  </w:style>
  <w:style w:type="character" w:customStyle="1" w:styleId="puntoelenco-1liv2Carattere">
    <w:name w:val="puntoelenco-1liv2 Carattere"/>
    <w:basedOn w:val="Carpredefinitoparagrafo"/>
    <w:link w:val="puntoelenco-1liv2"/>
    <w:locked/>
    <w:rsid w:val="005A0E7E"/>
    <w:rPr>
      <w:rFonts w:cs="Calibri"/>
      <w:lang w:val="en-US" w:eastAsia="en-US"/>
    </w:rPr>
  </w:style>
  <w:style w:type="paragraph" w:customStyle="1" w:styleId="nometabella">
    <w:name w:val="nome tabella"/>
    <w:basedOn w:val="Normale"/>
    <w:autoRedefine/>
    <w:qFormat/>
    <w:rsid w:val="005A0E7E"/>
    <w:pPr>
      <w:spacing w:before="60" w:after="0" w:line="240" w:lineRule="auto"/>
      <w:ind w:left="31"/>
      <w:jc w:val="both"/>
    </w:pPr>
    <w:rPr>
      <w:noProof/>
      <w:kern w:val="28"/>
      <w:sz w:val="16"/>
      <w:szCs w:val="16"/>
      <w:lang w:val="fr-FR" w:eastAsia="it-IT"/>
    </w:rPr>
  </w:style>
  <w:style w:type="character" w:customStyle="1" w:styleId="CollegamentoInternet">
    <w:name w:val="Collegamento Internet"/>
    <w:basedOn w:val="Carpredefinitoparagrafo"/>
    <w:uiPriority w:val="99"/>
    <w:rsid w:val="005A0E7E"/>
    <w:rPr>
      <w:rFonts w:ascii="Calibri" w:hAnsi="Calibri" w:cs="Calibri"/>
      <w:color w:val="0000FF"/>
      <w:sz w:val="22"/>
      <w:szCs w:val="22"/>
      <w:u w:val="single"/>
      <w:lang w:val="en-US" w:eastAsia="en-US"/>
    </w:rPr>
  </w:style>
  <w:style w:type="paragraph" w:styleId="NormaleWeb">
    <w:name w:val="Normal (Web)"/>
    <w:basedOn w:val="Normale"/>
    <w:uiPriority w:val="99"/>
    <w:rsid w:val="005A0E7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Menzionenonrisolta2">
    <w:name w:val="Menzione non risolta2"/>
    <w:basedOn w:val="Carpredefinitoparagrafo"/>
    <w:uiPriority w:val="99"/>
    <w:semiHidden/>
    <w:rsid w:val="005A0E7E"/>
    <w:rPr>
      <w:color w:val="808080"/>
      <w:shd w:val="clear" w:color="auto" w:fill="auto"/>
    </w:rPr>
  </w:style>
  <w:style w:type="paragraph" w:styleId="PreformattatoHTML">
    <w:name w:val="HTML Preformatted"/>
    <w:basedOn w:val="Normale"/>
    <w:link w:val="PreformattatoHTMLCarattere"/>
    <w:uiPriority w:val="99"/>
    <w:rsid w:val="005A0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eformattatoHTMLCarattere">
    <w:name w:val="Preformattato HTML Carattere"/>
    <w:basedOn w:val="Carpredefinitoparagrafo"/>
    <w:link w:val="PreformattatoHTML"/>
    <w:uiPriority w:val="99"/>
    <w:locked/>
    <w:rsid w:val="005A0E7E"/>
    <w:rPr>
      <w:rFonts w:ascii="Courier New" w:hAnsi="Courier New" w:cs="Courier New"/>
      <w:sz w:val="20"/>
      <w:szCs w:val="20"/>
      <w:lang w:val="en-US"/>
    </w:rPr>
  </w:style>
  <w:style w:type="character" w:customStyle="1" w:styleId="json-open-bracket">
    <w:name w:val="json-open-bracket"/>
    <w:basedOn w:val="Carpredefinitoparagrafo"/>
    <w:rsid w:val="005A0E7E"/>
  </w:style>
  <w:style w:type="character" w:customStyle="1" w:styleId="json-collapse-1">
    <w:name w:val="json-collapse-1"/>
    <w:basedOn w:val="Carpredefinitoparagrafo"/>
    <w:rsid w:val="005A0E7E"/>
  </w:style>
  <w:style w:type="character" w:customStyle="1" w:styleId="json-indent">
    <w:name w:val="json-indent"/>
    <w:basedOn w:val="Carpredefinitoparagrafo"/>
    <w:rsid w:val="005A0E7E"/>
  </w:style>
  <w:style w:type="character" w:customStyle="1" w:styleId="json-property">
    <w:name w:val="json-property"/>
    <w:basedOn w:val="Carpredefinitoparagrafo"/>
    <w:rsid w:val="005A0E7E"/>
  </w:style>
  <w:style w:type="character" w:customStyle="1" w:styleId="json-semi-colon">
    <w:name w:val="json-semi-colon"/>
    <w:basedOn w:val="Carpredefinitoparagrafo"/>
    <w:rsid w:val="005A0E7E"/>
  </w:style>
  <w:style w:type="character" w:customStyle="1" w:styleId="json-collapse-2">
    <w:name w:val="json-collapse-2"/>
    <w:basedOn w:val="Carpredefinitoparagrafo"/>
    <w:rsid w:val="005A0E7E"/>
  </w:style>
  <w:style w:type="character" w:customStyle="1" w:styleId="json-collapse-3">
    <w:name w:val="json-collapse-3"/>
    <w:basedOn w:val="Carpredefinitoparagrafo"/>
    <w:rsid w:val="005A0E7E"/>
  </w:style>
  <w:style w:type="character" w:customStyle="1" w:styleId="json-collapse-4">
    <w:name w:val="json-collapse-4"/>
    <w:basedOn w:val="Carpredefinitoparagrafo"/>
    <w:rsid w:val="005A0E7E"/>
  </w:style>
  <w:style w:type="character" w:customStyle="1" w:styleId="json-collapse-5">
    <w:name w:val="json-collapse-5"/>
    <w:basedOn w:val="Carpredefinitoparagrafo"/>
    <w:rsid w:val="005A0E7E"/>
  </w:style>
  <w:style w:type="character" w:customStyle="1" w:styleId="json-collapse-6">
    <w:name w:val="json-collapse-6"/>
    <w:basedOn w:val="Carpredefinitoparagrafo"/>
    <w:rsid w:val="005A0E7E"/>
  </w:style>
  <w:style w:type="character" w:customStyle="1" w:styleId="json-value">
    <w:name w:val="json-value"/>
    <w:basedOn w:val="Carpredefinitoparagrafo"/>
    <w:rsid w:val="005A0E7E"/>
  </w:style>
  <w:style w:type="character" w:customStyle="1" w:styleId="json-comma">
    <w:name w:val="json-comma"/>
    <w:basedOn w:val="Carpredefinitoparagrafo"/>
    <w:rsid w:val="005A0E7E"/>
  </w:style>
  <w:style w:type="character" w:customStyle="1" w:styleId="json-collapse-7">
    <w:name w:val="json-collapse-7"/>
    <w:basedOn w:val="Carpredefinitoparagrafo"/>
    <w:rsid w:val="005A0E7E"/>
  </w:style>
  <w:style w:type="character" w:customStyle="1" w:styleId="json-collapse-8">
    <w:name w:val="json-collapse-8"/>
    <w:basedOn w:val="Carpredefinitoparagrafo"/>
    <w:rsid w:val="005A0E7E"/>
  </w:style>
  <w:style w:type="character" w:customStyle="1" w:styleId="json-collapse-9">
    <w:name w:val="json-collapse-9"/>
    <w:basedOn w:val="Carpredefinitoparagrafo"/>
    <w:rsid w:val="005A0E7E"/>
  </w:style>
  <w:style w:type="character" w:customStyle="1" w:styleId="json-collapse-10">
    <w:name w:val="json-collapse-10"/>
    <w:basedOn w:val="Carpredefinitoparagrafo"/>
    <w:rsid w:val="005A0E7E"/>
  </w:style>
  <w:style w:type="character" w:customStyle="1" w:styleId="json-collapse-11">
    <w:name w:val="json-collapse-11"/>
    <w:basedOn w:val="Carpredefinitoparagrafo"/>
    <w:rsid w:val="005A0E7E"/>
  </w:style>
  <w:style w:type="character" w:customStyle="1" w:styleId="json-close-bracket">
    <w:name w:val="json-close-bracket"/>
    <w:basedOn w:val="Carpredefinitoparagrafo"/>
    <w:rsid w:val="005A0E7E"/>
  </w:style>
  <w:style w:type="character" w:customStyle="1" w:styleId="json-collapse-12">
    <w:name w:val="json-collapse-12"/>
    <w:basedOn w:val="Carpredefinitoparagrafo"/>
    <w:rsid w:val="005A0E7E"/>
  </w:style>
  <w:style w:type="character" w:customStyle="1" w:styleId="json-collapse-13">
    <w:name w:val="json-collapse-13"/>
    <w:basedOn w:val="Carpredefinitoparagrafo"/>
    <w:rsid w:val="005A0E7E"/>
  </w:style>
  <w:style w:type="character" w:customStyle="1" w:styleId="json-collapse-14">
    <w:name w:val="json-collapse-14"/>
    <w:basedOn w:val="Carpredefinitoparagrafo"/>
    <w:rsid w:val="005A0E7E"/>
  </w:style>
  <w:style w:type="character" w:customStyle="1" w:styleId="json-collapse-15">
    <w:name w:val="json-collapse-15"/>
    <w:basedOn w:val="Carpredefinitoparagrafo"/>
    <w:rsid w:val="005A0E7E"/>
  </w:style>
  <w:style w:type="character" w:customStyle="1" w:styleId="json-collapse-16">
    <w:name w:val="json-collapse-16"/>
    <w:basedOn w:val="Carpredefinitoparagrafo"/>
    <w:rsid w:val="005A0E7E"/>
  </w:style>
  <w:style w:type="character" w:customStyle="1" w:styleId="json-collapse-17">
    <w:name w:val="json-collapse-17"/>
    <w:basedOn w:val="Carpredefinitoparagrafo"/>
    <w:rsid w:val="005A0E7E"/>
  </w:style>
  <w:style w:type="character" w:customStyle="1" w:styleId="json-collapse-18">
    <w:name w:val="json-collapse-18"/>
    <w:basedOn w:val="Carpredefinitoparagrafo"/>
    <w:rsid w:val="005A0E7E"/>
  </w:style>
  <w:style w:type="character" w:customStyle="1" w:styleId="json-collapse-19">
    <w:name w:val="json-collapse-19"/>
    <w:basedOn w:val="Carpredefinitoparagrafo"/>
    <w:rsid w:val="005A0E7E"/>
  </w:style>
  <w:style w:type="character" w:customStyle="1" w:styleId="json-collapse-20">
    <w:name w:val="json-collapse-20"/>
    <w:basedOn w:val="Carpredefinitoparagrafo"/>
    <w:rsid w:val="005A0E7E"/>
  </w:style>
  <w:style w:type="character" w:customStyle="1" w:styleId="json-collapse-21">
    <w:name w:val="json-collapse-21"/>
    <w:basedOn w:val="Carpredefinitoparagrafo"/>
    <w:rsid w:val="005A0E7E"/>
  </w:style>
  <w:style w:type="character" w:customStyle="1" w:styleId="json-collapse-22">
    <w:name w:val="json-collapse-22"/>
    <w:basedOn w:val="Carpredefinitoparagrafo"/>
    <w:rsid w:val="005A0E7E"/>
  </w:style>
  <w:style w:type="character" w:customStyle="1" w:styleId="json-collapse-23">
    <w:name w:val="json-collapse-23"/>
    <w:basedOn w:val="Carpredefinitoparagrafo"/>
    <w:rsid w:val="005A0E7E"/>
  </w:style>
  <w:style w:type="character" w:customStyle="1" w:styleId="json-collapse-24">
    <w:name w:val="json-collapse-24"/>
    <w:basedOn w:val="Carpredefinitoparagrafo"/>
    <w:rsid w:val="005A0E7E"/>
  </w:style>
  <w:style w:type="character" w:customStyle="1" w:styleId="json-collapse-25">
    <w:name w:val="json-collapse-25"/>
    <w:basedOn w:val="Carpredefinitoparagrafo"/>
    <w:rsid w:val="005A0E7E"/>
  </w:style>
  <w:style w:type="character" w:customStyle="1" w:styleId="json-collapse-26">
    <w:name w:val="json-collapse-26"/>
    <w:basedOn w:val="Carpredefinitoparagrafo"/>
    <w:rsid w:val="005A0E7E"/>
  </w:style>
  <w:style w:type="character" w:customStyle="1" w:styleId="json-collapse-27">
    <w:name w:val="json-collapse-27"/>
    <w:basedOn w:val="Carpredefinitoparagrafo"/>
    <w:rsid w:val="005A0E7E"/>
  </w:style>
  <w:style w:type="character" w:customStyle="1" w:styleId="json-collapse-28">
    <w:name w:val="json-collapse-28"/>
    <w:basedOn w:val="Carpredefinitoparagrafo"/>
    <w:rsid w:val="005A0E7E"/>
  </w:style>
  <w:style w:type="character" w:customStyle="1" w:styleId="json-collapse-29">
    <w:name w:val="json-collapse-29"/>
    <w:basedOn w:val="Carpredefinitoparagrafo"/>
    <w:rsid w:val="005A0E7E"/>
  </w:style>
  <w:style w:type="character" w:customStyle="1" w:styleId="json-collapse-30">
    <w:name w:val="json-collapse-30"/>
    <w:basedOn w:val="Carpredefinitoparagrafo"/>
    <w:rsid w:val="005A0E7E"/>
  </w:style>
  <w:style w:type="character" w:customStyle="1" w:styleId="json-collapse-31">
    <w:name w:val="json-collapse-31"/>
    <w:basedOn w:val="Carpredefinitoparagrafo"/>
    <w:rsid w:val="005A0E7E"/>
  </w:style>
  <w:style w:type="character" w:customStyle="1" w:styleId="json-collapse-32">
    <w:name w:val="json-collapse-32"/>
    <w:basedOn w:val="Carpredefinitoparagrafo"/>
    <w:rsid w:val="005A0E7E"/>
  </w:style>
  <w:style w:type="character" w:customStyle="1" w:styleId="json-collapse-33">
    <w:name w:val="json-collapse-33"/>
    <w:basedOn w:val="Carpredefinitoparagrafo"/>
    <w:rsid w:val="005A0E7E"/>
  </w:style>
  <w:style w:type="character" w:customStyle="1" w:styleId="json-collapse-34">
    <w:name w:val="json-collapse-34"/>
    <w:basedOn w:val="Carpredefinitoparagrafo"/>
    <w:rsid w:val="005A0E7E"/>
  </w:style>
  <w:style w:type="character" w:customStyle="1" w:styleId="json-collapse-35">
    <w:name w:val="json-collapse-35"/>
    <w:basedOn w:val="Carpredefinitoparagrafo"/>
    <w:rsid w:val="005A0E7E"/>
  </w:style>
  <w:style w:type="character" w:customStyle="1" w:styleId="json-collapse-36">
    <w:name w:val="json-collapse-36"/>
    <w:basedOn w:val="Carpredefinitoparagrafo"/>
    <w:rsid w:val="005A0E7E"/>
  </w:style>
  <w:style w:type="character" w:customStyle="1" w:styleId="json-collapse-37">
    <w:name w:val="json-collapse-37"/>
    <w:basedOn w:val="Carpredefinitoparagrafo"/>
    <w:rsid w:val="005A0E7E"/>
  </w:style>
  <w:style w:type="character" w:customStyle="1" w:styleId="json-collapse-38">
    <w:name w:val="json-collapse-38"/>
    <w:basedOn w:val="Carpredefinitoparagrafo"/>
    <w:rsid w:val="005A0E7E"/>
  </w:style>
  <w:style w:type="character" w:customStyle="1" w:styleId="json-collapse-39">
    <w:name w:val="json-collapse-39"/>
    <w:basedOn w:val="Carpredefinitoparagrafo"/>
    <w:rsid w:val="005A0E7E"/>
  </w:style>
  <w:style w:type="character" w:customStyle="1" w:styleId="json-collapse-40">
    <w:name w:val="json-collapse-40"/>
    <w:basedOn w:val="Carpredefinitoparagrafo"/>
    <w:rsid w:val="005A0E7E"/>
  </w:style>
  <w:style w:type="character" w:customStyle="1" w:styleId="json-collapse-41">
    <w:name w:val="json-collapse-41"/>
    <w:basedOn w:val="Carpredefinitoparagrafo"/>
    <w:rsid w:val="005A0E7E"/>
  </w:style>
  <w:style w:type="character" w:customStyle="1" w:styleId="json-collapse-42">
    <w:name w:val="json-collapse-42"/>
    <w:basedOn w:val="Carpredefinitoparagrafo"/>
    <w:rsid w:val="005A0E7E"/>
  </w:style>
  <w:style w:type="character" w:customStyle="1" w:styleId="json-collapse-43">
    <w:name w:val="json-collapse-43"/>
    <w:basedOn w:val="Carpredefinitoparagrafo"/>
    <w:rsid w:val="005A0E7E"/>
  </w:style>
  <w:style w:type="character" w:customStyle="1" w:styleId="json-collapse-44">
    <w:name w:val="json-collapse-44"/>
    <w:basedOn w:val="Carpredefinitoparagrafo"/>
    <w:rsid w:val="005A0E7E"/>
  </w:style>
  <w:style w:type="character" w:customStyle="1" w:styleId="json-collapse-45">
    <w:name w:val="json-collapse-45"/>
    <w:basedOn w:val="Carpredefinitoparagrafo"/>
    <w:rsid w:val="005A0E7E"/>
  </w:style>
  <w:style w:type="character" w:customStyle="1" w:styleId="json-collapse-46">
    <w:name w:val="json-collapse-46"/>
    <w:basedOn w:val="Carpredefinitoparagrafo"/>
    <w:rsid w:val="005A0E7E"/>
  </w:style>
  <w:style w:type="character" w:customStyle="1" w:styleId="json-collapse-47">
    <w:name w:val="json-collapse-47"/>
    <w:basedOn w:val="Carpredefinitoparagrafo"/>
    <w:rsid w:val="005A0E7E"/>
  </w:style>
  <w:style w:type="character" w:customStyle="1" w:styleId="json-collapse-48">
    <w:name w:val="json-collapse-48"/>
    <w:basedOn w:val="Carpredefinitoparagrafo"/>
    <w:rsid w:val="005A0E7E"/>
  </w:style>
  <w:style w:type="character" w:customStyle="1" w:styleId="json-collapse-49">
    <w:name w:val="json-collapse-49"/>
    <w:basedOn w:val="Carpredefinitoparagrafo"/>
    <w:rsid w:val="005A0E7E"/>
  </w:style>
  <w:style w:type="paragraph" w:styleId="Sommario5">
    <w:name w:val="toc 5"/>
    <w:basedOn w:val="Normale"/>
    <w:next w:val="Normale"/>
    <w:autoRedefine/>
    <w:uiPriority w:val="39"/>
    <w:rsid w:val="005A0E7E"/>
    <w:pPr>
      <w:spacing w:after="100"/>
      <w:ind w:left="880"/>
    </w:pPr>
    <w:rPr>
      <w:rFonts w:eastAsia="Times New Roman"/>
      <w:lang w:val="en-US"/>
    </w:rPr>
  </w:style>
  <w:style w:type="paragraph" w:styleId="Sommario6">
    <w:name w:val="toc 6"/>
    <w:basedOn w:val="Normale"/>
    <w:next w:val="Normale"/>
    <w:autoRedefine/>
    <w:uiPriority w:val="39"/>
    <w:rsid w:val="005A0E7E"/>
    <w:pPr>
      <w:spacing w:after="100"/>
      <w:ind w:left="1100"/>
    </w:pPr>
    <w:rPr>
      <w:rFonts w:eastAsia="Times New Roman"/>
      <w:lang w:val="en-US"/>
    </w:rPr>
  </w:style>
  <w:style w:type="paragraph" w:styleId="Sommario7">
    <w:name w:val="toc 7"/>
    <w:basedOn w:val="Normale"/>
    <w:next w:val="Normale"/>
    <w:autoRedefine/>
    <w:uiPriority w:val="39"/>
    <w:rsid w:val="005A0E7E"/>
    <w:pPr>
      <w:spacing w:after="100"/>
      <w:ind w:left="1320"/>
    </w:pPr>
    <w:rPr>
      <w:rFonts w:eastAsia="Times New Roman"/>
      <w:lang w:val="en-US"/>
    </w:rPr>
  </w:style>
  <w:style w:type="paragraph" w:styleId="Sommario8">
    <w:name w:val="toc 8"/>
    <w:basedOn w:val="Normale"/>
    <w:next w:val="Normale"/>
    <w:autoRedefine/>
    <w:uiPriority w:val="39"/>
    <w:rsid w:val="005A0E7E"/>
    <w:pPr>
      <w:spacing w:after="100"/>
      <w:ind w:left="1540"/>
    </w:pPr>
    <w:rPr>
      <w:rFonts w:eastAsia="Times New Roman"/>
      <w:lang w:val="en-US"/>
    </w:rPr>
  </w:style>
  <w:style w:type="paragraph" w:styleId="Sommario9">
    <w:name w:val="toc 9"/>
    <w:basedOn w:val="Normale"/>
    <w:next w:val="Normale"/>
    <w:autoRedefine/>
    <w:uiPriority w:val="39"/>
    <w:rsid w:val="005A0E7E"/>
    <w:pPr>
      <w:spacing w:after="100"/>
      <w:ind w:left="1760"/>
    </w:pPr>
    <w:rPr>
      <w:rFonts w:eastAsia="Times New Roman"/>
      <w:lang w:val="en-US"/>
    </w:rPr>
  </w:style>
  <w:style w:type="character" w:customStyle="1" w:styleId="line">
    <w:name w:val="line"/>
    <w:basedOn w:val="Carpredefinitoparagrafo"/>
    <w:rsid w:val="005A0E7E"/>
  </w:style>
  <w:style w:type="character" w:customStyle="1" w:styleId="n">
    <w:name w:val="n"/>
    <w:basedOn w:val="Carpredefinitoparagrafo"/>
    <w:rsid w:val="005A0E7E"/>
  </w:style>
  <w:style w:type="character" w:customStyle="1" w:styleId="UnresolvedMention">
    <w:name w:val="Unresolved Mention"/>
    <w:basedOn w:val="Carpredefinitoparagrafo"/>
    <w:uiPriority w:val="99"/>
    <w:semiHidden/>
    <w:rsid w:val="00354DB5"/>
    <w:rPr>
      <w:color w:val="auto"/>
      <w:shd w:val="clear" w:color="auto" w:fill="auto"/>
    </w:rPr>
  </w:style>
  <w:style w:type="numbering" w:customStyle="1" w:styleId="Stile1">
    <w:name w:val="Stile1"/>
    <w:uiPriority w:val="99"/>
    <w:rsid w:val="005228A4"/>
    <w:pPr>
      <w:numPr>
        <w:numId w:val="2"/>
      </w:numPr>
    </w:pPr>
  </w:style>
  <w:style w:type="character" w:customStyle="1" w:styleId="ListParagraphChar">
    <w:name w:val="List Paragraph Char"/>
    <w:basedOn w:val="Carpredefinitoparagrafo"/>
    <w:link w:val="Paragrafoelenco1"/>
    <w:uiPriority w:val="99"/>
    <w:locked/>
    <w:rsid w:val="00A86560"/>
  </w:style>
  <w:style w:type="paragraph" w:customStyle="1" w:styleId="Paragrafoelenco1">
    <w:name w:val="Paragrafo elenco1"/>
    <w:basedOn w:val="Normale"/>
    <w:link w:val="ListParagraphChar"/>
    <w:uiPriority w:val="99"/>
    <w:qFormat/>
    <w:rsid w:val="00A86560"/>
    <w:pPr>
      <w:widowControl w:val="0"/>
      <w:suppressAutoHyphens/>
      <w:spacing w:line="276" w:lineRule="auto"/>
      <w:ind w:left="720"/>
    </w:pPr>
    <w:rPr>
      <w:rFonts w:cs="Times New Roman"/>
      <w:lang w:eastAsia="it-IT"/>
    </w:rPr>
  </w:style>
  <w:style w:type="character" w:styleId="Riferimentointenso">
    <w:name w:val="Intense Reference"/>
    <w:basedOn w:val="Carpredefinitoparagrafo"/>
    <w:uiPriority w:val="32"/>
    <w:qFormat/>
    <w:rsid w:val="00E27C35"/>
    <w:rPr>
      <w:b/>
      <w:bCs/>
      <w:smallCaps/>
      <w:color w:val="4F81BD" w:themeColor="accent1"/>
      <w:spacing w:val="5"/>
    </w:rPr>
  </w:style>
  <w:style w:type="table" w:customStyle="1" w:styleId="TableNormal">
    <w:name w:val="Table Normal"/>
    <w:uiPriority w:val="2"/>
    <w:semiHidden/>
    <w:unhideWhenUsed/>
    <w:qFormat/>
    <w:rsid w:val="00A061A6"/>
    <w:pPr>
      <w:widowControl w:val="0"/>
      <w:autoSpaceDE w:val="0"/>
      <w:autoSpaceDN w:val="0"/>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table" w:styleId="Tabellagriglia1chiara">
    <w:name w:val="Grid Table 1 Light"/>
    <w:basedOn w:val="Tabellanormale"/>
    <w:uiPriority w:val="46"/>
    <w:rsid w:val="00A061A6"/>
    <w:rPr>
      <w:rFonts w:asciiTheme="minorHAnsi" w:eastAsiaTheme="minorHAnsi" w:hAnsiTheme="minorHAnsi" w:cstheme="minorBidi"/>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griglia5scura">
    <w:name w:val="Grid Table 5 Dark"/>
    <w:basedOn w:val="Tabellanormale"/>
    <w:uiPriority w:val="50"/>
    <w:rsid w:val="00A061A6"/>
    <w:rPr>
      <w:rFonts w:asciiTheme="minorHAnsi" w:eastAsiaTheme="minorHAnsi" w:hAnsiTheme="minorHAnsi" w:cstheme="minorBid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lagriglia5scura-colore3">
    <w:name w:val="Grid Table 5 Dark Accent 3"/>
    <w:basedOn w:val="Tabellanormale"/>
    <w:uiPriority w:val="50"/>
    <w:rsid w:val="00A061A6"/>
    <w:rPr>
      <w:rFonts w:asciiTheme="minorHAnsi" w:eastAsiaTheme="minorHAnsi" w:hAnsiTheme="minorHAnsi" w:cstheme="minorBid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Tabellasemplice5">
    <w:name w:val="Plain Table 5"/>
    <w:basedOn w:val="Tabellanormale"/>
    <w:uiPriority w:val="45"/>
    <w:rsid w:val="00A061A6"/>
    <w:rPr>
      <w:rFonts w:asciiTheme="minorHAnsi" w:eastAsiaTheme="minorHAnsi" w:hAnsiTheme="minorHAnsi" w:cstheme="minorBidi"/>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gliatab3">
    <w:name w:val="Grid Table 3"/>
    <w:basedOn w:val="Tabellanormale"/>
    <w:uiPriority w:val="48"/>
    <w:rsid w:val="00A061A6"/>
    <w:rPr>
      <w:rFonts w:asciiTheme="minorHAnsi" w:eastAsiaTheme="minorHAnsi" w:hAnsiTheme="minorHAnsi" w:cstheme="minorBidi"/>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lagriglia6acolori">
    <w:name w:val="Grid Table 6 Colorful"/>
    <w:basedOn w:val="Tabellanormale"/>
    <w:uiPriority w:val="51"/>
    <w:rsid w:val="00A061A6"/>
    <w:rPr>
      <w:rFonts w:asciiTheme="minorHAnsi" w:eastAsiaTheme="minorHAnsi" w:hAnsiTheme="minorHAnsi" w:cstheme="minorBidi"/>
      <w:color w:val="000000" w:themeColor="text1"/>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MIHeading1">
    <w:name w:val="MIHeading1"/>
    <w:basedOn w:val="Titolo1"/>
    <w:rsid w:val="00A061A6"/>
    <w:pPr>
      <w:keepLines w:val="0"/>
      <w:pageBreakBefore w:val="0"/>
      <w:numPr>
        <w:numId w:val="8"/>
      </w:numPr>
      <w:shd w:val="clear" w:color="00FFFF" w:fill="800000"/>
      <w:spacing w:before="120" w:after="60"/>
      <w:ind w:right="0"/>
    </w:pPr>
    <w:rPr>
      <w:rFonts w:ascii="Trebuchet MS" w:hAnsi="Trebuchet MS" w:cs="Times New Roman"/>
      <w:b/>
      <w:bCs/>
      <w:caps w:val="0"/>
      <w:color w:val="FFFFFF"/>
      <w:kern w:val="32"/>
      <w:sz w:val="36"/>
      <w:szCs w:val="32"/>
      <w:lang w:val="en-US"/>
    </w:rPr>
  </w:style>
  <w:style w:type="paragraph" w:customStyle="1" w:styleId="MIHeading2">
    <w:name w:val="MIHeading2"/>
    <w:basedOn w:val="Titolo2"/>
    <w:rsid w:val="00A061A6"/>
    <w:pPr>
      <w:keepNext w:val="0"/>
      <w:spacing w:after="60" w:line="240" w:lineRule="auto"/>
      <w:ind w:left="432" w:hanging="432"/>
    </w:pPr>
    <w:rPr>
      <w:rFonts w:ascii="Trebuchet MS" w:hAnsi="Trebuchet MS" w:cs="Arial"/>
      <w:b/>
      <w:bCs/>
      <w:iCs/>
      <w:color w:val="auto"/>
      <w:sz w:val="28"/>
      <w:szCs w:val="28"/>
      <w:u w:color="008080"/>
      <w:lang w:val="en-US"/>
    </w:rPr>
  </w:style>
  <w:style w:type="paragraph" w:customStyle="1" w:styleId="Corpodeltesto1">
    <w:name w:val="Corpo del testo 1"/>
    <w:basedOn w:val="Normale"/>
    <w:rsid w:val="00A061A6"/>
    <w:pPr>
      <w:spacing w:after="0" w:line="360" w:lineRule="auto"/>
      <w:jc w:val="both"/>
    </w:pPr>
    <w:rPr>
      <w:rFonts w:ascii="Helvetica" w:eastAsia="Times New Roman" w:hAnsi="Helvetica" w:cs="Times New Roman"/>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7917091">
      <w:marLeft w:val="0"/>
      <w:marRight w:val="0"/>
      <w:marTop w:val="0"/>
      <w:marBottom w:val="0"/>
      <w:divBdr>
        <w:top w:val="none" w:sz="0" w:space="0" w:color="auto"/>
        <w:left w:val="none" w:sz="0" w:space="0" w:color="auto"/>
        <w:bottom w:val="none" w:sz="0" w:space="0" w:color="auto"/>
        <w:right w:val="none" w:sz="0" w:space="0" w:color="auto"/>
      </w:divBdr>
    </w:div>
    <w:div w:id="1477917095">
      <w:marLeft w:val="0"/>
      <w:marRight w:val="0"/>
      <w:marTop w:val="0"/>
      <w:marBottom w:val="0"/>
      <w:divBdr>
        <w:top w:val="none" w:sz="0" w:space="0" w:color="auto"/>
        <w:left w:val="none" w:sz="0" w:space="0" w:color="auto"/>
        <w:bottom w:val="none" w:sz="0" w:space="0" w:color="auto"/>
        <w:right w:val="none" w:sz="0" w:space="0" w:color="auto"/>
      </w:divBdr>
    </w:div>
    <w:div w:id="1477917096">
      <w:marLeft w:val="0"/>
      <w:marRight w:val="0"/>
      <w:marTop w:val="0"/>
      <w:marBottom w:val="0"/>
      <w:divBdr>
        <w:top w:val="none" w:sz="0" w:space="0" w:color="auto"/>
        <w:left w:val="none" w:sz="0" w:space="0" w:color="auto"/>
        <w:bottom w:val="none" w:sz="0" w:space="0" w:color="auto"/>
        <w:right w:val="none" w:sz="0" w:space="0" w:color="auto"/>
      </w:divBdr>
      <w:divsChild>
        <w:div w:id="1477917162">
          <w:marLeft w:val="0"/>
          <w:marRight w:val="0"/>
          <w:marTop w:val="0"/>
          <w:marBottom w:val="0"/>
          <w:divBdr>
            <w:top w:val="none" w:sz="0" w:space="0" w:color="auto"/>
            <w:left w:val="none" w:sz="0" w:space="0" w:color="auto"/>
            <w:bottom w:val="none" w:sz="0" w:space="0" w:color="auto"/>
            <w:right w:val="none" w:sz="0" w:space="0" w:color="auto"/>
          </w:divBdr>
          <w:divsChild>
            <w:div w:id="1477917114">
              <w:marLeft w:val="0"/>
              <w:marRight w:val="0"/>
              <w:marTop w:val="0"/>
              <w:marBottom w:val="0"/>
              <w:divBdr>
                <w:top w:val="none" w:sz="0" w:space="0" w:color="auto"/>
                <w:left w:val="none" w:sz="0" w:space="0" w:color="auto"/>
                <w:bottom w:val="none" w:sz="0" w:space="0" w:color="auto"/>
                <w:right w:val="none" w:sz="0" w:space="0" w:color="auto"/>
              </w:divBdr>
            </w:div>
            <w:div w:id="1477917120">
              <w:marLeft w:val="0"/>
              <w:marRight w:val="0"/>
              <w:marTop w:val="0"/>
              <w:marBottom w:val="0"/>
              <w:divBdr>
                <w:top w:val="none" w:sz="0" w:space="0" w:color="auto"/>
                <w:left w:val="none" w:sz="0" w:space="0" w:color="auto"/>
                <w:bottom w:val="none" w:sz="0" w:space="0" w:color="auto"/>
                <w:right w:val="none" w:sz="0" w:space="0" w:color="auto"/>
              </w:divBdr>
            </w:div>
            <w:div w:id="1477917146">
              <w:marLeft w:val="0"/>
              <w:marRight w:val="0"/>
              <w:marTop w:val="0"/>
              <w:marBottom w:val="0"/>
              <w:divBdr>
                <w:top w:val="none" w:sz="0" w:space="0" w:color="auto"/>
                <w:left w:val="none" w:sz="0" w:space="0" w:color="auto"/>
                <w:bottom w:val="none" w:sz="0" w:space="0" w:color="auto"/>
                <w:right w:val="none" w:sz="0" w:space="0" w:color="auto"/>
              </w:divBdr>
            </w:div>
            <w:div w:id="1477917161">
              <w:marLeft w:val="0"/>
              <w:marRight w:val="0"/>
              <w:marTop w:val="0"/>
              <w:marBottom w:val="0"/>
              <w:divBdr>
                <w:top w:val="none" w:sz="0" w:space="0" w:color="auto"/>
                <w:left w:val="none" w:sz="0" w:space="0" w:color="auto"/>
                <w:bottom w:val="none" w:sz="0" w:space="0" w:color="auto"/>
                <w:right w:val="none" w:sz="0" w:space="0" w:color="auto"/>
              </w:divBdr>
            </w:div>
            <w:div w:id="1477917194">
              <w:marLeft w:val="0"/>
              <w:marRight w:val="0"/>
              <w:marTop w:val="0"/>
              <w:marBottom w:val="0"/>
              <w:divBdr>
                <w:top w:val="none" w:sz="0" w:space="0" w:color="auto"/>
                <w:left w:val="none" w:sz="0" w:space="0" w:color="auto"/>
                <w:bottom w:val="none" w:sz="0" w:space="0" w:color="auto"/>
                <w:right w:val="none" w:sz="0" w:space="0" w:color="auto"/>
              </w:divBdr>
            </w:div>
            <w:div w:id="1477917198">
              <w:marLeft w:val="0"/>
              <w:marRight w:val="0"/>
              <w:marTop w:val="0"/>
              <w:marBottom w:val="0"/>
              <w:divBdr>
                <w:top w:val="none" w:sz="0" w:space="0" w:color="auto"/>
                <w:left w:val="none" w:sz="0" w:space="0" w:color="auto"/>
                <w:bottom w:val="none" w:sz="0" w:space="0" w:color="auto"/>
                <w:right w:val="none" w:sz="0" w:space="0" w:color="auto"/>
              </w:divBdr>
            </w:div>
            <w:div w:id="1477917237">
              <w:marLeft w:val="0"/>
              <w:marRight w:val="0"/>
              <w:marTop w:val="0"/>
              <w:marBottom w:val="0"/>
              <w:divBdr>
                <w:top w:val="none" w:sz="0" w:space="0" w:color="auto"/>
                <w:left w:val="none" w:sz="0" w:space="0" w:color="auto"/>
                <w:bottom w:val="none" w:sz="0" w:space="0" w:color="auto"/>
                <w:right w:val="none" w:sz="0" w:space="0" w:color="auto"/>
              </w:divBdr>
            </w:div>
            <w:div w:id="1477917324">
              <w:marLeft w:val="0"/>
              <w:marRight w:val="0"/>
              <w:marTop w:val="0"/>
              <w:marBottom w:val="0"/>
              <w:divBdr>
                <w:top w:val="none" w:sz="0" w:space="0" w:color="auto"/>
                <w:left w:val="none" w:sz="0" w:space="0" w:color="auto"/>
                <w:bottom w:val="none" w:sz="0" w:space="0" w:color="auto"/>
                <w:right w:val="none" w:sz="0" w:space="0" w:color="auto"/>
              </w:divBdr>
            </w:div>
            <w:div w:id="1477917348">
              <w:marLeft w:val="0"/>
              <w:marRight w:val="0"/>
              <w:marTop w:val="0"/>
              <w:marBottom w:val="0"/>
              <w:divBdr>
                <w:top w:val="none" w:sz="0" w:space="0" w:color="auto"/>
                <w:left w:val="none" w:sz="0" w:space="0" w:color="auto"/>
                <w:bottom w:val="none" w:sz="0" w:space="0" w:color="auto"/>
                <w:right w:val="none" w:sz="0" w:space="0" w:color="auto"/>
              </w:divBdr>
            </w:div>
            <w:div w:id="1477917349">
              <w:marLeft w:val="0"/>
              <w:marRight w:val="0"/>
              <w:marTop w:val="0"/>
              <w:marBottom w:val="0"/>
              <w:divBdr>
                <w:top w:val="none" w:sz="0" w:space="0" w:color="auto"/>
                <w:left w:val="none" w:sz="0" w:space="0" w:color="auto"/>
                <w:bottom w:val="none" w:sz="0" w:space="0" w:color="auto"/>
                <w:right w:val="none" w:sz="0" w:space="0" w:color="auto"/>
              </w:divBdr>
            </w:div>
            <w:div w:id="147791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099">
      <w:marLeft w:val="0"/>
      <w:marRight w:val="0"/>
      <w:marTop w:val="0"/>
      <w:marBottom w:val="0"/>
      <w:divBdr>
        <w:top w:val="none" w:sz="0" w:space="0" w:color="auto"/>
        <w:left w:val="none" w:sz="0" w:space="0" w:color="auto"/>
        <w:bottom w:val="none" w:sz="0" w:space="0" w:color="auto"/>
        <w:right w:val="none" w:sz="0" w:space="0" w:color="auto"/>
      </w:divBdr>
    </w:div>
    <w:div w:id="1477917108">
      <w:marLeft w:val="0"/>
      <w:marRight w:val="0"/>
      <w:marTop w:val="0"/>
      <w:marBottom w:val="0"/>
      <w:divBdr>
        <w:top w:val="none" w:sz="0" w:space="0" w:color="auto"/>
        <w:left w:val="none" w:sz="0" w:space="0" w:color="auto"/>
        <w:bottom w:val="none" w:sz="0" w:space="0" w:color="auto"/>
        <w:right w:val="none" w:sz="0" w:space="0" w:color="auto"/>
      </w:divBdr>
    </w:div>
    <w:div w:id="1477917112">
      <w:marLeft w:val="0"/>
      <w:marRight w:val="0"/>
      <w:marTop w:val="0"/>
      <w:marBottom w:val="0"/>
      <w:divBdr>
        <w:top w:val="none" w:sz="0" w:space="0" w:color="auto"/>
        <w:left w:val="none" w:sz="0" w:space="0" w:color="auto"/>
        <w:bottom w:val="none" w:sz="0" w:space="0" w:color="auto"/>
        <w:right w:val="none" w:sz="0" w:space="0" w:color="auto"/>
      </w:divBdr>
    </w:div>
    <w:div w:id="1477917122">
      <w:marLeft w:val="0"/>
      <w:marRight w:val="0"/>
      <w:marTop w:val="0"/>
      <w:marBottom w:val="0"/>
      <w:divBdr>
        <w:top w:val="none" w:sz="0" w:space="0" w:color="auto"/>
        <w:left w:val="none" w:sz="0" w:space="0" w:color="auto"/>
        <w:bottom w:val="none" w:sz="0" w:space="0" w:color="auto"/>
        <w:right w:val="none" w:sz="0" w:space="0" w:color="auto"/>
      </w:divBdr>
    </w:div>
    <w:div w:id="1477917145">
      <w:marLeft w:val="0"/>
      <w:marRight w:val="0"/>
      <w:marTop w:val="0"/>
      <w:marBottom w:val="0"/>
      <w:divBdr>
        <w:top w:val="none" w:sz="0" w:space="0" w:color="auto"/>
        <w:left w:val="none" w:sz="0" w:space="0" w:color="auto"/>
        <w:bottom w:val="none" w:sz="0" w:space="0" w:color="auto"/>
        <w:right w:val="none" w:sz="0" w:space="0" w:color="auto"/>
      </w:divBdr>
      <w:divsChild>
        <w:div w:id="1477917373">
          <w:marLeft w:val="0"/>
          <w:marRight w:val="0"/>
          <w:marTop w:val="0"/>
          <w:marBottom w:val="0"/>
          <w:divBdr>
            <w:top w:val="none" w:sz="0" w:space="0" w:color="auto"/>
            <w:left w:val="none" w:sz="0" w:space="0" w:color="auto"/>
            <w:bottom w:val="none" w:sz="0" w:space="0" w:color="auto"/>
            <w:right w:val="none" w:sz="0" w:space="0" w:color="auto"/>
          </w:divBdr>
          <w:divsChild>
            <w:div w:id="147791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152">
      <w:marLeft w:val="0"/>
      <w:marRight w:val="0"/>
      <w:marTop w:val="0"/>
      <w:marBottom w:val="0"/>
      <w:divBdr>
        <w:top w:val="none" w:sz="0" w:space="0" w:color="auto"/>
        <w:left w:val="none" w:sz="0" w:space="0" w:color="auto"/>
        <w:bottom w:val="none" w:sz="0" w:space="0" w:color="auto"/>
        <w:right w:val="none" w:sz="0" w:space="0" w:color="auto"/>
      </w:divBdr>
    </w:div>
    <w:div w:id="1477917158">
      <w:marLeft w:val="0"/>
      <w:marRight w:val="0"/>
      <w:marTop w:val="0"/>
      <w:marBottom w:val="0"/>
      <w:divBdr>
        <w:top w:val="none" w:sz="0" w:space="0" w:color="auto"/>
        <w:left w:val="none" w:sz="0" w:space="0" w:color="auto"/>
        <w:bottom w:val="none" w:sz="0" w:space="0" w:color="auto"/>
        <w:right w:val="none" w:sz="0" w:space="0" w:color="auto"/>
      </w:divBdr>
    </w:div>
    <w:div w:id="1477917160">
      <w:marLeft w:val="0"/>
      <w:marRight w:val="0"/>
      <w:marTop w:val="0"/>
      <w:marBottom w:val="0"/>
      <w:divBdr>
        <w:top w:val="none" w:sz="0" w:space="0" w:color="auto"/>
        <w:left w:val="none" w:sz="0" w:space="0" w:color="auto"/>
        <w:bottom w:val="none" w:sz="0" w:space="0" w:color="auto"/>
        <w:right w:val="none" w:sz="0" w:space="0" w:color="auto"/>
      </w:divBdr>
      <w:divsChild>
        <w:div w:id="1477917148">
          <w:marLeft w:val="0"/>
          <w:marRight w:val="0"/>
          <w:marTop w:val="0"/>
          <w:marBottom w:val="0"/>
          <w:divBdr>
            <w:top w:val="none" w:sz="0" w:space="0" w:color="auto"/>
            <w:left w:val="none" w:sz="0" w:space="0" w:color="auto"/>
            <w:bottom w:val="none" w:sz="0" w:space="0" w:color="auto"/>
            <w:right w:val="none" w:sz="0" w:space="0" w:color="auto"/>
          </w:divBdr>
          <w:divsChild>
            <w:div w:id="1477917081">
              <w:marLeft w:val="0"/>
              <w:marRight w:val="0"/>
              <w:marTop w:val="0"/>
              <w:marBottom w:val="0"/>
              <w:divBdr>
                <w:top w:val="none" w:sz="0" w:space="0" w:color="auto"/>
                <w:left w:val="none" w:sz="0" w:space="0" w:color="auto"/>
                <w:bottom w:val="none" w:sz="0" w:space="0" w:color="auto"/>
                <w:right w:val="none" w:sz="0" w:space="0" w:color="auto"/>
              </w:divBdr>
            </w:div>
            <w:div w:id="1477917082">
              <w:marLeft w:val="0"/>
              <w:marRight w:val="0"/>
              <w:marTop w:val="0"/>
              <w:marBottom w:val="0"/>
              <w:divBdr>
                <w:top w:val="none" w:sz="0" w:space="0" w:color="auto"/>
                <w:left w:val="none" w:sz="0" w:space="0" w:color="auto"/>
                <w:bottom w:val="none" w:sz="0" w:space="0" w:color="auto"/>
                <w:right w:val="none" w:sz="0" w:space="0" w:color="auto"/>
              </w:divBdr>
            </w:div>
            <w:div w:id="1477917084">
              <w:marLeft w:val="0"/>
              <w:marRight w:val="0"/>
              <w:marTop w:val="0"/>
              <w:marBottom w:val="0"/>
              <w:divBdr>
                <w:top w:val="none" w:sz="0" w:space="0" w:color="auto"/>
                <w:left w:val="none" w:sz="0" w:space="0" w:color="auto"/>
                <w:bottom w:val="none" w:sz="0" w:space="0" w:color="auto"/>
                <w:right w:val="none" w:sz="0" w:space="0" w:color="auto"/>
              </w:divBdr>
            </w:div>
            <w:div w:id="1477917089">
              <w:marLeft w:val="0"/>
              <w:marRight w:val="0"/>
              <w:marTop w:val="0"/>
              <w:marBottom w:val="0"/>
              <w:divBdr>
                <w:top w:val="none" w:sz="0" w:space="0" w:color="auto"/>
                <w:left w:val="none" w:sz="0" w:space="0" w:color="auto"/>
                <w:bottom w:val="none" w:sz="0" w:space="0" w:color="auto"/>
                <w:right w:val="none" w:sz="0" w:space="0" w:color="auto"/>
              </w:divBdr>
            </w:div>
            <w:div w:id="1477917090">
              <w:marLeft w:val="0"/>
              <w:marRight w:val="0"/>
              <w:marTop w:val="0"/>
              <w:marBottom w:val="0"/>
              <w:divBdr>
                <w:top w:val="none" w:sz="0" w:space="0" w:color="auto"/>
                <w:left w:val="none" w:sz="0" w:space="0" w:color="auto"/>
                <w:bottom w:val="none" w:sz="0" w:space="0" w:color="auto"/>
                <w:right w:val="none" w:sz="0" w:space="0" w:color="auto"/>
              </w:divBdr>
            </w:div>
            <w:div w:id="1477917093">
              <w:marLeft w:val="0"/>
              <w:marRight w:val="0"/>
              <w:marTop w:val="0"/>
              <w:marBottom w:val="0"/>
              <w:divBdr>
                <w:top w:val="none" w:sz="0" w:space="0" w:color="auto"/>
                <w:left w:val="none" w:sz="0" w:space="0" w:color="auto"/>
                <w:bottom w:val="none" w:sz="0" w:space="0" w:color="auto"/>
                <w:right w:val="none" w:sz="0" w:space="0" w:color="auto"/>
              </w:divBdr>
            </w:div>
            <w:div w:id="1477917094">
              <w:marLeft w:val="0"/>
              <w:marRight w:val="0"/>
              <w:marTop w:val="0"/>
              <w:marBottom w:val="0"/>
              <w:divBdr>
                <w:top w:val="none" w:sz="0" w:space="0" w:color="auto"/>
                <w:left w:val="none" w:sz="0" w:space="0" w:color="auto"/>
                <w:bottom w:val="none" w:sz="0" w:space="0" w:color="auto"/>
                <w:right w:val="none" w:sz="0" w:space="0" w:color="auto"/>
              </w:divBdr>
            </w:div>
            <w:div w:id="1477917097">
              <w:marLeft w:val="0"/>
              <w:marRight w:val="0"/>
              <w:marTop w:val="0"/>
              <w:marBottom w:val="0"/>
              <w:divBdr>
                <w:top w:val="none" w:sz="0" w:space="0" w:color="auto"/>
                <w:left w:val="none" w:sz="0" w:space="0" w:color="auto"/>
                <w:bottom w:val="none" w:sz="0" w:space="0" w:color="auto"/>
                <w:right w:val="none" w:sz="0" w:space="0" w:color="auto"/>
              </w:divBdr>
            </w:div>
            <w:div w:id="1477917103">
              <w:marLeft w:val="0"/>
              <w:marRight w:val="0"/>
              <w:marTop w:val="0"/>
              <w:marBottom w:val="0"/>
              <w:divBdr>
                <w:top w:val="none" w:sz="0" w:space="0" w:color="auto"/>
                <w:left w:val="none" w:sz="0" w:space="0" w:color="auto"/>
                <w:bottom w:val="none" w:sz="0" w:space="0" w:color="auto"/>
                <w:right w:val="none" w:sz="0" w:space="0" w:color="auto"/>
              </w:divBdr>
            </w:div>
            <w:div w:id="1477917105">
              <w:marLeft w:val="0"/>
              <w:marRight w:val="0"/>
              <w:marTop w:val="0"/>
              <w:marBottom w:val="0"/>
              <w:divBdr>
                <w:top w:val="none" w:sz="0" w:space="0" w:color="auto"/>
                <w:left w:val="none" w:sz="0" w:space="0" w:color="auto"/>
                <w:bottom w:val="none" w:sz="0" w:space="0" w:color="auto"/>
                <w:right w:val="none" w:sz="0" w:space="0" w:color="auto"/>
              </w:divBdr>
            </w:div>
            <w:div w:id="1477917113">
              <w:marLeft w:val="0"/>
              <w:marRight w:val="0"/>
              <w:marTop w:val="0"/>
              <w:marBottom w:val="0"/>
              <w:divBdr>
                <w:top w:val="none" w:sz="0" w:space="0" w:color="auto"/>
                <w:left w:val="none" w:sz="0" w:space="0" w:color="auto"/>
                <w:bottom w:val="none" w:sz="0" w:space="0" w:color="auto"/>
                <w:right w:val="none" w:sz="0" w:space="0" w:color="auto"/>
              </w:divBdr>
            </w:div>
            <w:div w:id="1477917131">
              <w:marLeft w:val="0"/>
              <w:marRight w:val="0"/>
              <w:marTop w:val="0"/>
              <w:marBottom w:val="0"/>
              <w:divBdr>
                <w:top w:val="none" w:sz="0" w:space="0" w:color="auto"/>
                <w:left w:val="none" w:sz="0" w:space="0" w:color="auto"/>
                <w:bottom w:val="none" w:sz="0" w:space="0" w:color="auto"/>
                <w:right w:val="none" w:sz="0" w:space="0" w:color="auto"/>
              </w:divBdr>
            </w:div>
            <w:div w:id="1477917132">
              <w:marLeft w:val="0"/>
              <w:marRight w:val="0"/>
              <w:marTop w:val="0"/>
              <w:marBottom w:val="0"/>
              <w:divBdr>
                <w:top w:val="none" w:sz="0" w:space="0" w:color="auto"/>
                <w:left w:val="none" w:sz="0" w:space="0" w:color="auto"/>
                <w:bottom w:val="none" w:sz="0" w:space="0" w:color="auto"/>
                <w:right w:val="none" w:sz="0" w:space="0" w:color="auto"/>
              </w:divBdr>
            </w:div>
            <w:div w:id="1477917137">
              <w:marLeft w:val="0"/>
              <w:marRight w:val="0"/>
              <w:marTop w:val="0"/>
              <w:marBottom w:val="0"/>
              <w:divBdr>
                <w:top w:val="none" w:sz="0" w:space="0" w:color="auto"/>
                <w:left w:val="none" w:sz="0" w:space="0" w:color="auto"/>
                <w:bottom w:val="none" w:sz="0" w:space="0" w:color="auto"/>
                <w:right w:val="none" w:sz="0" w:space="0" w:color="auto"/>
              </w:divBdr>
            </w:div>
            <w:div w:id="1477917153">
              <w:marLeft w:val="0"/>
              <w:marRight w:val="0"/>
              <w:marTop w:val="0"/>
              <w:marBottom w:val="0"/>
              <w:divBdr>
                <w:top w:val="none" w:sz="0" w:space="0" w:color="auto"/>
                <w:left w:val="none" w:sz="0" w:space="0" w:color="auto"/>
                <w:bottom w:val="none" w:sz="0" w:space="0" w:color="auto"/>
                <w:right w:val="none" w:sz="0" w:space="0" w:color="auto"/>
              </w:divBdr>
            </w:div>
            <w:div w:id="1477917154">
              <w:marLeft w:val="0"/>
              <w:marRight w:val="0"/>
              <w:marTop w:val="0"/>
              <w:marBottom w:val="0"/>
              <w:divBdr>
                <w:top w:val="none" w:sz="0" w:space="0" w:color="auto"/>
                <w:left w:val="none" w:sz="0" w:space="0" w:color="auto"/>
                <w:bottom w:val="none" w:sz="0" w:space="0" w:color="auto"/>
                <w:right w:val="none" w:sz="0" w:space="0" w:color="auto"/>
              </w:divBdr>
            </w:div>
            <w:div w:id="1477917155">
              <w:marLeft w:val="0"/>
              <w:marRight w:val="0"/>
              <w:marTop w:val="0"/>
              <w:marBottom w:val="0"/>
              <w:divBdr>
                <w:top w:val="none" w:sz="0" w:space="0" w:color="auto"/>
                <w:left w:val="none" w:sz="0" w:space="0" w:color="auto"/>
                <w:bottom w:val="none" w:sz="0" w:space="0" w:color="auto"/>
                <w:right w:val="none" w:sz="0" w:space="0" w:color="auto"/>
              </w:divBdr>
            </w:div>
            <w:div w:id="1477917172">
              <w:marLeft w:val="0"/>
              <w:marRight w:val="0"/>
              <w:marTop w:val="0"/>
              <w:marBottom w:val="0"/>
              <w:divBdr>
                <w:top w:val="none" w:sz="0" w:space="0" w:color="auto"/>
                <w:left w:val="none" w:sz="0" w:space="0" w:color="auto"/>
                <w:bottom w:val="none" w:sz="0" w:space="0" w:color="auto"/>
                <w:right w:val="none" w:sz="0" w:space="0" w:color="auto"/>
              </w:divBdr>
            </w:div>
            <w:div w:id="1477917173">
              <w:marLeft w:val="0"/>
              <w:marRight w:val="0"/>
              <w:marTop w:val="0"/>
              <w:marBottom w:val="0"/>
              <w:divBdr>
                <w:top w:val="none" w:sz="0" w:space="0" w:color="auto"/>
                <w:left w:val="none" w:sz="0" w:space="0" w:color="auto"/>
                <w:bottom w:val="none" w:sz="0" w:space="0" w:color="auto"/>
                <w:right w:val="none" w:sz="0" w:space="0" w:color="auto"/>
              </w:divBdr>
            </w:div>
            <w:div w:id="1477917176">
              <w:marLeft w:val="0"/>
              <w:marRight w:val="0"/>
              <w:marTop w:val="0"/>
              <w:marBottom w:val="0"/>
              <w:divBdr>
                <w:top w:val="none" w:sz="0" w:space="0" w:color="auto"/>
                <w:left w:val="none" w:sz="0" w:space="0" w:color="auto"/>
                <w:bottom w:val="none" w:sz="0" w:space="0" w:color="auto"/>
                <w:right w:val="none" w:sz="0" w:space="0" w:color="auto"/>
              </w:divBdr>
            </w:div>
            <w:div w:id="1477917181">
              <w:marLeft w:val="0"/>
              <w:marRight w:val="0"/>
              <w:marTop w:val="0"/>
              <w:marBottom w:val="0"/>
              <w:divBdr>
                <w:top w:val="none" w:sz="0" w:space="0" w:color="auto"/>
                <w:left w:val="none" w:sz="0" w:space="0" w:color="auto"/>
                <w:bottom w:val="none" w:sz="0" w:space="0" w:color="auto"/>
                <w:right w:val="none" w:sz="0" w:space="0" w:color="auto"/>
              </w:divBdr>
            </w:div>
            <w:div w:id="1477917182">
              <w:marLeft w:val="0"/>
              <w:marRight w:val="0"/>
              <w:marTop w:val="0"/>
              <w:marBottom w:val="0"/>
              <w:divBdr>
                <w:top w:val="none" w:sz="0" w:space="0" w:color="auto"/>
                <w:left w:val="none" w:sz="0" w:space="0" w:color="auto"/>
                <w:bottom w:val="none" w:sz="0" w:space="0" w:color="auto"/>
                <w:right w:val="none" w:sz="0" w:space="0" w:color="auto"/>
              </w:divBdr>
            </w:div>
            <w:div w:id="1477917186">
              <w:marLeft w:val="0"/>
              <w:marRight w:val="0"/>
              <w:marTop w:val="0"/>
              <w:marBottom w:val="0"/>
              <w:divBdr>
                <w:top w:val="none" w:sz="0" w:space="0" w:color="auto"/>
                <w:left w:val="none" w:sz="0" w:space="0" w:color="auto"/>
                <w:bottom w:val="none" w:sz="0" w:space="0" w:color="auto"/>
                <w:right w:val="none" w:sz="0" w:space="0" w:color="auto"/>
              </w:divBdr>
            </w:div>
            <w:div w:id="1477917187">
              <w:marLeft w:val="0"/>
              <w:marRight w:val="0"/>
              <w:marTop w:val="0"/>
              <w:marBottom w:val="0"/>
              <w:divBdr>
                <w:top w:val="none" w:sz="0" w:space="0" w:color="auto"/>
                <w:left w:val="none" w:sz="0" w:space="0" w:color="auto"/>
                <w:bottom w:val="none" w:sz="0" w:space="0" w:color="auto"/>
                <w:right w:val="none" w:sz="0" w:space="0" w:color="auto"/>
              </w:divBdr>
            </w:div>
            <w:div w:id="1477917196">
              <w:marLeft w:val="0"/>
              <w:marRight w:val="0"/>
              <w:marTop w:val="0"/>
              <w:marBottom w:val="0"/>
              <w:divBdr>
                <w:top w:val="none" w:sz="0" w:space="0" w:color="auto"/>
                <w:left w:val="none" w:sz="0" w:space="0" w:color="auto"/>
                <w:bottom w:val="none" w:sz="0" w:space="0" w:color="auto"/>
                <w:right w:val="none" w:sz="0" w:space="0" w:color="auto"/>
              </w:divBdr>
            </w:div>
            <w:div w:id="1477917213">
              <w:marLeft w:val="0"/>
              <w:marRight w:val="0"/>
              <w:marTop w:val="0"/>
              <w:marBottom w:val="0"/>
              <w:divBdr>
                <w:top w:val="none" w:sz="0" w:space="0" w:color="auto"/>
                <w:left w:val="none" w:sz="0" w:space="0" w:color="auto"/>
                <w:bottom w:val="none" w:sz="0" w:space="0" w:color="auto"/>
                <w:right w:val="none" w:sz="0" w:space="0" w:color="auto"/>
              </w:divBdr>
            </w:div>
            <w:div w:id="1477917214">
              <w:marLeft w:val="0"/>
              <w:marRight w:val="0"/>
              <w:marTop w:val="0"/>
              <w:marBottom w:val="0"/>
              <w:divBdr>
                <w:top w:val="none" w:sz="0" w:space="0" w:color="auto"/>
                <w:left w:val="none" w:sz="0" w:space="0" w:color="auto"/>
                <w:bottom w:val="none" w:sz="0" w:space="0" w:color="auto"/>
                <w:right w:val="none" w:sz="0" w:space="0" w:color="auto"/>
              </w:divBdr>
            </w:div>
            <w:div w:id="1477917217">
              <w:marLeft w:val="0"/>
              <w:marRight w:val="0"/>
              <w:marTop w:val="0"/>
              <w:marBottom w:val="0"/>
              <w:divBdr>
                <w:top w:val="none" w:sz="0" w:space="0" w:color="auto"/>
                <w:left w:val="none" w:sz="0" w:space="0" w:color="auto"/>
                <w:bottom w:val="none" w:sz="0" w:space="0" w:color="auto"/>
                <w:right w:val="none" w:sz="0" w:space="0" w:color="auto"/>
              </w:divBdr>
            </w:div>
            <w:div w:id="1477917218">
              <w:marLeft w:val="0"/>
              <w:marRight w:val="0"/>
              <w:marTop w:val="0"/>
              <w:marBottom w:val="0"/>
              <w:divBdr>
                <w:top w:val="none" w:sz="0" w:space="0" w:color="auto"/>
                <w:left w:val="none" w:sz="0" w:space="0" w:color="auto"/>
                <w:bottom w:val="none" w:sz="0" w:space="0" w:color="auto"/>
                <w:right w:val="none" w:sz="0" w:space="0" w:color="auto"/>
              </w:divBdr>
            </w:div>
            <w:div w:id="1477917219">
              <w:marLeft w:val="0"/>
              <w:marRight w:val="0"/>
              <w:marTop w:val="0"/>
              <w:marBottom w:val="0"/>
              <w:divBdr>
                <w:top w:val="none" w:sz="0" w:space="0" w:color="auto"/>
                <w:left w:val="none" w:sz="0" w:space="0" w:color="auto"/>
                <w:bottom w:val="none" w:sz="0" w:space="0" w:color="auto"/>
                <w:right w:val="none" w:sz="0" w:space="0" w:color="auto"/>
              </w:divBdr>
            </w:div>
            <w:div w:id="1477917230">
              <w:marLeft w:val="0"/>
              <w:marRight w:val="0"/>
              <w:marTop w:val="0"/>
              <w:marBottom w:val="0"/>
              <w:divBdr>
                <w:top w:val="none" w:sz="0" w:space="0" w:color="auto"/>
                <w:left w:val="none" w:sz="0" w:space="0" w:color="auto"/>
                <w:bottom w:val="none" w:sz="0" w:space="0" w:color="auto"/>
                <w:right w:val="none" w:sz="0" w:space="0" w:color="auto"/>
              </w:divBdr>
            </w:div>
            <w:div w:id="1477917251">
              <w:marLeft w:val="0"/>
              <w:marRight w:val="0"/>
              <w:marTop w:val="0"/>
              <w:marBottom w:val="0"/>
              <w:divBdr>
                <w:top w:val="none" w:sz="0" w:space="0" w:color="auto"/>
                <w:left w:val="none" w:sz="0" w:space="0" w:color="auto"/>
                <w:bottom w:val="none" w:sz="0" w:space="0" w:color="auto"/>
                <w:right w:val="none" w:sz="0" w:space="0" w:color="auto"/>
              </w:divBdr>
            </w:div>
            <w:div w:id="1477917254">
              <w:marLeft w:val="0"/>
              <w:marRight w:val="0"/>
              <w:marTop w:val="0"/>
              <w:marBottom w:val="0"/>
              <w:divBdr>
                <w:top w:val="none" w:sz="0" w:space="0" w:color="auto"/>
                <w:left w:val="none" w:sz="0" w:space="0" w:color="auto"/>
                <w:bottom w:val="none" w:sz="0" w:space="0" w:color="auto"/>
                <w:right w:val="none" w:sz="0" w:space="0" w:color="auto"/>
              </w:divBdr>
            </w:div>
            <w:div w:id="1477917257">
              <w:marLeft w:val="0"/>
              <w:marRight w:val="0"/>
              <w:marTop w:val="0"/>
              <w:marBottom w:val="0"/>
              <w:divBdr>
                <w:top w:val="none" w:sz="0" w:space="0" w:color="auto"/>
                <w:left w:val="none" w:sz="0" w:space="0" w:color="auto"/>
                <w:bottom w:val="none" w:sz="0" w:space="0" w:color="auto"/>
                <w:right w:val="none" w:sz="0" w:space="0" w:color="auto"/>
              </w:divBdr>
            </w:div>
            <w:div w:id="1477917265">
              <w:marLeft w:val="0"/>
              <w:marRight w:val="0"/>
              <w:marTop w:val="0"/>
              <w:marBottom w:val="0"/>
              <w:divBdr>
                <w:top w:val="none" w:sz="0" w:space="0" w:color="auto"/>
                <w:left w:val="none" w:sz="0" w:space="0" w:color="auto"/>
                <w:bottom w:val="none" w:sz="0" w:space="0" w:color="auto"/>
                <w:right w:val="none" w:sz="0" w:space="0" w:color="auto"/>
              </w:divBdr>
            </w:div>
            <w:div w:id="1477917266">
              <w:marLeft w:val="0"/>
              <w:marRight w:val="0"/>
              <w:marTop w:val="0"/>
              <w:marBottom w:val="0"/>
              <w:divBdr>
                <w:top w:val="none" w:sz="0" w:space="0" w:color="auto"/>
                <w:left w:val="none" w:sz="0" w:space="0" w:color="auto"/>
                <w:bottom w:val="none" w:sz="0" w:space="0" w:color="auto"/>
                <w:right w:val="none" w:sz="0" w:space="0" w:color="auto"/>
              </w:divBdr>
            </w:div>
            <w:div w:id="1477917270">
              <w:marLeft w:val="0"/>
              <w:marRight w:val="0"/>
              <w:marTop w:val="0"/>
              <w:marBottom w:val="0"/>
              <w:divBdr>
                <w:top w:val="none" w:sz="0" w:space="0" w:color="auto"/>
                <w:left w:val="none" w:sz="0" w:space="0" w:color="auto"/>
                <w:bottom w:val="none" w:sz="0" w:space="0" w:color="auto"/>
                <w:right w:val="none" w:sz="0" w:space="0" w:color="auto"/>
              </w:divBdr>
            </w:div>
            <w:div w:id="1477917272">
              <w:marLeft w:val="0"/>
              <w:marRight w:val="0"/>
              <w:marTop w:val="0"/>
              <w:marBottom w:val="0"/>
              <w:divBdr>
                <w:top w:val="none" w:sz="0" w:space="0" w:color="auto"/>
                <w:left w:val="none" w:sz="0" w:space="0" w:color="auto"/>
                <w:bottom w:val="none" w:sz="0" w:space="0" w:color="auto"/>
                <w:right w:val="none" w:sz="0" w:space="0" w:color="auto"/>
              </w:divBdr>
            </w:div>
            <w:div w:id="1477917273">
              <w:marLeft w:val="0"/>
              <w:marRight w:val="0"/>
              <w:marTop w:val="0"/>
              <w:marBottom w:val="0"/>
              <w:divBdr>
                <w:top w:val="none" w:sz="0" w:space="0" w:color="auto"/>
                <w:left w:val="none" w:sz="0" w:space="0" w:color="auto"/>
                <w:bottom w:val="none" w:sz="0" w:space="0" w:color="auto"/>
                <w:right w:val="none" w:sz="0" w:space="0" w:color="auto"/>
              </w:divBdr>
            </w:div>
            <w:div w:id="1477917276">
              <w:marLeft w:val="0"/>
              <w:marRight w:val="0"/>
              <w:marTop w:val="0"/>
              <w:marBottom w:val="0"/>
              <w:divBdr>
                <w:top w:val="none" w:sz="0" w:space="0" w:color="auto"/>
                <w:left w:val="none" w:sz="0" w:space="0" w:color="auto"/>
                <w:bottom w:val="none" w:sz="0" w:space="0" w:color="auto"/>
                <w:right w:val="none" w:sz="0" w:space="0" w:color="auto"/>
              </w:divBdr>
            </w:div>
            <w:div w:id="1477917280">
              <w:marLeft w:val="0"/>
              <w:marRight w:val="0"/>
              <w:marTop w:val="0"/>
              <w:marBottom w:val="0"/>
              <w:divBdr>
                <w:top w:val="none" w:sz="0" w:space="0" w:color="auto"/>
                <w:left w:val="none" w:sz="0" w:space="0" w:color="auto"/>
                <w:bottom w:val="none" w:sz="0" w:space="0" w:color="auto"/>
                <w:right w:val="none" w:sz="0" w:space="0" w:color="auto"/>
              </w:divBdr>
            </w:div>
            <w:div w:id="1477917282">
              <w:marLeft w:val="0"/>
              <w:marRight w:val="0"/>
              <w:marTop w:val="0"/>
              <w:marBottom w:val="0"/>
              <w:divBdr>
                <w:top w:val="none" w:sz="0" w:space="0" w:color="auto"/>
                <w:left w:val="none" w:sz="0" w:space="0" w:color="auto"/>
                <w:bottom w:val="none" w:sz="0" w:space="0" w:color="auto"/>
                <w:right w:val="none" w:sz="0" w:space="0" w:color="auto"/>
              </w:divBdr>
            </w:div>
            <w:div w:id="1477917283">
              <w:marLeft w:val="0"/>
              <w:marRight w:val="0"/>
              <w:marTop w:val="0"/>
              <w:marBottom w:val="0"/>
              <w:divBdr>
                <w:top w:val="none" w:sz="0" w:space="0" w:color="auto"/>
                <w:left w:val="none" w:sz="0" w:space="0" w:color="auto"/>
                <w:bottom w:val="none" w:sz="0" w:space="0" w:color="auto"/>
                <w:right w:val="none" w:sz="0" w:space="0" w:color="auto"/>
              </w:divBdr>
            </w:div>
            <w:div w:id="1477917295">
              <w:marLeft w:val="0"/>
              <w:marRight w:val="0"/>
              <w:marTop w:val="0"/>
              <w:marBottom w:val="0"/>
              <w:divBdr>
                <w:top w:val="none" w:sz="0" w:space="0" w:color="auto"/>
                <w:left w:val="none" w:sz="0" w:space="0" w:color="auto"/>
                <w:bottom w:val="none" w:sz="0" w:space="0" w:color="auto"/>
                <w:right w:val="none" w:sz="0" w:space="0" w:color="auto"/>
              </w:divBdr>
            </w:div>
            <w:div w:id="1477917299">
              <w:marLeft w:val="0"/>
              <w:marRight w:val="0"/>
              <w:marTop w:val="0"/>
              <w:marBottom w:val="0"/>
              <w:divBdr>
                <w:top w:val="none" w:sz="0" w:space="0" w:color="auto"/>
                <w:left w:val="none" w:sz="0" w:space="0" w:color="auto"/>
                <w:bottom w:val="none" w:sz="0" w:space="0" w:color="auto"/>
                <w:right w:val="none" w:sz="0" w:space="0" w:color="auto"/>
              </w:divBdr>
            </w:div>
            <w:div w:id="1477917300">
              <w:marLeft w:val="0"/>
              <w:marRight w:val="0"/>
              <w:marTop w:val="0"/>
              <w:marBottom w:val="0"/>
              <w:divBdr>
                <w:top w:val="none" w:sz="0" w:space="0" w:color="auto"/>
                <w:left w:val="none" w:sz="0" w:space="0" w:color="auto"/>
                <w:bottom w:val="none" w:sz="0" w:space="0" w:color="auto"/>
                <w:right w:val="none" w:sz="0" w:space="0" w:color="auto"/>
              </w:divBdr>
            </w:div>
            <w:div w:id="1477917302">
              <w:marLeft w:val="0"/>
              <w:marRight w:val="0"/>
              <w:marTop w:val="0"/>
              <w:marBottom w:val="0"/>
              <w:divBdr>
                <w:top w:val="none" w:sz="0" w:space="0" w:color="auto"/>
                <w:left w:val="none" w:sz="0" w:space="0" w:color="auto"/>
                <w:bottom w:val="none" w:sz="0" w:space="0" w:color="auto"/>
                <w:right w:val="none" w:sz="0" w:space="0" w:color="auto"/>
              </w:divBdr>
            </w:div>
            <w:div w:id="1477917309">
              <w:marLeft w:val="0"/>
              <w:marRight w:val="0"/>
              <w:marTop w:val="0"/>
              <w:marBottom w:val="0"/>
              <w:divBdr>
                <w:top w:val="none" w:sz="0" w:space="0" w:color="auto"/>
                <w:left w:val="none" w:sz="0" w:space="0" w:color="auto"/>
                <w:bottom w:val="none" w:sz="0" w:space="0" w:color="auto"/>
                <w:right w:val="none" w:sz="0" w:space="0" w:color="auto"/>
              </w:divBdr>
            </w:div>
            <w:div w:id="1477917315">
              <w:marLeft w:val="0"/>
              <w:marRight w:val="0"/>
              <w:marTop w:val="0"/>
              <w:marBottom w:val="0"/>
              <w:divBdr>
                <w:top w:val="none" w:sz="0" w:space="0" w:color="auto"/>
                <w:left w:val="none" w:sz="0" w:space="0" w:color="auto"/>
                <w:bottom w:val="none" w:sz="0" w:space="0" w:color="auto"/>
                <w:right w:val="none" w:sz="0" w:space="0" w:color="auto"/>
              </w:divBdr>
            </w:div>
            <w:div w:id="1477917318">
              <w:marLeft w:val="0"/>
              <w:marRight w:val="0"/>
              <w:marTop w:val="0"/>
              <w:marBottom w:val="0"/>
              <w:divBdr>
                <w:top w:val="none" w:sz="0" w:space="0" w:color="auto"/>
                <w:left w:val="none" w:sz="0" w:space="0" w:color="auto"/>
                <w:bottom w:val="none" w:sz="0" w:space="0" w:color="auto"/>
                <w:right w:val="none" w:sz="0" w:space="0" w:color="auto"/>
              </w:divBdr>
            </w:div>
            <w:div w:id="1477917323">
              <w:marLeft w:val="0"/>
              <w:marRight w:val="0"/>
              <w:marTop w:val="0"/>
              <w:marBottom w:val="0"/>
              <w:divBdr>
                <w:top w:val="none" w:sz="0" w:space="0" w:color="auto"/>
                <w:left w:val="none" w:sz="0" w:space="0" w:color="auto"/>
                <w:bottom w:val="none" w:sz="0" w:space="0" w:color="auto"/>
                <w:right w:val="none" w:sz="0" w:space="0" w:color="auto"/>
              </w:divBdr>
            </w:div>
            <w:div w:id="1477917330">
              <w:marLeft w:val="0"/>
              <w:marRight w:val="0"/>
              <w:marTop w:val="0"/>
              <w:marBottom w:val="0"/>
              <w:divBdr>
                <w:top w:val="none" w:sz="0" w:space="0" w:color="auto"/>
                <w:left w:val="none" w:sz="0" w:space="0" w:color="auto"/>
                <w:bottom w:val="none" w:sz="0" w:space="0" w:color="auto"/>
                <w:right w:val="none" w:sz="0" w:space="0" w:color="auto"/>
              </w:divBdr>
            </w:div>
            <w:div w:id="1477917346">
              <w:marLeft w:val="0"/>
              <w:marRight w:val="0"/>
              <w:marTop w:val="0"/>
              <w:marBottom w:val="0"/>
              <w:divBdr>
                <w:top w:val="none" w:sz="0" w:space="0" w:color="auto"/>
                <w:left w:val="none" w:sz="0" w:space="0" w:color="auto"/>
                <w:bottom w:val="none" w:sz="0" w:space="0" w:color="auto"/>
                <w:right w:val="none" w:sz="0" w:space="0" w:color="auto"/>
              </w:divBdr>
            </w:div>
            <w:div w:id="1477917375">
              <w:marLeft w:val="0"/>
              <w:marRight w:val="0"/>
              <w:marTop w:val="0"/>
              <w:marBottom w:val="0"/>
              <w:divBdr>
                <w:top w:val="none" w:sz="0" w:space="0" w:color="auto"/>
                <w:left w:val="none" w:sz="0" w:space="0" w:color="auto"/>
                <w:bottom w:val="none" w:sz="0" w:space="0" w:color="auto"/>
                <w:right w:val="none" w:sz="0" w:space="0" w:color="auto"/>
              </w:divBdr>
            </w:div>
            <w:div w:id="1477917384">
              <w:marLeft w:val="0"/>
              <w:marRight w:val="0"/>
              <w:marTop w:val="0"/>
              <w:marBottom w:val="0"/>
              <w:divBdr>
                <w:top w:val="none" w:sz="0" w:space="0" w:color="auto"/>
                <w:left w:val="none" w:sz="0" w:space="0" w:color="auto"/>
                <w:bottom w:val="none" w:sz="0" w:space="0" w:color="auto"/>
                <w:right w:val="none" w:sz="0" w:space="0" w:color="auto"/>
              </w:divBdr>
            </w:div>
            <w:div w:id="1477917386">
              <w:marLeft w:val="0"/>
              <w:marRight w:val="0"/>
              <w:marTop w:val="0"/>
              <w:marBottom w:val="0"/>
              <w:divBdr>
                <w:top w:val="none" w:sz="0" w:space="0" w:color="auto"/>
                <w:left w:val="none" w:sz="0" w:space="0" w:color="auto"/>
                <w:bottom w:val="none" w:sz="0" w:space="0" w:color="auto"/>
                <w:right w:val="none" w:sz="0" w:space="0" w:color="auto"/>
              </w:divBdr>
            </w:div>
            <w:div w:id="14779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163">
      <w:marLeft w:val="0"/>
      <w:marRight w:val="0"/>
      <w:marTop w:val="0"/>
      <w:marBottom w:val="0"/>
      <w:divBdr>
        <w:top w:val="none" w:sz="0" w:space="0" w:color="auto"/>
        <w:left w:val="none" w:sz="0" w:space="0" w:color="auto"/>
        <w:bottom w:val="none" w:sz="0" w:space="0" w:color="auto"/>
        <w:right w:val="none" w:sz="0" w:space="0" w:color="auto"/>
      </w:divBdr>
    </w:div>
    <w:div w:id="1477917167">
      <w:marLeft w:val="0"/>
      <w:marRight w:val="0"/>
      <w:marTop w:val="0"/>
      <w:marBottom w:val="0"/>
      <w:divBdr>
        <w:top w:val="none" w:sz="0" w:space="0" w:color="auto"/>
        <w:left w:val="none" w:sz="0" w:space="0" w:color="auto"/>
        <w:bottom w:val="none" w:sz="0" w:space="0" w:color="auto"/>
        <w:right w:val="none" w:sz="0" w:space="0" w:color="auto"/>
      </w:divBdr>
    </w:div>
    <w:div w:id="1477917170">
      <w:marLeft w:val="0"/>
      <w:marRight w:val="0"/>
      <w:marTop w:val="0"/>
      <w:marBottom w:val="0"/>
      <w:divBdr>
        <w:top w:val="none" w:sz="0" w:space="0" w:color="auto"/>
        <w:left w:val="none" w:sz="0" w:space="0" w:color="auto"/>
        <w:bottom w:val="none" w:sz="0" w:space="0" w:color="auto"/>
        <w:right w:val="none" w:sz="0" w:space="0" w:color="auto"/>
      </w:divBdr>
    </w:div>
    <w:div w:id="1477917184">
      <w:marLeft w:val="0"/>
      <w:marRight w:val="0"/>
      <w:marTop w:val="0"/>
      <w:marBottom w:val="0"/>
      <w:divBdr>
        <w:top w:val="none" w:sz="0" w:space="0" w:color="auto"/>
        <w:left w:val="none" w:sz="0" w:space="0" w:color="auto"/>
        <w:bottom w:val="none" w:sz="0" w:space="0" w:color="auto"/>
        <w:right w:val="none" w:sz="0" w:space="0" w:color="auto"/>
      </w:divBdr>
    </w:div>
    <w:div w:id="1477917191">
      <w:marLeft w:val="0"/>
      <w:marRight w:val="0"/>
      <w:marTop w:val="0"/>
      <w:marBottom w:val="0"/>
      <w:divBdr>
        <w:top w:val="none" w:sz="0" w:space="0" w:color="auto"/>
        <w:left w:val="none" w:sz="0" w:space="0" w:color="auto"/>
        <w:bottom w:val="none" w:sz="0" w:space="0" w:color="auto"/>
        <w:right w:val="none" w:sz="0" w:space="0" w:color="auto"/>
      </w:divBdr>
      <w:divsChild>
        <w:div w:id="1477917327">
          <w:marLeft w:val="0"/>
          <w:marRight w:val="0"/>
          <w:marTop w:val="0"/>
          <w:marBottom w:val="0"/>
          <w:divBdr>
            <w:top w:val="none" w:sz="0" w:space="0" w:color="auto"/>
            <w:left w:val="none" w:sz="0" w:space="0" w:color="auto"/>
            <w:bottom w:val="none" w:sz="0" w:space="0" w:color="auto"/>
            <w:right w:val="none" w:sz="0" w:space="0" w:color="auto"/>
          </w:divBdr>
          <w:divsChild>
            <w:div w:id="1477917083">
              <w:marLeft w:val="0"/>
              <w:marRight w:val="0"/>
              <w:marTop w:val="0"/>
              <w:marBottom w:val="0"/>
              <w:divBdr>
                <w:top w:val="none" w:sz="0" w:space="0" w:color="auto"/>
                <w:left w:val="none" w:sz="0" w:space="0" w:color="auto"/>
                <w:bottom w:val="none" w:sz="0" w:space="0" w:color="auto"/>
                <w:right w:val="none" w:sz="0" w:space="0" w:color="auto"/>
              </w:divBdr>
            </w:div>
            <w:div w:id="1477917087">
              <w:marLeft w:val="0"/>
              <w:marRight w:val="0"/>
              <w:marTop w:val="0"/>
              <w:marBottom w:val="0"/>
              <w:divBdr>
                <w:top w:val="none" w:sz="0" w:space="0" w:color="auto"/>
                <w:left w:val="none" w:sz="0" w:space="0" w:color="auto"/>
                <w:bottom w:val="none" w:sz="0" w:space="0" w:color="auto"/>
                <w:right w:val="none" w:sz="0" w:space="0" w:color="auto"/>
              </w:divBdr>
            </w:div>
            <w:div w:id="1477917104">
              <w:marLeft w:val="0"/>
              <w:marRight w:val="0"/>
              <w:marTop w:val="0"/>
              <w:marBottom w:val="0"/>
              <w:divBdr>
                <w:top w:val="none" w:sz="0" w:space="0" w:color="auto"/>
                <w:left w:val="none" w:sz="0" w:space="0" w:color="auto"/>
                <w:bottom w:val="none" w:sz="0" w:space="0" w:color="auto"/>
                <w:right w:val="none" w:sz="0" w:space="0" w:color="auto"/>
              </w:divBdr>
            </w:div>
            <w:div w:id="1477917125">
              <w:marLeft w:val="0"/>
              <w:marRight w:val="0"/>
              <w:marTop w:val="0"/>
              <w:marBottom w:val="0"/>
              <w:divBdr>
                <w:top w:val="none" w:sz="0" w:space="0" w:color="auto"/>
                <w:left w:val="none" w:sz="0" w:space="0" w:color="auto"/>
                <w:bottom w:val="none" w:sz="0" w:space="0" w:color="auto"/>
                <w:right w:val="none" w:sz="0" w:space="0" w:color="auto"/>
              </w:divBdr>
            </w:div>
            <w:div w:id="1477917135">
              <w:marLeft w:val="0"/>
              <w:marRight w:val="0"/>
              <w:marTop w:val="0"/>
              <w:marBottom w:val="0"/>
              <w:divBdr>
                <w:top w:val="none" w:sz="0" w:space="0" w:color="auto"/>
                <w:left w:val="none" w:sz="0" w:space="0" w:color="auto"/>
                <w:bottom w:val="none" w:sz="0" w:space="0" w:color="auto"/>
                <w:right w:val="none" w:sz="0" w:space="0" w:color="auto"/>
              </w:divBdr>
            </w:div>
            <w:div w:id="1477917147">
              <w:marLeft w:val="0"/>
              <w:marRight w:val="0"/>
              <w:marTop w:val="0"/>
              <w:marBottom w:val="0"/>
              <w:divBdr>
                <w:top w:val="none" w:sz="0" w:space="0" w:color="auto"/>
                <w:left w:val="none" w:sz="0" w:space="0" w:color="auto"/>
                <w:bottom w:val="none" w:sz="0" w:space="0" w:color="auto"/>
                <w:right w:val="none" w:sz="0" w:space="0" w:color="auto"/>
              </w:divBdr>
            </w:div>
            <w:div w:id="1477917151">
              <w:marLeft w:val="0"/>
              <w:marRight w:val="0"/>
              <w:marTop w:val="0"/>
              <w:marBottom w:val="0"/>
              <w:divBdr>
                <w:top w:val="none" w:sz="0" w:space="0" w:color="auto"/>
                <w:left w:val="none" w:sz="0" w:space="0" w:color="auto"/>
                <w:bottom w:val="none" w:sz="0" w:space="0" w:color="auto"/>
                <w:right w:val="none" w:sz="0" w:space="0" w:color="auto"/>
              </w:divBdr>
            </w:div>
            <w:div w:id="1477917157">
              <w:marLeft w:val="0"/>
              <w:marRight w:val="0"/>
              <w:marTop w:val="0"/>
              <w:marBottom w:val="0"/>
              <w:divBdr>
                <w:top w:val="none" w:sz="0" w:space="0" w:color="auto"/>
                <w:left w:val="none" w:sz="0" w:space="0" w:color="auto"/>
                <w:bottom w:val="none" w:sz="0" w:space="0" w:color="auto"/>
                <w:right w:val="none" w:sz="0" w:space="0" w:color="auto"/>
              </w:divBdr>
            </w:div>
            <w:div w:id="1477917165">
              <w:marLeft w:val="0"/>
              <w:marRight w:val="0"/>
              <w:marTop w:val="0"/>
              <w:marBottom w:val="0"/>
              <w:divBdr>
                <w:top w:val="none" w:sz="0" w:space="0" w:color="auto"/>
                <w:left w:val="none" w:sz="0" w:space="0" w:color="auto"/>
                <w:bottom w:val="none" w:sz="0" w:space="0" w:color="auto"/>
                <w:right w:val="none" w:sz="0" w:space="0" w:color="auto"/>
              </w:divBdr>
            </w:div>
            <w:div w:id="1477917174">
              <w:marLeft w:val="0"/>
              <w:marRight w:val="0"/>
              <w:marTop w:val="0"/>
              <w:marBottom w:val="0"/>
              <w:divBdr>
                <w:top w:val="none" w:sz="0" w:space="0" w:color="auto"/>
                <w:left w:val="none" w:sz="0" w:space="0" w:color="auto"/>
                <w:bottom w:val="none" w:sz="0" w:space="0" w:color="auto"/>
                <w:right w:val="none" w:sz="0" w:space="0" w:color="auto"/>
              </w:divBdr>
            </w:div>
            <w:div w:id="1477917179">
              <w:marLeft w:val="0"/>
              <w:marRight w:val="0"/>
              <w:marTop w:val="0"/>
              <w:marBottom w:val="0"/>
              <w:divBdr>
                <w:top w:val="none" w:sz="0" w:space="0" w:color="auto"/>
                <w:left w:val="none" w:sz="0" w:space="0" w:color="auto"/>
                <w:bottom w:val="none" w:sz="0" w:space="0" w:color="auto"/>
                <w:right w:val="none" w:sz="0" w:space="0" w:color="auto"/>
              </w:divBdr>
            </w:div>
            <w:div w:id="1477917185">
              <w:marLeft w:val="0"/>
              <w:marRight w:val="0"/>
              <w:marTop w:val="0"/>
              <w:marBottom w:val="0"/>
              <w:divBdr>
                <w:top w:val="none" w:sz="0" w:space="0" w:color="auto"/>
                <w:left w:val="none" w:sz="0" w:space="0" w:color="auto"/>
                <w:bottom w:val="none" w:sz="0" w:space="0" w:color="auto"/>
                <w:right w:val="none" w:sz="0" w:space="0" w:color="auto"/>
              </w:divBdr>
            </w:div>
            <w:div w:id="1477917189">
              <w:marLeft w:val="0"/>
              <w:marRight w:val="0"/>
              <w:marTop w:val="0"/>
              <w:marBottom w:val="0"/>
              <w:divBdr>
                <w:top w:val="none" w:sz="0" w:space="0" w:color="auto"/>
                <w:left w:val="none" w:sz="0" w:space="0" w:color="auto"/>
                <w:bottom w:val="none" w:sz="0" w:space="0" w:color="auto"/>
                <w:right w:val="none" w:sz="0" w:space="0" w:color="auto"/>
              </w:divBdr>
            </w:div>
            <w:div w:id="1477917203">
              <w:marLeft w:val="0"/>
              <w:marRight w:val="0"/>
              <w:marTop w:val="0"/>
              <w:marBottom w:val="0"/>
              <w:divBdr>
                <w:top w:val="none" w:sz="0" w:space="0" w:color="auto"/>
                <w:left w:val="none" w:sz="0" w:space="0" w:color="auto"/>
                <w:bottom w:val="none" w:sz="0" w:space="0" w:color="auto"/>
                <w:right w:val="none" w:sz="0" w:space="0" w:color="auto"/>
              </w:divBdr>
            </w:div>
            <w:div w:id="1477917204">
              <w:marLeft w:val="0"/>
              <w:marRight w:val="0"/>
              <w:marTop w:val="0"/>
              <w:marBottom w:val="0"/>
              <w:divBdr>
                <w:top w:val="none" w:sz="0" w:space="0" w:color="auto"/>
                <w:left w:val="none" w:sz="0" w:space="0" w:color="auto"/>
                <w:bottom w:val="none" w:sz="0" w:space="0" w:color="auto"/>
                <w:right w:val="none" w:sz="0" w:space="0" w:color="auto"/>
              </w:divBdr>
            </w:div>
            <w:div w:id="1477917208">
              <w:marLeft w:val="0"/>
              <w:marRight w:val="0"/>
              <w:marTop w:val="0"/>
              <w:marBottom w:val="0"/>
              <w:divBdr>
                <w:top w:val="none" w:sz="0" w:space="0" w:color="auto"/>
                <w:left w:val="none" w:sz="0" w:space="0" w:color="auto"/>
                <w:bottom w:val="none" w:sz="0" w:space="0" w:color="auto"/>
                <w:right w:val="none" w:sz="0" w:space="0" w:color="auto"/>
              </w:divBdr>
            </w:div>
            <w:div w:id="1477917216">
              <w:marLeft w:val="0"/>
              <w:marRight w:val="0"/>
              <w:marTop w:val="0"/>
              <w:marBottom w:val="0"/>
              <w:divBdr>
                <w:top w:val="none" w:sz="0" w:space="0" w:color="auto"/>
                <w:left w:val="none" w:sz="0" w:space="0" w:color="auto"/>
                <w:bottom w:val="none" w:sz="0" w:space="0" w:color="auto"/>
                <w:right w:val="none" w:sz="0" w:space="0" w:color="auto"/>
              </w:divBdr>
            </w:div>
            <w:div w:id="1477917220">
              <w:marLeft w:val="0"/>
              <w:marRight w:val="0"/>
              <w:marTop w:val="0"/>
              <w:marBottom w:val="0"/>
              <w:divBdr>
                <w:top w:val="none" w:sz="0" w:space="0" w:color="auto"/>
                <w:left w:val="none" w:sz="0" w:space="0" w:color="auto"/>
                <w:bottom w:val="none" w:sz="0" w:space="0" w:color="auto"/>
                <w:right w:val="none" w:sz="0" w:space="0" w:color="auto"/>
              </w:divBdr>
            </w:div>
            <w:div w:id="1477917221">
              <w:marLeft w:val="0"/>
              <w:marRight w:val="0"/>
              <w:marTop w:val="0"/>
              <w:marBottom w:val="0"/>
              <w:divBdr>
                <w:top w:val="none" w:sz="0" w:space="0" w:color="auto"/>
                <w:left w:val="none" w:sz="0" w:space="0" w:color="auto"/>
                <w:bottom w:val="none" w:sz="0" w:space="0" w:color="auto"/>
                <w:right w:val="none" w:sz="0" w:space="0" w:color="auto"/>
              </w:divBdr>
            </w:div>
            <w:div w:id="1477917226">
              <w:marLeft w:val="0"/>
              <w:marRight w:val="0"/>
              <w:marTop w:val="0"/>
              <w:marBottom w:val="0"/>
              <w:divBdr>
                <w:top w:val="none" w:sz="0" w:space="0" w:color="auto"/>
                <w:left w:val="none" w:sz="0" w:space="0" w:color="auto"/>
                <w:bottom w:val="none" w:sz="0" w:space="0" w:color="auto"/>
                <w:right w:val="none" w:sz="0" w:space="0" w:color="auto"/>
              </w:divBdr>
            </w:div>
            <w:div w:id="1477917231">
              <w:marLeft w:val="0"/>
              <w:marRight w:val="0"/>
              <w:marTop w:val="0"/>
              <w:marBottom w:val="0"/>
              <w:divBdr>
                <w:top w:val="none" w:sz="0" w:space="0" w:color="auto"/>
                <w:left w:val="none" w:sz="0" w:space="0" w:color="auto"/>
                <w:bottom w:val="none" w:sz="0" w:space="0" w:color="auto"/>
                <w:right w:val="none" w:sz="0" w:space="0" w:color="auto"/>
              </w:divBdr>
            </w:div>
            <w:div w:id="1477917235">
              <w:marLeft w:val="0"/>
              <w:marRight w:val="0"/>
              <w:marTop w:val="0"/>
              <w:marBottom w:val="0"/>
              <w:divBdr>
                <w:top w:val="none" w:sz="0" w:space="0" w:color="auto"/>
                <w:left w:val="none" w:sz="0" w:space="0" w:color="auto"/>
                <w:bottom w:val="none" w:sz="0" w:space="0" w:color="auto"/>
                <w:right w:val="none" w:sz="0" w:space="0" w:color="auto"/>
              </w:divBdr>
            </w:div>
            <w:div w:id="1477917239">
              <w:marLeft w:val="0"/>
              <w:marRight w:val="0"/>
              <w:marTop w:val="0"/>
              <w:marBottom w:val="0"/>
              <w:divBdr>
                <w:top w:val="none" w:sz="0" w:space="0" w:color="auto"/>
                <w:left w:val="none" w:sz="0" w:space="0" w:color="auto"/>
                <w:bottom w:val="none" w:sz="0" w:space="0" w:color="auto"/>
                <w:right w:val="none" w:sz="0" w:space="0" w:color="auto"/>
              </w:divBdr>
            </w:div>
            <w:div w:id="1477917240">
              <w:marLeft w:val="0"/>
              <w:marRight w:val="0"/>
              <w:marTop w:val="0"/>
              <w:marBottom w:val="0"/>
              <w:divBdr>
                <w:top w:val="none" w:sz="0" w:space="0" w:color="auto"/>
                <w:left w:val="none" w:sz="0" w:space="0" w:color="auto"/>
                <w:bottom w:val="none" w:sz="0" w:space="0" w:color="auto"/>
                <w:right w:val="none" w:sz="0" w:space="0" w:color="auto"/>
              </w:divBdr>
            </w:div>
            <w:div w:id="1477917244">
              <w:marLeft w:val="0"/>
              <w:marRight w:val="0"/>
              <w:marTop w:val="0"/>
              <w:marBottom w:val="0"/>
              <w:divBdr>
                <w:top w:val="none" w:sz="0" w:space="0" w:color="auto"/>
                <w:left w:val="none" w:sz="0" w:space="0" w:color="auto"/>
                <w:bottom w:val="none" w:sz="0" w:space="0" w:color="auto"/>
                <w:right w:val="none" w:sz="0" w:space="0" w:color="auto"/>
              </w:divBdr>
            </w:div>
            <w:div w:id="1477917252">
              <w:marLeft w:val="0"/>
              <w:marRight w:val="0"/>
              <w:marTop w:val="0"/>
              <w:marBottom w:val="0"/>
              <w:divBdr>
                <w:top w:val="none" w:sz="0" w:space="0" w:color="auto"/>
                <w:left w:val="none" w:sz="0" w:space="0" w:color="auto"/>
                <w:bottom w:val="none" w:sz="0" w:space="0" w:color="auto"/>
                <w:right w:val="none" w:sz="0" w:space="0" w:color="auto"/>
              </w:divBdr>
            </w:div>
            <w:div w:id="1477917262">
              <w:marLeft w:val="0"/>
              <w:marRight w:val="0"/>
              <w:marTop w:val="0"/>
              <w:marBottom w:val="0"/>
              <w:divBdr>
                <w:top w:val="none" w:sz="0" w:space="0" w:color="auto"/>
                <w:left w:val="none" w:sz="0" w:space="0" w:color="auto"/>
                <w:bottom w:val="none" w:sz="0" w:space="0" w:color="auto"/>
                <w:right w:val="none" w:sz="0" w:space="0" w:color="auto"/>
              </w:divBdr>
            </w:div>
            <w:div w:id="1477917271">
              <w:marLeft w:val="0"/>
              <w:marRight w:val="0"/>
              <w:marTop w:val="0"/>
              <w:marBottom w:val="0"/>
              <w:divBdr>
                <w:top w:val="none" w:sz="0" w:space="0" w:color="auto"/>
                <w:left w:val="none" w:sz="0" w:space="0" w:color="auto"/>
                <w:bottom w:val="none" w:sz="0" w:space="0" w:color="auto"/>
                <w:right w:val="none" w:sz="0" w:space="0" w:color="auto"/>
              </w:divBdr>
            </w:div>
            <w:div w:id="1477917278">
              <w:marLeft w:val="0"/>
              <w:marRight w:val="0"/>
              <w:marTop w:val="0"/>
              <w:marBottom w:val="0"/>
              <w:divBdr>
                <w:top w:val="none" w:sz="0" w:space="0" w:color="auto"/>
                <w:left w:val="none" w:sz="0" w:space="0" w:color="auto"/>
                <w:bottom w:val="none" w:sz="0" w:space="0" w:color="auto"/>
                <w:right w:val="none" w:sz="0" w:space="0" w:color="auto"/>
              </w:divBdr>
            </w:div>
            <w:div w:id="1477917284">
              <w:marLeft w:val="0"/>
              <w:marRight w:val="0"/>
              <w:marTop w:val="0"/>
              <w:marBottom w:val="0"/>
              <w:divBdr>
                <w:top w:val="none" w:sz="0" w:space="0" w:color="auto"/>
                <w:left w:val="none" w:sz="0" w:space="0" w:color="auto"/>
                <w:bottom w:val="none" w:sz="0" w:space="0" w:color="auto"/>
                <w:right w:val="none" w:sz="0" w:space="0" w:color="auto"/>
              </w:divBdr>
            </w:div>
            <w:div w:id="1477917287">
              <w:marLeft w:val="0"/>
              <w:marRight w:val="0"/>
              <w:marTop w:val="0"/>
              <w:marBottom w:val="0"/>
              <w:divBdr>
                <w:top w:val="none" w:sz="0" w:space="0" w:color="auto"/>
                <w:left w:val="none" w:sz="0" w:space="0" w:color="auto"/>
                <w:bottom w:val="none" w:sz="0" w:space="0" w:color="auto"/>
                <w:right w:val="none" w:sz="0" w:space="0" w:color="auto"/>
              </w:divBdr>
            </w:div>
            <w:div w:id="1477917292">
              <w:marLeft w:val="0"/>
              <w:marRight w:val="0"/>
              <w:marTop w:val="0"/>
              <w:marBottom w:val="0"/>
              <w:divBdr>
                <w:top w:val="none" w:sz="0" w:space="0" w:color="auto"/>
                <w:left w:val="none" w:sz="0" w:space="0" w:color="auto"/>
                <w:bottom w:val="none" w:sz="0" w:space="0" w:color="auto"/>
                <w:right w:val="none" w:sz="0" w:space="0" w:color="auto"/>
              </w:divBdr>
            </w:div>
            <w:div w:id="1477917293">
              <w:marLeft w:val="0"/>
              <w:marRight w:val="0"/>
              <w:marTop w:val="0"/>
              <w:marBottom w:val="0"/>
              <w:divBdr>
                <w:top w:val="none" w:sz="0" w:space="0" w:color="auto"/>
                <w:left w:val="none" w:sz="0" w:space="0" w:color="auto"/>
                <w:bottom w:val="none" w:sz="0" w:space="0" w:color="auto"/>
                <w:right w:val="none" w:sz="0" w:space="0" w:color="auto"/>
              </w:divBdr>
            </w:div>
            <w:div w:id="1477917308">
              <w:marLeft w:val="0"/>
              <w:marRight w:val="0"/>
              <w:marTop w:val="0"/>
              <w:marBottom w:val="0"/>
              <w:divBdr>
                <w:top w:val="none" w:sz="0" w:space="0" w:color="auto"/>
                <w:left w:val="none" w:sz="0" w:space="0" w:color="auto"/>
                <w:bottom w:val="none" w:sz="0" w:space="0" w:color="auto"/>
                <w:right w:val="none" w:sz="0" w:space="0" w:color="auto"/>
              </w:divBdr>
            </w:div>
            <w:div w:id="1477917314">
              <w:marLeft w:val="0"/>
              <w:marRight w:val="0"/>
              <w:marTop w:val="0"/>
              <w:marBottom w:val="0"/>
              <w:divBdr>
                <w:top w:val="none" w:sz="0" w:space="0" w:color="auto"/>
                <w:left w:val="none" w:sz="0" w:space="0" w:color="auto"/>
                <w:bottom w:val="none" w:sz="0" w:space="0" w:color="auto"/>
                <w:right w:val="none" w:sz="0" w:space="0" w:color="auto"/>
              </w:divBdr>
            </w:div>
            <w:div w:id="1477917317">
              <w:marLeft w:val="0"/>
              <w:marRight w:val="0"/>
              <w:marTop w:val="0"/>
              <w:marBottom w:val="0"/>
              <w:divBdr>
                <w:top w:val="none" w:sz="0" w:space="0" w:color="auto"/>
                <w:left w:val="none" w:sz="0" w:space="0" w:color="auto"/>
                <w:bottom w:val="none" w:sz="0" w:space="0" w:color="auto"/>
                <w:right w:val="none" w:sz="0" w:space="0" w:color="auto"/>
              </w:divBdr>
            </w:div>
            <w:div w:id="1477917322">
              <w:marLeft w:val="0"/>
              <w:marRight w:val="0"/>
              <w:marTop w:val="0"/>
              <w:marBottom w:val="0"/>
              <w:divBdr>
                <w:top w:val="none" w:sz="0" w:space="0" w:color="auto"/>
                <w:left w:val="none" w:sz="0" w:space="0" w:color="auto"/>
                <w:bottom w:val="none" w:sz="0" w:space="0" w:color="auto"/>
                <w:right w:val="none" w:sz="0" w:space="0" w:color="auto"/>
              </w:divBdr>
            </w:div>
            <w:div w:id="1477917332">
              <w:marLeft w:val="0"/>
              <w:marRight w:val="0"/>
              <w:marTop w:val="0"/>
              <w:marBottom w:val="0"/>
              <w:divBdr>
                <w:top w:val="none" w:sz="0" w:space="0" w:color="auto"/>
                <w:left w:val="none" w:sz="0" w:space="0" w:color="auto"/>
                <w:bottom w:val="none" w:sz="0" w:space="0" w:color="auto"/>
                <w:right w:val="none" w:sz="0" w:space="0" w:color="auto"/>
              </w:divBdr>
            </w:div>
            <w:div w:id="1477917344">
              <w:marLeft w:val="0"/>
              <w:marRight w:val="0"/>
              <w:marTop w:val="0"/>
              <w:marBottom w:val="0"/>
              <w:divBdr>
                <w:top w:val="none" w:sz="0" w:space="0" w:color="auto"/>
                <w:left w:val="none" w:sz="0" w:space="0" w:color="auto"/>
                <w:bottom w:val="none" w:sz="0" w:space="0" w:color="auto"/>
                <w:right w:val="none" w:sz="0" w:space="0" w:color="auto"/>
              </w:divBdr>
            </w:div>
            <w:div w:id="1477917352">
              <w:marLeft w:val="0"/>
              <w:marRight w:val="0"/>
              <w:marTop w:val="0"/>
              <w:marBottom w:val="0"/>
              <w:divBdr>
                <w:top w:val="none" w:sz="0" w:space="0" w:color="auto"/>
                <w:left w:val="none" w:sz="0" w:space="0" w:color="auto"/>
                <w:bottom w:val="none" w:sz="0" w:space="0" w:color="auto"/>
                <w:right w:val="none" w:sz="0" w:space="0" w:color="auto"/>
              </w:divBdr>
            </w:div>
            <w:div w:id="1477917356">
              <w:marLeft w:val="0"/>
              <w:marRight w:val="0"/>
              <w:marTop w:val="0"/>
              <w:marBottom w:val="0"/>
              <w:divBdr>
                <w:top w:val="none" w:sz="0" w:space="0" w:color="auto"/>
                <w:left w:val="none" w:sz="0" w:space="0" w:color="auto"/>
                <w:bottom w:val="none" w:sz="0" w:space="0" w:color="auto"/>
                <w:right w:val="none" w:sz="0" w:space="0" w:color="auto"/>
              </w:divBdr>
            </w:div>
            <w:div w:id="1477917364">
              <w:marLeft w:val="0"/>
              <w:marRight w:val="0"/>
              <w:marTop w:val="0"/>
              <w:marBottom w:val="0"/>
              <w:divBdr>
                <w:top w:val="none" w:sz="0" w:space="0" w:color="auto"/>
                <w:left w:val="none" w:sz="0" w:space="0" w:color="auto"/>
                <w:bottom w:val="none" w:sz="0" w:space="0" w:color="auto"/>
                <w:right w:val="none" w:sz="0" w:space="0" w:color="auto"/>
              </w:divBdr>
            </w:div>
            <w:div w:id="1477917367">
              <w:marLeft w:val="0"/>
              <w:marRight w:val="0"/>
              <w:marTop w:val="0"/>
              <w:marBottom w:val="0"/>
              <w:divBdr>
                <w:top w:val="none" w:sz="0" w:space="0" w:color="auto"/>
                <w:left w:val="none" w:sz="0" w:space="0" w:color="auto"/>
                <w:bottom w:val="none" w:sz="0" w:space="0" w:color="auto"/>
                <w:right w:val="none" w:sz="0" w:space="0" w:color="auto"/>
              </w:divBdr>
            </w:div>
            <w:div w:id="147791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200">
      <w:marLeft w:val="0"/>
      <w:marRight w:val="0"/>
      <w:marTop w:val="0"/>
      <w:marBottom w:val="0"/>
      <w:divBdr>
        <w:top w:val="none" w:sz="0" w:space="0" w:color="auto"/>
        <w:left w:val="none" w:sz="0" w:space="0" w:color="auto"/>
        <w:bottom w:val="none" w:sz="0" w:space="0" w:color="auto"/>
        <w:right w:val="none" w:sz="0" w:space="0" w:color="auto"/>
      </w:divBdr>
      <w:divsChild>
        <w:div w:id="1477917080">
          <w:marLeft w:val="0"/>
          <w:marRight w:val="0"/>
          <w:marTop w:val="0"/>
          <w:marBottom w:val="0"/>
          <w:divBdr>
            <w:top w:val="none" w:sz="0" w:space="0" w:color="auto"/>
            <w:left w:val="none" w:sz="0" w:space="0" w:color="auto"/>
            <w:bottom w:val="none" w:sz="0" w:space="0" w:color="auto"/>
            <w:right w:val="none" w:sz="0" w:space="0" w:color="auto"/>
          </w:divBdr>
          <w:divsChild>
            <w:div w:id="147791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207">
      <w:marLeft w:val="0"/>
      <w:marRight w:val="0"/>
      <w:marTop w:val="0"/>
      <w:marBottom w:val="0"/>
      <w:divBdr>
        <w:top w:val="none" w:sz="0" w:space="0" w:color="auto"/>
        <w:left w:val="none" w:sz="0" w:space="0" w:color="auto"/>
        <w:bottom w:val="none" w:sz="0" w:space="0" w:color="auto"/>
        <w:right w:val="none" w:sz="0" w:space="0" w:color="auto"/>
      </w:divBdr>
    </w:div>
    <w:div w:id="1477917209">
      <w:marLeft w:val="0"/>
      <w:marRight w:val="0"/>
      <w:marTop w:val="0"/>
      <w:marBottom w:val="0"/>
      <w:divBdr>
        <w:top w:val="none" w:sz="0" w:space="0" w:color="auto"/>
        <w:left w:val="none" w:sz="0" w:space="0" w:color="auto"/>
        <w:bottom w:val="none" w:sz="0" w:space="0" w:color="auto"/>
        <w:right w:val="none" w:sz="0" w:space="0" w:color="auto"/>
      </w:divBdr>
      <w:divsChild>
        <w:div w:id="1477917199">
          <w:marLeft w:val="0"/>
          <w:marRight w:val="0"/>
          <w:marTop w:val="0"/>
          <w:marBottom w:val="0"/>
          <w:divBdr>
            <w:top w:val="none" w:sz="0" w:space="0" w:color="auto"/>
            <w:left w:val="none" w:sz="0" w:space="0" w:color="auto"/>
            <w:bottom w:val="none" w:sz="0" w:space="0" w:color="auto"/>
            <w:right w:val="none" w:sz="0" w:space="0" w:color="auto"/>
          </w:divBdr>
          <w:divsChild>
            <w:div w:id="1477917086">
              <w:marLeft w:val="0"/>
              <w:marRight w:val="0"/>
              <w:marTop w:val="0"/>
              <w:marBottom w:val="0"/>
              <w:divBdr>
                <w:top w:val="none" w:sz="0" w:space="0" w:color="auto"/>
                <w:left w:val="none" w:sz="0" w:space="0" w:color="auto"/>
                <w:bottom w:val="none" w:sz="0" w:space="0" w:color="auto"/>
                <w:right w:val="none" w:sz="0" w:space="0" w:color="auto"/>
              </w:divBdr>
            </w:div>
            <w:div w:id="1477917116">
              <w:marLeft w:val="0"/>
              <w:marRight w:val="0"/>
              <w:marTop w:val="0"/>
              <w:marBottom w:val="0"/>
              <w:divBdr>
                <w:top w:val="none" w:sz="0" w:space="0" w:color="auto"/>
                <w:left w:val="none" w:sz="0" w:space="0" w:color="auto"/>
                <w:bottom w:val="none" w:sz="0" w:space="0" w:color="auto"/>
                <w:right w:val="none" w:sz="0" w:space="0" w:color="auto"/>
              </w:divBdr>
            </w:div>
            <w:div w:id="1477917118">
              <w:marLeft w:val="0"/>
              <w:marRight w:val="0"/>
              <w:marTop w:val="0"/>
              <w:marBottom w:val="0"/>
              <w:divBdr>
                <w:top w:val="none" w:sz="0" w:space="0" w:color="auto"/>
                <w:left w:val="none" w:sz="0" w:space="0" w:color="auto"/>
                <w:bottom w:val="none" w:sz="0" w:space="0" w:color="auto"/>
                <w:right w:val="none" w:sz="0" w:space="0" w:color="auto"/>
              </w:divBdr>
            </w:div>
            <w:div w:id="1477917138">
              <w:marLeft w:val="0"/>
              <w:marRight w:val="0"/>
              <w:marTop w:val="0"/>
              <w:marBottom w:val="0"/>
              <w:divBdr>
                <w:top w:val="none" w:sz="0" w:space="0" w:color="auto"/>
                <w:left w:val="none" w:sz="0" w:space="0" w:color="auto"/>
                <w:bottom w:val="none" w:sz="0" w:space="0" w:color="auto"/>
                <w:right w:val="none" w:sz="0" w:space="0" w:color="auto"/>
              </w:divBdr>
            </w:div>
            <w:div w:id="1477917201">
              <w:marLeft w:val="0"/>
              <w:marRight w:val="0"/>
              <w:marTop w:val="0"/>
              <w:marBottom w:val="0"/>
              <w:divBdr>
                <w:top w:val="none" w:sz="0" w:space="0" w:color="auto"/>
                <w:left w:val="none" w:sz="0" w:space="0" w:color="auto"/>
                <w:bottom w:val="none" w:sz="0" w:space="0" w:color="auto"/>
                <w:right w:val="none" w:sz="0" w:space="0" w:color="auto"/>
              </w:divBdr>
            </w:div>
            <w:div w:id="1477917242">
              <w:marLeft w:val="0"/>
              <w:marRight w:val="0"/>
              <w:marTop w:val="0"/>
              <w:marBottom w:val="0"/>
              <w:divBdr>
                <w:top w:val="none" w:sz="0" w:space="0" w:color="auto"/>
                <w:left w:val="none" w:sz="0" w:space="0" w:color="auto"/>
                <w:bottom w:val="none" w:sz="0" w:space="0" w:color="auto"/>
                <w:right w:val="none" w:sz="0" w:space="0" w:color="auto"/>
              </w:divBdr>
            </w:div>
            <w:div w:id="1477917245">
              <w:marLeft w:val="0"/>
              <w:marRight w:val="0"/>
              <w:marTop w:val="0"/>
              <w:marBottom w:val="0"/>
              <w:divBdr>
                <w:top w:val="none" w:sz="0" w:space="0" w:color="auto"/>
                <w:left w:val="none" w:sz="0" w:space="0" w:color="auto"/>
                <w:bottom w:val="none" w:sz="0" w:space="0" w:color="auto"/>
                <w:right w:val="none" w:sz="0" w:space="0" w:color="auto"/>
              </w:divBdr>
            </w:div>
            <w:div w:id="1477917246">
              <w:marLeft w:val="0"/>
              <w:marRight w:val="0"/>
              <w:marTop w:val="0"/>
              <w:marBottom w:val="0"/>
              <w:divBdr>
                <w:top w:val="none" w:sz="0" w:space="0" w:color="auto"/>
                <w:left w:val="none" w:sz="0" w:space="0" w:color="auto"/>
                <w:bottom w:val="none" w:sz="0" w:space="0" w:color="auto"/>
                <w:right w:val="none" w:sz="0" w:space="0" w:color="auto"/>
              </w:divBdr>
            </w:div>
            <w:div w:id="1477917261">
              <w:marLeft w:val="0"/>
              <w:marRight w:val="0"/>
              <w:marTop w:val="0"/>
              <w:marBottom w:val="0"/>
              <w:divBdr>
                <w:top w:val="none" w:sz="0" w:space="0" w:color="auto"/>
                <w:left w:val="none" w:sz="0" w:space="0" w:color="auto"/>
                <w:bottom w:val="none" w:sz="0" w:space="0" w:color="auto"/>
                <w:right w:val="none" w:sz="0" w:space="0" w:color="auto"/>
              </w:divBdr>
            </w:div>
            <w:div w:id="1477917269">
              <w:marLeft w:val="0"/>
              <w:marRight w:val="0"/>
              <w:marTop w:val="0"/>
              <w:marBottom w:val="0"/>
              <w:divBdr>
                <w:top w:val="none" w:sz="0" w:space="0" w:color="auto"/>
                <w:left w:val="none" w:sz="0" w:space="0" w:color="auto"/>
                <w:bottom w:val="none" w:sz="0" w:space="0" w:color="auto"/>
                <w:right w:val="none" w:sz="0" w:space="0" w:color="auto"/>
              </w:divBdr>
            </w:div>
            <w:div w:id="1477917304">
              <w:marLeft w:val="0"/>
              <w:marRight w:val="0"/>
              <w:marTop w:val="0"/>
              <w:marBottom w:val="0"/>
              <w:divBdr>
                <w:top w:val="none" w:sz="0" w:space="0" w:color="auto"/>
                <w:left w:val="none" w:sz="0" w:space="0" w:color="auto"/>
                <w:bottom w:val="none" w:sz="0" w:space="0" w:color="auto"/>
                <w:right w:val="none" w:sz="0" w:space="0" w:color="auto"/>
              </w:divBdr>
            </w:div>
            <w:div w:id="1477917310">
              <w:marLeft w:val="0"/>
              <w:marRight w:val="0"/>
              <w:marTop w:val="0"/>
              <w:marBottom w:val="0"/>
              <w:divBdr>
                <w:top w:val="none" w:sz="0" w:space="0" w:color="auto"/>
                <w:left w:val="none" w:sz="0" w:space="0" w:color="auto"/>
                <w:bottom w:val="none" w:sz="0" w:space="0" w:color="auto"/>
                <w:right w:val="none" w:sz="0" w:space="0" w:color="auto"/>
              </w:divBdr>
            </w:div>
            <w:div w:id="1477917311">
              <w:marLeft w:val="0"/>
              <w:marRight w:val="0"/>
              <w:marTop w:val="0"/>
              <w:marBottom w:val="0"/>
              <w:divBdr>
                <w:top w:val="none" w:sz="0" w:space="0" w:color="auto"/>
                <w:left w:val="none" w:sz="0" w:space="0" w:color="auto"/>
                <w:bottom w:val="none" w:sz="0" w:space="0" w:color="auto"/>
                <w:right w:val="none" w:sz="0" w:space="0" w:color="auto"/>
              </w:divBdr>
            </w:div>
            <w:div w:id="1477917319">
              <w:marLeft w:val="0"/>
              <w:marRight w:val="0"/>
              <w:marTop w:val="0"/>
              <w:marBottom w:val="0"/>
              <w:divBdr>
                <w:top w:val="none" w:sz="0" w:space="0" w:color="auto"/>
                <w:left w:val="none" w:sz="0" w:space="0" w:color="auto"/>
                <w:bottom w:val="none" w:sz="0" w:space="0" w:color="auto"/>
                <w:right w:val="none" w:sz="0" w:space="0" w:color="auto"/>
              </w:divBdr>
            </w:div>
            <w:div w:id="1477917326">
              <w:marLeft w:val="0"/>
              <w:marRight w:val="0"/>
              <w:marTop w:val="0"/>
              <w:marBottom w:val="0"/>
              <w:divBdr>
                <w:top w:val="none" w:sz="0" w:space="0" w:color="auto"/>
                <w:left w:val="none" w:sz="0" w:space="0" w:color="auto"/>
                <w:bottom w:val="none" w:sz="0" w:space="0" w:color="auto"/>
                <w:right w:val="none" w:sz="0" w:space="0" w:color="auto"/>
              </w:divBdr>
            </w:div>
            <w:div w:id="1477917340">
              <w:marLeft w:val="0"/>
              <w:marRight w:val="0"/>
              <w:marTop w:val="0"/>
              <w:marBottom w:val="0"/>
              <w:divBdr>
                <w:top w:val="none" w:sz="0" w:space="0" w:color="auto"/>
                <w:left w:val="none" w:sz="0" w:space="0" w:color="auto"/>
                <w:bottom w:val="none" w:sz="0" w:space="0" w:color="auto"/>
                <w:right w:val="none" w:sz="0" w:space="0" w:color="auto"/>
              </w:divBdr>
            </w:div>
            <w:div w:id="1477917343">
              <w:marLeft w:val="0"/>
              <w:marRight w:val="0"/>
              <w:marTop w:val="0"/>
              <w:marBottom w:val="0"/>
              <w:divBdr>
                <w:top w:val="none" w:sz="0" w:space="0" w:color="auto"/>
                <w:left w:val="none" w:sz="0" w:space="0" w:color="auto"/>
                <w:bottom w:val="none" w:sz="0" w:space="0" w:color="auto"/>
                <w:right w:val="none" w:sz="0" w:space="0" w:color="auto"/>
              </w:divBdr>
            </w:div>
            <w:div w:id="1477917362">
              <w:marLeft w:val="0"/>
              <w:marRight w:val="0"/>
              <w:marTop w:val="0"/>
              <w:marBottom w:val="0"/>
              <w:divBdr>
                <w:top w:val="none" w:sz="0" w:space="0" w:color="auto"/>
                <w:left w:val="none" w:sz="0" w:space="0" w:color="auto"/>
                <w:bottom w:val="none" w:sz="0" w:space="0" w:color="auto"/>
                <w:right w:val="none" w:sz="0" w:space="0" w:color="auto"/>
              </w:divBdr>
            </w:div>
            <w:div w:id="1477917378">
              <w:marLeft w:val="0"/>
              <w:marRight w:val="0"/>
              <w:marTop w:val="0"/>
              <w:marBottom w:val="0"/>
              <w:divBdr>
                <w:top w:val="none" w:sz="0" w:space="0" w:color="auto"/>
                <w:left w:val="none" w:sz="0" w:space="0" w:color="auto"/>
                <w:bottom w:val="none" w:sz="0" w:space="0" w:color="auto"/>
                <w:right w:val="none" w:sz="0" w:space="0" w:color="auto"/>
              </w:divBdr>
            </w:div>
            <w:div w:id="1477917380">
              <w:marLeft w:val="0"/>
              <w:marRight w:val="0"/>
              <w:marTop w:val="0"/>
              <w:marBottom w:val="0"/>
              <w:divBdr>
                <w:top w:val="none" w:sz="0" w:space="0" w:color="auto"/>
                <w:left w:val="none" w:sz="0" w:space="0" w:color="auto"/>
                <w:bottom w:val="none" w:sz="0" w:space="0" w:color="auto"/>
                <w:right w:val="none" w:sz="0" w:space="0" w:color="auto"/>
              </w:divBdr>
            </w:div>
            <w:div w:id="1477917382">
              <w:marLeft w:val="0"/>
              <w:marRight w:val="0"/>
              <w:marTop w:val="0"/>
              <w:marBottom w:val="0"/>
              <w:divBdr>
                <w:top w:val="none" w:sz="0" w:space="0" w:color="auto"/>
                <w:left w:val="none" w:sz="0" w:space="0" w:color="auto"/>
                <w:bottom w:val="none" w:sz="0" w:space="0" w:color="auto"/>
                <w:right w:val="none" w:sz="0" w:space="0" w:color="auto"/>
              </w:divBdr>
            </w:div>
            <w:div w:id="1477917385">
              <w:marLeft w:val="0"/>
              <w:marRight w:val="0"/>
              <w:marTop w:val="0"/>
              <w:marBottom w:val="0"/>
              <w:divBdr>
                <w:top w:val="none" w:sz="0" w:space="0" w:color="auto"/>
                <w:left w:val="none" w:sz="0" w:space="0" w:color="auto"/>
                <w:bottom w:val="none" w:sz="0" w:space="0" w:color="auto"/>
                <w:right w:val="none" w:sz="0" w:space="0" w:color="auto"/>
              </w:divBdr>
            </w:div>
            <w:div w:id="1477917387">
              <w:marLeft w:val="0"/>
              <w:marRight w:val="0"/>
              <w:marTop w:val="0"/>
              <w:marBottom w:val="0"/>
              <w:divBdr>
                <w:top w:val="none" w:sz="0" w:space="0" w:color="auto"/>
                <w:left w:val="none" w:sz="0" w:space="0" w:color="auto"/>
                <w:bottom w:val="none" w:sz="0" w:space="0" w:color="auto"/>
                <w:right w:val="none" w:sz="0" w:space="0" w:color="auto"/>
              </w:divBdr>
            </w:div>
            <w:div w:id="147791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232">
      <w:marLeft w:val="0"/>
      <w:marRight w:val="0"/>
      <w:marTop w:val="0"/>
      <w:marBottom w:val="0"/>
      <w:divBdr>
        <w:top w:val="none" w:sz="0" w:space="0" w:color="auto"/>
        <w:left w:val="none" w:sz="0" w:space="0" w:color="auto"/>
        <w:bottom w:val="none" w:sz="0" w:space="0" w:color="auto"/>
        <w:right w:val="none" w:sz="0" w:space="0" w:color="auto"/>
      </w:divBdr>
    </w:div>
    <w:div w:id="1477917248">
      <w:marLeft w:val="0"/>
      <w:marRight w:val="0"/>
      <w:marTop w:val="0"/>
      <w:marBottom w:val="0"/>
      <w:divBdr>
        <w:top w:val="none" w:sz="0" w:space="0" w:color="auto"/>
        <w:left w:val="none" w:sz="0" w:space="0" w:color="auto"/>
        <w:bottom w:val="none" w:sz="0" w:space="0" w:color="auto"/>
        <w:right w:val="none" w:sz="0" w:space="0" w:color="auto"/>
      </w:divBdr>
    </w:div>
    <w:div w:id="1477917259">
      <w:marLeft w:val="0"/>
      <w:marRight w:val="0"/>
      <w:marTop w:val="0"/>
      <w:marBottom w:val="0"/>
      <w:divBdr>
        <w:top w:val="none" w:sz="0" w:space="0" w:color="auto"/>
        <w:left w:val="none" w:sz="0" w:space="0" w:color="auto"/>
        <w:bottom w:val="none" w:sz="0" w:space="0" w:color="auto"/>
        <w:right w:val="none" w:sz="0" w:space="0" w:color="auto"/>
      </w:divBdr>
    </w:div>
    <w:div w:id="1477917260">
      <w:marLeft w:val="0"/>
      <w:marRight w:val="0"/>
      <w:marTop w:val="0"/>
      <w:marBottom w:val="0"/>
      <w:divBdr>
        <w:top w:val="none" w:sz="0" w:space="0" w:color="auto"/>
        <w:left w:val="none" w:sz="0" w:space="0" w:color="auto"/>
        <w:bottom w:val="none" w:sz="0" w:space="0" w:color="auto"/>
        <w:right w:val="none" w:sz="0" w:space="0" w:color="auto"/>
      </w:divBdr>
      <w:divsChild>
        <w:div w:id="1477917197">
          <w:marLeft w:val="0"/>
          <w:marRight w:val="0"/>
          <w:marTop w:val="0"/>
          <w:marBottom w:val="0"/>
          <w:divBdr>
            <w:top w:val="none" w:sz="0" w:space="0" w:color="auto"/>
            <w:left w:val="none" w:sz="0" w:space="0" w:color="auto"/>
            <w:bottom w:val="none" w:sz="0" w:space="0" w:color="auto"/>
            <w:right w:val="none" w:sz="0" w:space="0" w:color="auto"/>
          </w:divBdr>
          <w:divsChild>
            <w:div w:id="1477917088">
              <w:marLeft w:val="0"/>
              <w:marRight w:val="0"/>
              <w:marTop w:val="0"/>
              <w:marBottom w:val="0"/>
              <w:divBdr>
                <w:top w:val="none" w:sz="0" w:space="0" w:color="auto"/>
                <w:left w:val="none" w:sz="0" w:space="0" w:color="auto"/>
                <w:bottom w:val="none" w:sz="0" w:space="0" w:color="auto"/>
                <w:right w:val="none" w:sz="0" w:space="0" w:color="auto"/>
              </w:divBdr>
            </w:div>
            <w:div w:id="1477917092">
              <w:marLeft w:val="0"/>
              <w:marRight w:val="0"/>
              <w:marTop w:val="0"/>
              <w:marBottom w:val="0"/>
              <w:divBdr>
                <w:top w:val="none" w:sz="0" w:space="0" w:color="auto"/>
                <w:left w:val="none" w:sz="0" w:space="0" w:color="auto"/>
                <w:bottom w:val="none" w:sz="0" w:space="0" w:color="auto"/>
                <w:right w:val="none" w:sz="0" w:space="0" w:color="auto"/>
              </w:divBdr>
            </w:div>
            <w:div w:id="1477917100">
              <w:marLeft w:val="0"/>
              <w:marRight w:val="0"/>
              <w:marTop w:val="0"/>
              <w:marBottom w:val="0"/>
              <w:divBdr>
                <w:top w:val="none" w:sz="0" w:space="0" w:color="auto"/>
                <w:left w:val="none" w:sz="0" w:space="0" w:color="auto"/>
                <w:bottom w:val="none" w:sz="0" w:space="0" w:color="auto"/>
                <w:right w:val="none" w:sz="0" w:space="0" w:color="auto"/>
              </w:divBdr>
            </w:div>
            <w:div w:id="1477917101">
              <w:marLeft w:val="0"/>
              <w:marRight w:val="0"/>
              <w:marTop w:val="0"/>
              <w:marBottom w:val="0"/>
              <w:divBdr>
                <w:top w:val="none" w:sz="0" w:space="0" w:color="auto"/>
                <w:left w:val="none" w:sz="0" w:space="0" w:color="auto"/>
                <w:bottom w:val="none" w:sz="0" w:space="0" w:color="auto"/>
                <w:right w:val="none" w:sz="0" w:space="0" w:color="auto"/>
              </w:divBdr>
            </w:div>
            <w:div w:id="1477917106">
              <w:marLeft w:val="0"/>
              <w:marRight w:val="0"/>
              <w:marTop w:val="0"/>
              <w:marBottom w:val="0"/>
              <w:divBdr>
                <w:top w:val="none" w:sz="0" w:space="0" w:color="auto"/>
                <w:left w:val="none" w:sz="0" w:space="0" w:color="auto"/>
                <w:bottom w:val="none" w:sz="0" w:space="0" w:color="auto"/>
                <w:right w:val="none" w:sz="0" w:space="0" w:color="auto"/>
              </w:divBdr>
            </w:div>
            <w:div w:id="1477917107">
              <w:marLeft w:val="0"/>
              <w:marRight w:val="0"/>
              <w:marTop w:val="0"/>
              <w:marBottom w:val="0"/>
              <w:divBdr>
                <w:top w:val="none" w:sz="0" w:space="0" w:color="auto"/>
                <w:left w:val="none" w:sz="0" w:space="0" w:color="auto"/>
                <w:bottom w:val="none" w:sz="0" w:space="0" w:color="auto"/>
                <w:right w:val="none" w:sz="0" w:space="0" w:color="auto"/>
              </w:divBdr>
            </w:div>
            <w:div w:id="1477917121">
              <w:marLeft w:val="0"/>
              <w:marRight w:val="0"/>
              <w:marTop w:val="0"/>
              <w:marBottom w:val="0"/>
              <w:divBdr>
                <w:top w:val="none" w:sz="0" w:space="0" w:color="auto"/>
                <w:left w:val="none" w:sz="0" w:space="0" w:color="auto"/>
                <w:bottom w:val="none" w:sz="0" w:space="0" w:color="auto"/>
                <w:right w:val="none" w:sz="0" w:space="0" w:color="auto"/>
              </w:divBdr>
            </w:div>
            <w:div w:id="1477917123">
              <w:marLeft w:val="0"/>
              <w:marRight w:val="0"/>
              <w:marTop w:val="0"/>
              <w:marBottom w:val="0"/>
              <w:divBdr>
                <w:top w:val="none" w:sz="0" w:space="0" w:color="auto"/>
                <w:left w:val="none" w:sz="0" w:space="0" w:color="auto"/>
                <w:bottom w:val="none" w:sz="0" w:space="0" w:color="auto"/>
                <w:right w:val="none" w:sz="0" w:space="0" w:color="auto"/>
              </w:divBdr>
            </w:div>
            <w:div w:id="1477917124">
              <w:marLeft w:val="0"/>
              <w:marRight w:val="0"/>
              <w:marTop w:val="0"/>
              <w:marBottom w:val="0"/>
              <w:divBdr>
                <w:top w:val="none" w:sz="0" w:space="0" w:color="auto"/>
                <w:left w:val="none" w:sz="0" w:space="0" w:color="auto"/>
                <w:bottom w:val="none" w:sz="0" w:space="0" w:color="auto"/>
                <w:right w:val="none" w:sz="0" w:space="0" w:color="auto"/>
              </w:divBdr>
            </w:div>
            <w:div w:id="1477917129">
              <w:marLeft w:val="0"/>
              <w:marRight w:val="0"/>
              <w:marTop w:val="0"/>
              <w:marBottom w:val="0"/>
              <w:divBdr>
                <w:top w:val="none" w:sz="0" w:space="0" w:color="auto"/>
                <w:left w:val="none" w:sz="0" w:space="0" w:color="auto"/>
                <w:bottom w:val="none" w:sz="0" w:space="0" w:color="auto"/>
                <w:right w:val="none" w:sz="0" w:space="0" w:color="auto"/>
              </w:divBdr>
            </w:div>
            <w:div w:id="1477917140">
              <w:marLeft w:val="0"/>
              <w:marRight w:val="0"/>
              <w:marTop w:val="0"/>
              <w:marBottom w:val="0"/>
              <w:divBdr>
                <w:top w:val="none" w:sz="0" w:space="0" w:color="auto"/>
                <w:left w:val="none" w:sz="0" w:space="0" w:color="auto"/>
                <w:bottom w:val="none" w:sz="0" w:space="0" w:color="auto"/>
                <w:right w:val="none" w:sz="0" w:space="0" w:color="auto"/>
              </w:divBdr>
            </w:div>
            <w:div w:id="1477917141">
              <w:marLeft w:val="0"/>
              <w:marRight w:val="0"/>
              <w:marTop w:val="0"/>
              <w:marBottom w:val="0"/>
              <w:divBdr>
                <w:top w:val="none" w:sz="0" w:space="0" w:color="auto"/>
                <w:left w:val="none" w:sz="0" w:space="0" w:color="auto"/>
                <w:bottom w:val="none" w:sz="0" w:space="0" w:color="auto"/>
                <w:right w:val="none" w:sz="0" w:space="0" w:color="auto"/>
              </w:divBdr>
            </w:div>
            <w:div w:id="1477917159">
              <w:marLeft w:val="0"/>
              <w:marRight w:val="0"/>
              <w:marTop w:val="0"/>
              <w:marBottom w:val="0"/>
              <w:divBdr>
                <w:top w:val="none" w:sz="0" w:space="0" w:color="auto"/>
                <w:left w:val="none" w:sz="0" w:space="0" w:color="auto"/>
                <w:bottom w:val="none" w:sz="0" w:space="0" w:color="auto"/>
                <w:right w:val="none" w:sz="0" w:space="0" w:color="auto"/>
              </w:divBdr>
            </w:div>
            <w:div w:id="1477917177">
              <w:marLeft w:val="0"/>
              <w:marRight w:val="0"/>
              <w:marTop w:val="0"/>
              <w:marBottom w:val="0"/>
              <w:divBdr>
                <w:top w:val="none" w:sz="0" w:space="0" w:color="auto"/>
                <w:left w:val="none" w:sz="0" w:space="0" w:color="auto"/>
                <w:bottom w:val="none" w:sz="0" w:space="0" w:color="auto"/>
                <w:right w:val="none" w:sz="0" w:space="0" w:color="auto"/>
              </w:divBdr>
            </w:div>
            <w:div w:id="1477917183">
              <w:marLeft w:val="0"/>
              <w:marRight w:val="0"/>
              <w:marTop w:val="0"/>
              <w:marBottom w:val="0"/>
              <w:divBdr>
                <w:top w:val="none" w:sz="0" w:space="0" w:color="auto"/>
                <w:left w:val="none" w:sz="0" w:space="0" w:color="auto"/>
                <w:bottom w:val="none" w:sz="0" w:space="0" w:color="auto"/>
                <w:right w:val="none" w:sz="0" w:space="0" w:color="auto"/>
              </w:divBdr>
            </w:div>
            <w:div w:id="1477917193">
              <w:marLeft w:val="0"/>
              <w:marRight w:val="0"/>
              <w:marTop w:val="0"/>
              <w:marBottom w:val="0"/>
              <w:divBdr>
                <w:top w:val="none" w:sz="0" w:space="0" w:color="auto"/>
                <w:left w:val="none" w:sz="0" w:space="0" w:color="auto"/>
                <w:bottom w:val="none" w:sz="0" w:space="0" w:color="auto"/>
                <w:right w:val="none" w:sz="0" w:space="0" w:color="auto"/>
              </w:divBdr>
            </w:div>
            <w:div w:id="1477917195">
              <w:marLeft w:val="0"/>
              <w:marRight w:val="0"/>
              <w:marTop w:val="0"/>
              <w:marBottom w:val="0"/>
              <w:divBdr>
                <w:top w:val="none" w:sz="0" w:space="0" w:color="auto"/>
                <w:left w:val="none" w:sz="0" w:space="0" w:color="auto"/>
                <w:bottom w:val="none" w:sz="0" w:space="0" w:color="auto"/>
                <w:right w:val="none" w:sz="0" w:space="0" w:color="auto"/>
              </w:divBdr>
            </w:div>
            <w:div w:id="1477917205">
              <w:marLeft w:val="0"/>
              <w:marRight w:val="0"/>
              <w:marTop w:val="0"/>
              <w:marBottom w:val="0"/>
              <w:divBdr>
                <w:top w:val="none" w:sz="0" w:space="0" w:color="auto"/>
                <w:left w:val="none" w:sz="0" w:space="0" w:color="auto"/>
                <w:bottom w:val="none" w:sz="0" w:space="0" w:color="auto"/>
                <w:right w:val="none" w:sz="0" w:space="0" w:color="auto"/>
              </w:divBdr>
            </w:div>
            <w:div w:id="1477917210">
              <w:marLeft w:val="0"/>
              <w:marRight w:val="0"/>
              <w:marTop w:val="0"/>
              <w:marBottom w:val="0"/>
              <w:divBdr>
                <w:top w:val="none" w:sz="0" w:space="0" w:color="auto"/>
                <w:left w:val="none" w:sz="0" w:space="0" w:color="auto"/>
                <w:bottom w:val="none" w:sz="0" w:space="0" w:color="auto"/>
                <w:right w:val="none" w:sz="0" w:space="0" w:color="auto"/>
              </w:divBdr>
            </w:div>
            <w:div w:id="1477917212">
              <w:marLeft w:val="0"/>
              <w:marRight w:val="0"/>
              <w:marTop w:val="0"/>
              <w:marBottom w:val="0"/>
              <w:divBdr>
                <w:top w:val="none" w:sz="0" w:space="0" w:color="auto"/>
                <w:left w:val="none" w:sz="0" w:space="0" w:color="auto"/>
                <w:bottom w:val="none" w:sz="0" w:space="0" w:color="auto"/>
                <w:right w:val="none" w:sz="0" w:space="0" w:color="auto"/>
              </w:divBdr>
            </w:div>
            <w:div w:id="1477917222">
              <w:marLeft w:val="0"/>
              <w:marRight w:val="0"/>
              <w:marTop w:val="0"/>
              <w:marBottom w:val="0"/>
              <w:divBdr>
                <w:top w:val="none" w:sz="0" w:space="0" w:color="auto"/>
                <w:left w:val="none" w:sz="0" w:space="0" w:color="auto"/>
                <w:bottom w:val="none" w:sz="0" w:space="0" w:color="auto"/>
                <w:right w:val="none" w:sz="0" w:space="0" w:color="auto"/>
              </w:divBdr>
            </w:div>
            <w:div w:id="1477917233">
              <w:marLeft w:val="0"/>
              <w:marRight w:val="0"/>
              <w:marTop w:val="0"/>
              <w:marBottom w:val="0"/>
              <w:divBdr>
                <w:top w:val="none" w:sz="0" w:space="0" w:color="auto"/>
                <w:left w:val="none" w:sz="0" w:space="0" w:color="auto"/>
                <w:bottom w:val="none" w:sz="0" w:space="0" w:color="auto"/>
                <w:right w:val="none" w:sz="0" w:space="0" w:color="auto"/>
              </w:divBdr>
            </w:div>
            <w:div w:id="1477917243">
              <w:marLeft w:val="0"/>
              <w:marRight w:val="0"/>
              <w:marTop w:val="0"/>
              <w:marBottom w:val="0"/>
              <w:divBdr>
                <w:top w:val="none" w:sz="0" w:space="0" w:color="auto"/>
                <w:left w:val="none" w:sz="0" w:space="0" w:color="auto"/>
                <w:bottom w:val="none" w:sz="0" w:space="0" w:color="auto"/>
                <w:right w:val="none" w:sz="0" w:space="0" w:color="auto"/>
              </w:divBdr>
            </w:div>
            <w:div w:id="1477917249">
              <w:marLeft w:val="0"/>
              <w:marRight w:val="0"/>
              <w:marTop w:val="0"/>
              <w:marBottom w:val="0"/>
              <w:divBdr>
                <w:top w:val="none" w:sz="0" w:space="0" w:color="auto"/>
                <w:left w:val="none" w:sz="0" w:space="0" w:color="auto"/>
                <w:bottom w:val="none" w:sz="0" w:space="0" w:color="auto"/>
                <w:right w:val="none" w:sz="0" w:space="0" w:color="auto"/>
              </w:divBdr>
            </w:div>
            <w:div w:id="1477917250">
              <w:marLeft w:val="0"/>
              <w:marRight w:val="0"/>
              <w:marTop w:val="0"/>
              <w:marBottom w:val="0"/>
              <w:divBdr>
                <w:top w:val="none" w:sz="0" w:space="0" w:color="auto"/>
                <w:left w:val="none" w:sz="0" w:space="0" w:color="auto"/>
                <w:bottom w:val="none" w:sz="0" w:space="0" w:color="auto"/>
                <w:right w:val="none" w:sz="0" w:space="0" w:color="auto"/>
              </w:divBdr>
            </w:div>
            <w:div w:id="1477917253">
              <w:marLeft w:val="0"/>
              <w:marRight w:val="0"/>
              <w:marTop w:val="0"/>
              <w:marBottom w:val="0"/>
              <w:divBdr>
                <w:top w:val="none" w:sz="0" w:space="0" w:color="auto"/>
                <w:left w:val="none" w:sz="0" w:space="0" w:color="auto"/>
                <w:bottom w:val="none" w:sz="0" w:space="0" w:color="auto"/>
                <w:right w:val="none" w:sz="0" w:space="0" w:color="auto"/>
              </w:divBdr>
            </w:div>
            <w:div w:id="1477917256">
              <w:marLeft w:val="0"/>
              <w:marRight w:val="0"/>
              <w:marTop w:val="0"/>
              <w:marBottom w:val="0"/>
              <w:divBdr>
                <w:top w:val="none" w:sz="0" w:space="0" w:color="auto"/>
                <w:left w:val="none" w:sz="0" w:space="0" w:color="auto"/>
                <w:bottom w:val="none" w:sz="0" w:space="0" w:color="auto"/>
                <w:right w:val="none" w:sz="0" w:space="0" w:color="auto"/>
              </w:divBdr>
            </w:div>
            <w:div w:id="1477917258">
              <w:marLeft w:val="0"/>
              <w:marRight w:val="0"/>
              <w:marTop w:val="0"/>
              <w:marBottom w:val="0"/>
              <w:divBdr>
                <w:top w:val="none" w:sz="0" w:space="0" w:color="auto"/>
                <w:left w:val="none" w:sz="0" w:space="0" w:color="auto"/>
                <w:bottom w:val="none" w:sz="0" w:space="0" w:color="auto"/>
                <w:right w:val="none" w:sz="0" w:space="0" w:color="auto"/>
              </w:divBdr>
            </w:div>
            <w:div w:id="1477917275">
              <w:marLeft w:val="0"/>
              <w:marRight w:val="0"/>
              <w:marTop w:val="0"/>
              <w:marBottom w:val="0"/>
              <w:divBdr>
                <w:top w:val="none" w:sz="0" w:space="0" w:color="auto"/>
                <w:left w:val="none" w:sz="0" w:space="0" w:color="auto"/>
                <w:bottom w:val="none" w:sz="0" w:space="0" w:color="auto"/>
                <w:right w:val="none" w:sz="0" w:space="0" w:color="auto"/>
              </w:divBdr>
            </w:div>
            <w:div w:id="1477917294">
              <w:marLeft w:val="0"/>
              <w:marRight w:val="0"/>
              <w:marTop w:val="0"/>
              <w:marBottom w:val="0"/>
              <w:divBdr>
                <w:top w:val="none" w:sz="0" w:space="0" w:color="auto"/>
                <w:left w:val="none" w:sz="0" w:space="0" w:color="auto"/>
                <w:bottom w:val="none" w:sz="0" w:space="0" w:color="auto"/>
                <w:right w:val="none" w:sz="0" w:space="0" w:color="auto"/>
              </w:divBdr>
            </w:div>
            <w:div w:id="1477917316">
              <w:marLeft w:val="0"/>
              <w:marRight w:val="0"/>
              <w:marTop w:val="0"/>
              <w:marBottom w:val="0"/>
              <w:divBdr>
                <w:top w:val="none" w:sz="0" w:space="0" w:color="auto"/>
                <w:left w:val="none" w:sz="0" w:space="0" w:color="auto"/>
                <w:bottom w:val="none" w:sz="0" w:space="0" w:color="auto"/>
                <w:right w:val="none" w:sz="0" w:space="0" w:color="auto"/>
              </w:divBdr>
            </w:div>
            <w:div w:id="1477917333">
              <w:marLeft w:val="0"/>
              <w:marRight w:val="0"/>
              <w:marTop w:val="0"/>
              <w:marBottom w:val="0"/>
              <w:divBdr>
                <w:top w:val="none" w:sz="0" w:space="0" w:color="auto"/>
                <w:left w:val="none" w:sz="0" w:space="0" w:color="auto"/>
                <w:bottom w:val="none" w:sz="0" w:space="0" w:color="auto"/>
                <w:right w:val="none" w:sz="0" w:space="0" w:color="auto"/>
              </w:divBdr>
            </w:div>
            <w:div w:id="1477917337">
              <w:marLeft w:val="0"/>
              <w:marRight w:val="0"/>
              <w:marTop w:val="0"/>
              <w:marBottom w:val="0"/>
              <w:divBdr>
                <w:top w:val="none" w:sz="0" w:space="0" w:color="auto"/>
                <w:left w:val="none" w:sz="0" w:space="0" w:color="auto"/>
                <w:bottom w:val="none" w:sz="0" w:space="0" w:color="auto"/>
                <w:right w:val="none" w:sz="0" w:space="0" w:color="auto"/>
              </w:divBdr>
            </w:div>
            <w:div w:id="1477917338">
              <w:marLeft w:val="0"/>
              <w:marRight w:val="0"/>
              <w:marTop w:val="0"/>
              <w:marBottom w:val="0"/>
              <w:divBdr>
                <w:top w:val="none" w:sz="0" w:space="0" w:color="auto"/>
                <w:left w:val="none" w:sz="0" w:space="0" w:color="auto"/>
                <w:bottom w:val="none" w:sz="0" w:space="0" w:color="auto"/>
                <w:right w:val="none" w:sz="0" w:space="0" w:color="auto"/>
              </w:divBdr>
            </w:div>
            <w:div w:id="1477917339">
              <w:marLeft w:val="0"/>
              <w:marRight w:val="0"/>
              <w:marTop w:val="0"/>
              <w:marBottom w:val="0"/>
              <w:divBdr>
                <w:top w:val="none" w:sz="0" w:space="0" w:color="auto"/>
                <w:left w:val="none" w:sz="0" w:space="0" w:color="auto"/>
                <w:bottom w:val="none" w:sz="0" w:space="0" w:color="auto"/>
                <w:right w:val="none" w:sz="0" w:space="0" w:color="auto"/>
              </w:divBdr>
            </w:div>
            <w:div w:id="1477917341">
              <w:marLeft w:val="0"/>
              <w:marRight w:val="0"/>
              <w:marTop w:val="0"/>
              <w:marBottom w:val="0"/>
              <w:divBdr>
                <w:top w:val="none" w:sz="0" w:space="0" w:color="auto"/>
                <w:left w:val="none" w:sz="0" w:space="0" w:color="auto"/>
                <w:bottom w:val="none" w:sz="0" w:space="0" w:color="auto"/>
                <w:right w:val="none" w:sz="0" w:space="0" w:color="auto"/>
              </w:divBdr>
            </w:div>
            <w:div w:id="1477917347">
              <w:marLeft w:val="0"/>
              <w:marRight w:val="0"/>
              <w:marTop w:val="0"/>
              <w:marBottom w:val="0"/>
              <w:divBdr>
                <w:top w:val="none" w:sz="0" w:space="0" w:color="auto"/>
                <w:left w:val="none" w:sz="0" w:space="0" w:color="auto"/>
                <w:bottom w:val="none" w:sz="0" w:space="0" w:color="auto"/>
                <w:right w:val="none" w:sz="0" w:space="0" w:color="auto"/>
              </w:divBdr>
            </w:div>
            <w:div w:id="1477917357">
              <w:marLeft w:val="0"/>
              <w:marRight w:val="0"/>
              <w:marTop w:val="0"/>
              <w:marBottom w:val="0"/>
              <w:divBdr>
                <w:top w:val="none" w:sz="0" w:space="0" w:color="auto"/>
                <w:left w:val="none" w:sz="0" w:space="0" w:color="auto"/>
                <w:bottom w:val="none" w:sz="0" w:space="0" w:color="auto"/>
                <w:right w:val="none" w:sz="0" w:space="0" w:color="auto"/>
              </w:divBdr>
            </w:div>
            <w:div w:id="1477917358">
              <w:marLeft w:val="0"/>
              <w:marRight w:val="0"/>
              <w:marTop w:val="0"/>
              <w:marBottom w:val="0"/>
              <w:divBdr>
                <w:top w:val="none" w:sz="0" w:space="0" w:color="auto"/>
                <w:left w:val="none" w:sz="0" w:space="0" w:color="auto"/>
                <w:bottom w:val="none" w:sz="0" w:space="0" w:color="auto"/>
                <w:right w:val="none" w:sz="0" w:space="0" w:color="auto"/>
              </w:divBdr>
            </w:div>
            <w:div w:id="1477917371">
              <w:marLeft w:val="0"/>
              <w:marRight w:val="0"/>
              <w:marTop w:val="0"/>
              <w:marBottom w:val="0"/>
              <w:divBdr>
                <w:top w:val="none" w:sz="0" w:space="0" w:color="auto"/>
                <w:left w:val="none" w:sz="0" w:space="0" w:color="auto"/>
                <w:bottom w:val="none" w:sz="0" w:space="0" w:color="auto"/>
                <w:right w:val="none" w:sz="0" w:space="0" w:color="auto"/>
              </w:divBdr>
            </w:div>
            <w:div w:id="14779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268">
      <w:marLeft w:val="0"/>
      <w:marRight w:val="0"/>
      <w:marTop w:val="0"/>
      <w:marBottom w:val="0"/>
      <w:divBdr>
        <w:top w:val="none" w:sz="0" w:space="0" w:color="auto"/>
        <w:left w:val="none" w:sz="0" w:space="0" w:color="auto"/>
        <w:bottom w:val="none" w:sz="0" w:space="0" w:color="auto"/>
        <w:right w:val="none" w:sz="0" w:space="0" w:color="auto"/>
      </w:divBdr>
    </w:div>
    <w:div w:id="1477917289">
      <w:marLeft w:val="0"/>
      <w:marRight w:val="0"/>
      <w:marTop w:val="0"/>
      <w:marBottom w:val="0"/>
      <w:divBdr>
        <w:top w:val="none" w:sz="0" w:space="0" w:color="auto"/>
        <w:left w:val="none" w:sz="0" w:space="0" w:color="auto"/>
        <w:bottom w:val="none" w:sz="0" w:space="0" w:color="auto"/>
        <w:right w:val="none" w:sz="0" w:space="0" w:color="auto"/>
      </w:divBdr>
      <w:divsChild>
        <w:div w:id="1477917331">
          <w:marLeft w:val="0"/>
          <w:marRight w:val="0"/>
          <w:marTop w:val="0"/>
          <w:marBottom w:val="0"/>
          <w:divBdr>
            <w:top w:val="none" w:sz="0" w:space="0" w:color="auto"/>
            <w:left w:val="none" w:sz="0" w:space="0" w:color="auto"/>
            <w:bottom w:val="none" w:sz="0" w:space="0" w:color="auto"/>
            <w:right w:val="none" w:sz="0" w:space="0" w:color="auto"/>
          </w:divBdr>
        </w:div>
      </w:divsChild>
    </w:div>
    <w:div w:id="1477917298">
      <w:marLeft w:val="0"/>
      <w:marRight w:val="0"/>
      <w:marTop w:val="0"/>
      <w:marBottom w:val="0"/>
      <w:divBdr>
        <w:top w:val="none" w:sz="0" w:space="0" w:color="auto"/>
        <w:left w:val="none" w:sz="0" w:space="0" w:color="auto"/>
        <w:bottom w:val="none" w:sz="0" w:space="0" w:color="auto"/>
        <w:right w:val="none" w:sz="0" w:space="0" w:color="auto"/>
      </w:divBdr>
    </w:div>
    <w:div w:id="1477917303">
      <w:marLeft w:val="0"/>
      <w:marRight w:val="0"/>
      <w:marTop w:val="0"/>
      <w:marBottom w:val="0"/>
      <w:divBdr>
        <w:top w:val="none" w:sz="0" w:space="0" w:color="auto"/>
        <w:left w:val="none" w:sz="0" w:space="0" w:color="auto"/>
        <w:bottom w:val="none" w:sz="0" w:space="0" w:color="auto"/>
        <w:right w:val="none" w:sz="0" w:space="0" w:color="auto"/>
      </w:divBdr>
    </w:div>
    <w:div w:id="1477917305">
      <w:marLeft w:val="0"/>
      <w:marRight w:val="0"/>
      <w:marTop w:val="0"/>
      <w:marBottom w:val="0"/>
      <w:divBdr>
        <w:top w:val="none" w:sz="0" w:space="0" w:color="auto"/>
        <w:left w:val="none" w:sz="0" w:space="0" w:color="auto"/>
        <w:bottom w:val="none" w:sz="0" w:space="0" w:color="auto"/>
        <w:right w:val="none" w:sz="0" w:space="0" w:color="auto"/>
      </w:divBdr>
      <w:divsChild>
        <w:div w:id="1477917117">
          <w:marLeft w:val="0"/>
          <w:marRight w:val="0"/>
          <w:marTop w:val="0"/>
          <w:marBottom w:val="0"/>
          <w:divBdr>
            <w:top w:val="none" w:sz="0" w:space="0" w:color="auto"/>
            <w:left w:val="none" w:sz="0" w:space="0" w:color="auto"/>
            <w:bottom w:val="none" w:sz="0" w:space="0" w:color="auto"/>
            <w:right w:val="none" w:sz="0" w:space="0" w:color="auto"/>
          </w:divBdr>
          <w:divsChild>
            <w:div w:id="1477917085">
              <w:marLeft w:val="0"/>
              <w:marRight w:val="0"/>
              <w:marTop w:val="0"/>
              <w:marBottom w:val="0"/>
              <w:divBdr>
                <w:top w:val="none" w:sz="0" w:space="0" w:color="auto"/>
                <w:left w:val="none" w:sz="0" w:space="0" w:color="auto"/>
                <w:bottom w:val="none" w:sz="0" w:space="0" w:color="auto"/>
                <w:right w:val="none" w:sz="0" w:space="0" w:color="auto"/>
              </w:divBdr>
            </w:div>
            <w:div w:id="1477917098">
              <w:marLeft w:val="0"/>
              <w:marRight w:val="0"/>
              <w:marTop w:val="0"/>
              <w:marBottom w:val="0"/>
              <w:divBdr>
                <w:top w:val="none" w:sz="0" w:space="0" w:color="auto"/>
                <w:left w:val="none" w:sz="0" w:space="0" w:color="auto"/>
                <w:bottom w:val="none" w:sz="0" w:space="0" w:color="auto"/>
                <w:right w:val="none" w:sz="0" w:space="0" w:color="auto"/>
              </w:divBdr>
            </w:div>
            <w:div w:id="1477917109">
              <w:marLeft w:val="0"/>
              <w:marRight w:val="0"/>
              <w:marTop w:val="0"/>
              <w:marBottom w:val="0"/>
              <w:divBdr>
                <w:top w:val="none" w:sz="0" w:space="0" w:color="auto"/>
                <w:left w:val="none" w:sz="0" w:space="0" w:color="auto"/>
                <w:bottom w:val="none" w:sz="0" w:space="0" w:color="auto"/>
                <w:right w:val="none" w:sz="0" w:space="0" w:color="auto"/>
              </w:divBdr>
            </w:div>
            <w:div w:id="1477917110">
              <w:marLeft w:val="0"/>
              <w:marRight w:val="0"/>
              <w:marTop w:val="0"/>
              <w:marBottom w:val="0"/>
              <w:divBdr>
                <w:top w:val="none" w:sz="0" w:space="0" w:color="auto"/>
                <w:left w:val="none" w:sz="0" w:space="0" w:color="auto"/>
                <w:bottom w:val="none" w:sz="0" w:space="0" w:color="auto"/>
                <w:right w:val="none" w:sz="0" w:space="0" w:color="auto"/>
              </w:divBdr>
            </w:div>
            <w:div w:id="1477917119">
              <w:marLeft w:val="0"/>
              <w:marRight w:val="0"/>
              <w:marTop w:val="0"/>
              <w:marBottom w:val="0"/>
              <w:divBdr>
                <w:top w:val="none" w:sz="0" w:space="0" w:color="auto"/>
                <w:left w:val="none" w:sz="0" w:space="0" w:color="auto"/>
                <w:bottom w:val="none" w:sz="0" w:space="0" w:color="auto"/>
                <w:right w:val="none" w:sz="0" w:space="0" w:color="auto"/>
              </w:divBdr>
            </w:div>
            <w:div w:id="1477917127">
              <w:marLeft w:val="0"/>
              <w:marRight w:val="0"/>
              <w:marTop w:val="0"/>
              <w:marBottom w:val="0"/>
              <w:divBdr>
                <w:top w:val="none" w:sz="0" w:space="0" w:color="auto"/>
                <w:left w:val="none" w:sz="0" w:space="0" w:color="auto"/>
                <w:bottom w:val="none" w:sz="0" w:space="0" w:color="auto"/>
                <w:right w:val="none" w:sz="0" w:space="0" w:color="auto"/>
              </w:divBdr>
            </w:div>
            <w:div w:id="1477917133">
              <w:marLeft w:val="0"/>
              <w:marRight w:val="0"/>
              <w:marTop w:val="0"/>
              <w:marBottom w:val="0"/>
              <w:divBdr>
                <w:top w:val="none" w:sz="0" w:space="0" w:color="auto"/>
                <w:left w:val="none" w:sz="0" w:space="0" w:color="auto"/>
                <w:bottom w:val="none" w:sz="0" w:space="0" w:color="auto"/>
                <w:right w:val="none" w:sz="0" w:space="0" w:color="auto"/>
              </w:divBdr>
            </w:div>
            <w:div w:id="1477917134">
              <w:marLeft w:val="0"/>
              <w:marRight w:val="0"/>
              <w:marTop w:val="0"/>
              <w:marBottom w:val="0"/>
              <w:divBdr>
                <w:top w:val="none" w:sz="0" w:space="0" w:color="auto"/>
                <w:left w:val="none" w:sz="0" w:space="0" w:color="auto"/>
                <w:bottom w:val="none" w:sz="0" w:space="0" w:color="auto"/>
                <w:right w:val="none" w:sz="0" w:space="0" w:color="auto"/>
              </w:divBdr>
            </w:div>
            <w:div w:id="1477917139">
              <w:marLeft w:val="0"/>
              <w:marRight w:val="0"/>
              <w:marTop w:val="0"/>
              <w:marBottom w:val="0"/>
              <w:divBdr>
                <w:top w:val="none" w:sz="0" w:space="0" w:color="auto"/>
                <w:left w:val="none" w:sz="0" w:space="0" w:color="auto"/>
                <w:bottom w:val="none" w:sz="0" w:space="0" w:color="auto"/>
                <w:right w:val="none" w:sz="0" w:space="0" w:color="auto"/>
              </w:divBdr>
            </w:div>
            <w:div w:id="1477917156">
              <w:marLeft w:val="0"/>
              <w:marRight w:val="0"/>
              <w:marTop w:val="0"/>
              <w:marBottom w:val="0"/>
              <w:divBdr>
                <w:top w:val="none" w:sz="0" w:space="0" w:color="auto"/>
                <w:left w:val="none" w:sz="0" w:space="0" w:color="auto"/>
                <w:bottom w:val="none" w:sz="0" w:space="0" w:color="auto"/>
                <w:right w:val="none" w:sz="0" w:space="0" w:color="auto"/>
              </w:divBdr>
            </w:div>
            <w:div w:id="1477917168">
              <w:marLeft w:val="0"/>
              <w:marRight w:val="0"/>
              <w:marTop w:val="0"/>
              <w:marBottom w:val="0"/>
              <w:divBdr>
                <w:top w:val="none" w:sz="0" w:space="0" w:color="auto"/>
                <w:left w:val="none" w:sz="0" w:space="0" w:color="auto"/>
                <w:bottom w:val="none" w:sz="0" w:space="0" w:color="auto"/>
                <w:right w:val="none" w:sz="0" w:space="0" w:color="auto"/>
              </w:divBdr>
            </w:div>
            <w:div w:id="1477917171">
              <w:marLeft w:val="0"/>
              <w:marRight w:val="0"/>
              <w:marTop w:val="0"/>
              <w:marBottom w:val="0"/>
              <w:divBdr>
                <w:top w:val="none" w:sz="0" w:space="0" w:color="auto"/>
                <w:left w:val="none" w:sz="0" w:space="0" w:color="auto"/>
                <w:bottom w:val="none" w:sz="0" w:space="0" w:color="auto"/>
                <w:right w:val="none" w:sz="0" w:space="0" w:color="auto"/>
              </w:divBdr>
            </w:div>
            <w:div w:id="1477917188">
              <w:marLeft w:val="0"/>
              <w:marRight w:val="0"/>
              <w:marTop w:val="0"/>
              <w:marBottom w:val="0"/>
              <w:divBdr>
                <w:top w:val="none" w:sz="0" w:space="0" w:color="auto"/>
                <w:left w:val="none" w:sz="0" w:space="0" w:color="auto"/>
                <w:bottom w:val="none" w:sz="0" w:space="0" w:color="auto"/>
                <w:right w:val="none" w:sz="0" w:space="0" w:color="auto"/>
              </w:divBdr>
            </w:div>
            <w:div w:id="1477917206">
              <w:marLeft w:val="0"/>
              <w:marRight w:val="0"/>
              <w:marTop w:val="0"/>
              <w:marBottom w:val="0"/>
              <w:divBdr>
                <w:top w:val="none" w:sz="0" w:space="0" w:color="auto"/>
                <w:left w:val="none" w:sz="0" w:space="0" w:color="auto"/>
                <w:bottom w:val="none" w:sz="0" w:space="0" w:color="auto"/>
                <w:right w:val="none" w:sz="0" w:space="0" w:color="auto"/>
              </w:divBdr>
            </w:div>
            <w:div w:id="1477917211">
              <w:marLeft w:val="0"/>
              <w:marRight w:val="0"/>
              <w:marTop w:val="0"/>
              <w:marBottom w:val="0"/>
              <w:divBdr>
                <w:top w:val="none" w:sz="0" w:space="0" w:color="auto"/>
                <w:left w:val="none" w:sz="0" w:space="0" w:color="auto"/>
                <w:bottom w:val="none" w:sz="0" w:space="0" w:color="auto"/>
                <w:right w:val="none" w:sz="0" w:space="0" w:color="auto"/>
              </w:divBdr>
            </w:div>
            <w:div w:id="1477917224">
              <w:marLeft w:val="0"/>
              <w:marRight w:val="0"/>
              <w:marTop w:val="0"/>
              <w:marBottom w:val="0"/>
              <w:divBdr>
                <w:top w:val="none" w:sz="0" w:space="0" w:color="auto"/>
                <w:left w:val="none" w:sz="0" w:space="0" w:color="auto"/>
                <w:bottom w:val="none" w:sz="0" w:space="0" w:color="auto"/>
                <w:right w:val="none" w:sz="0" w:space="0" w:color="auto"/>
              </w:divBdr>
            </w:div>
            <w:div w:id="1477917225">
              <w:marLeft w:val="0"/>
              <w:marRight w:val="0"/>
              <w:marTop w:val="0"/>
              <w:marBottom w:val="0"/>
              <w:divBdr>
                <w:top w:val="none" w:sz="0" w:space="0" w:color="auto"/>
                <w:left w:val="none" w:sz="0" w:space="0" w:color="auto"/>
                <w:bottom w:val="none" w:sz="0" w:space="0" w:color="auto"/>
                <w:right w:val="none" w:sz="0" w:space="0" w:color="auto"/>
              </w:divBdr>
            </w:div>
            <w:div w:id="1477917227">
              <w:marLeft w:val="0"/>
              <w:marRight w:val="0"/>
              <w:marTop w:val="0"/>
              <w:marBottom w:val="0"/>
              <w:divBdr>
                <w:top w:val="none" w:sz="0" w:space="0" w:color="auto"/>
                <w:left w:val="none" w:sz="0" w:space="0" w:color="auto"/>
                <w:bottom w:val="none" w:sz="0" w:space="0" w:color="auto"/>
                <w:right w:val="none" w:sz="0" w:space="0" w:color="auto"/>
              </w:divBdr>
            </w:div>
            <w:div w:id="1477917229">
              <w:marLeft w:val="0"/>
              <w:marRight w:val="0"/>
              <w:marTop w:val="0"/>
              <w:marBottom w:val="0"/>
              <w:divBdr>
                <w:top w:val="none" w:sz="0" w:space="0" w:color="auto"/>
                <w:left w:val="none" w:sz="0" w:space="0" w:color="auto"/>
                <w:bottom w:val="none" w:sz="0" w:space="0" w:color="auto"/>
                <w:right w:val="none" w:sz="0" w:space="0" w:color="auto"/>
              </w:divBdr>
            </w:div>
            <w:div w:id="1477917236">
              <w:marLeft w:val="0"/>
              <w:marRight w:val="0"/>
              <w:marTop w:val="0"/>
              <w:marBottom w:val="0"/>
              <w:divBdr>
                <w:top w:val="none" w:sz="0" w:space="0" w:color="auto"/>
                <w:left w:val="none" w:sz="0" w:space="0" w:color="auto"/>
                <w:bottom w:val="none" w:sz="0" w:space="0" w:color="auto"/>
                <w:right w:val="none" w:sz="0" w:space="0" w:color="auto"/>
              </w:divBdr>
            </w:div>
            <w:div w:id="1477917241">
              <w:marLeft w:val="0"/>
              <w:marRight w:val="0"/>
              <w:marTop w:val="0"/>
              <w:marBottom w:val="0"/>
              <w:divBdr>
                <w:top w:val="none" w:sz="0" w:space="0" w:color="auto"/>
                <w:left w:val="none" w:sz="0" w:space="0" w:color="auto"/>
                <w:bottom w:val="none" w:sz="0" w:space="0" w:color="auto"/>
                <w:right w:val="none" w:sz="0" w:space="0" w:color="auto"/>
              </w:divBdr>
            </w:div>
            <w:div w:id="1477917274">
              <w:marLeft w:val="0"/>
              <w:marRight w:val="0"/>
              <w:marTop w:val="0"/>
              <w:marBottom w:val="0"/>
              <w:divBdr>
                <w:top w:val="none" w:sz="0" w:space="0" w:color="auto"/>
                <w:left w:val="none" w:sz="0" w:space="0" w:color="auto"/>
                <w:bottom w:val="none" w:sz="0" w:space="0" w:color="auto"/>
                <w:right w:val="none" w:sz="0" w:space="0" w:color="auto"/>
              </w:divBdr>
            </w:div>
            <w:div w:id="1477917279">
              <w:marLeft w:val="0"/>
              <w:marRight w:val="0"/>
              <w:marTop w:val="0"/>
              <w:marBottom w:val="0"/>
              <w:divBdr>
                <w:top w:val="none" w:sz="0" w:space="0" w:color="auto"/>
                <w:left w:val="none" w:sz="0" w:space="0" w:color="auto"/>
                <w:bottom w:val="none" w:sz="0" w:space="0" w:color="auto"/>
                <w:right w:val="none" w:sz="0" w:space="0" w:color="auto"/>
              </w:divBdr>
            </w:div>
            <w:div w:id="1477917288">
              <w:marLeft w:val="0"/>
              <w:marRight w:val="0"/>
              <w:marTop w:val="0"/>
              <w:marBottom w:val="0"/>
              <w:divBdr>
                <w:top w:val="none" w:sz="0" w:space="0" w:color="auto"/>
                <w:left w:val="none" w:sz="0" w:space="0" w:color="auto"/>
                <w:bottom w:val="none" w:sz="0" w:space="0" w:color="auto"/>
                <w:right w:val="none" w:sz="0" w:space="0" w:color="auto"/>
              </w:divBdr>
            </w:div>
            <w:div w:id="1477917296">
              <w:marLeft w:val="0"/>
              <w:marRight w:val="0"/>
              <w:marTop w:val="0"/>
              <w:marBottom w:val="0"/>
              <w:divBdr>
                <w:top w:val="none" w:sz="0" w:space="0" w:color="auto"/>
                <w:left w:val="none" w:sz="0" w:space="0" w:color="auto"/>
                <w:bottom w:val="none" w:sz="0" w:space="0" w:color="auto"/>
                <w:right w:val="none" w:sz="0" w:space="0" w:color="auto"/>
              </w:divBdr>
            </w:div>
            <w:div w:id="1477917301">
              <w:marLeft w:val="0"/>
              <w:marRight w:val="0"/>
              <w:marTop w:val="0"/>
              <w:marBottom w:val="0"/>
              <w:divBdr>
                <w:top w:val="none" w:sz="0" w:space="0" w:color="auto"/>
                <w:left w:val="none" w:sz="0" w:space="0" w:color="auto"/>
                <w:bottom w:val="none" w:sz="0" w:space="0" w:color="auto"/>
                <w:right w:val="none" w:sz="0" w:space="0" w:color="auto"/>
              </w:divBdr>
            </w:div>
            <w:div w:id="1477917306">
              <w:marLeft w:val="0"/>
              <w:marRight w:val="0"/>
              <w:marTop w:val="0"/>
              <w:marBottom w:val="0"/>
              <w:divBdr>
                <w:top w:val="none" w:sz="0" w:space="0" w:color="auto"/>
                <w:left w:val="none" w:sz="0" w:space="0" w:color="auto"/>
                <w:bottom w:val="none" w:sz="0" w:space="0" w:color="auto"/>
                <w:right w:val="none" w:sz="0" w:space="0" w:color="auto"/>
              </w:divBdr>
            </w:div>
            <w:div w:id="1477917312">
              <w:marLeft w:val="0"/>
              <w:marRight w:val="0"/>
              <w:marTop w:val="0"/>
              <w:marBottom w:val="0"/>
              <w:divBdr>
                <w:top w:val="none" w:sz="0" w:space="0" w:color="auto"/>
                <w:left w:val="none" w:sz="0" w:space="0" w:color="auto"/>
                <w:bottom w:val="none" w:sz="0" w:space="0" w:color="auto"/>
                <w:right w:val="none" w:sz="0" w:space="0" w:color="auto"/>
              </w:divBdr>
            </w:div>
            <w:div w:id="147791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307">
      <w:marLeft w:val="0"/>
      <w:marRight w:val="0"/>
      <w:marTop w:val="0"/>
      <w:marBottom w:val="0"/>
      <w:divBdr>
        <w:top w:val="none" w:sz="0" w:space="0" w:color="auto"/>
        <w:left w:val="none" w:sz="0" w:space="0" w:color="auto"/>
        <w:bottom w:val="none" w:sz="0" w:space="0" w:color="auto"/>
        <w:right w:val="none" w:sz="0" w:space="0" w:color="auto"/>
      </w:divBdr>
    </w:div>
    <w:div w:id="1477917320">
      <w:marLeft w:val="0"/>
      <w:marRight w:val="0"/>
      <w:marTop w:val="0"/>
      <w:marBottom w:val="0"/>
      <w:divBdr>
        <w:top w:val="none" w:sz="0" w:space="0" w:color="auto"/>
        <w:left w:val="none" w:sz="0" w:space="0" w:color="auto"/>
        <w:bottom w:val="none" w:sz="0" w:space="0" w:color="auto"/>
        <w:right w:val="none" w:sz="0" w:space="0" w:color="auto"/>
      </w:divBdr>
      <w:divsChild>
        <w:div w:id="1477917142">
          <w:marLeft w:val="0"/>
          <w:marRight w:val="0"/>
          <w:marTop w:val="0"/>
          <w:marBottom w:val="0"/>
          <w:divBdr>
            <w:top w:val="none" w:sz="0" w:space="0" w:color="auto"/>
            <w:left w:val="none" w:sz="0" w:space="0" w:color="auto"/>
            <w:bottom w:val="none" w:sz="0" w:space="0" w:color="auto"/>
            <w:right w:val="none" w:sz="0" w:space="0" w:color="auto"/>
          </w:divBdr>
          <w:divsChild>
            <w:div w:id="1477917079">
              <w:marLeft w:val="0"/>
              <w:marRight w:val="0"/>
              <w:marTop w:val="0"/>
              <w:marBottom w:val="0"/>
              <w:divBdr>
                <w:top w:val="none" w:sz="0" w:space="0" w:color="auto"/>
                <w:left w:val="none" w:sz="0" w:space="0" w:color="auto"/>
                <w:bottom w:val="none" w:sz="0" w:space="0" w:color="auto"/>
                <w:right w:val="none" w:sz="0" w:space="0" w:color="auto"/>
              </w:divBdr>
            </w:div>
            <w:div w:id="1477917102">
              <w:marLeft w:val="0"/>
              <w:marRight w:val="0"/>
              <w:marTop w:val="0"/>
              <w:marBottom w:val="0"/>
              <w:divBdr>
                <w:top w:val="none" w:sz="0" w:space="0" w:color="auto"/>
                <w:left w:val="none" w:sz="0" w:space="0" w:color="auto"/>
                <w:bottom w:val="none" w:sz="0" w:space="0" w:color="auto"/>
                <w:right w:val="none" w:sz="0" w:space="0" w:color="auto"/>
              </w:divBdr>
            </w:div>
            <w:div w:id="1477917115">
              <w:marLeft w:val="0"/>
              <w:marRight w:val="0"/>
              <w:marTop w:val="0"/>
              <w:marBottom w:val="0"/>
              <w:divBdr>
                <w:top w:val="none" w:sz="0" w:space="0" w:color="auto"/>
                <w:left w:val="none" w:sz="0" w:space="0" w:color="auto"/>
                <w:bottom w:val="none" w:sz="0" w:space="0" w:color="auto"/>
                <w:right w:val="none" w:sz="0" w:space="0" w:color="auto"/>
              </w:divBdr>
            </w:div>
            <w:div w:id="1477917126">
              <w:marLeft w:val="0"/>
              <w:marRight w:val="0"/>
              <w:marTop w:val="0"/>
              <w:marBottom w:val="0"/>
              <w:divBdr>
                <w:top w:val="none" w:sz="0" w:space="0" w:color="auto"/>
                <w:left w:val="none" w:sz="0" w:space="0" w:color="auto"/>
                <w:bottom w:val="none" w:sz="0" w:space="0" w:color="auto"/>
                <w:right w:val="none" w:sz="0" w:space="0" w:color="auto"/>
              </w:divBdr>
            </w:div>
            <w:div w:id="1477917128">
              <w:marLeft w:val="0"/>
              <w:marRight w:val="0"/>
              <w:marTop w:val="0"/>
              <w:marBottom w:val="0"/>
              <w:divBdr>
                <w:top w:val="none" w:sz="0" w:space="0" w:color="auto"/>
                <w:left w:val="none" w:sz="0" w:space="0" w:color="auto"/>
                <w:bottom w:val="none" w:sz="0" w:space="0" w:color="auto"/>
                <w:right w:val="none" w:sz="0" w:space="0" w:color="auto"/>
              </w:divBdr>
            </w:div>
            <w:div w:id="1477917130">
              <w:marLeft w:val="0"/>
              <w:marRight w:val="0"/>
              <w:marTop w:val="0"/>
              <w:marBottom w:val="0"/>
              <w:divBdr>
                <w:top w:val="none" w:sz="0" w:space="0" w:color="auto"/>
                <w:left w:val="none" w:sz="0" w:space="0" w:color="auto"/>
                <w:bottom w:val="none" w:sz="0" w:space="0" w:color="auto"/>
                <w:right w:val="none" w:sz="0" w:space="0" w:color="auto"/>
              </w:divBdr>
            </w:div>
            <w:div w:id="1477917143">
              <w:marLeft w:val="0"/>
              <w:marRight w:val="0"/>
              <w:marTop w:val="0"/>
              <w:marBottom w:val="0"/>
              <w:divBdr>
                <w:top w:val="none" w:sz="0" w:space="0" w:color="auto"/>
                <w:left w:val="none" w:sz="0" w:space="0" w:color="auto"/>
                <w:bottom w:val="none" w:sz="0" w:space="0" w:color="auto"/>
                <w:right w:val="none" w:sz="0" w:space="0" w:color="auto"/>
              </w:divBdr>
            </w:div>
            <w:div w:id="1477917144">
              <w:marLeft w:val="0"/>
              <w:marRight w:val="0"/>
              <w:marTop w:val="0"/>
              <w:marBottom w:val="0"/>
              <w:divBdr>
                <w:top w:val="none" w:sz="0" w:space="0" w:color="auto"/>
                <w:left w:val="none" w:sz="0" w:space="0" w:color="auto"/>
                <w:bottom w:val="none" w:sz="0" w:space="0" w:color="auto"/>
                <w:right w:val="none" w:sz="0" w:space="0" w:color="auto"/>
              </w:divBdr>
            </w:div>
            <w:div w:id="1477917149">
              <w:marLeft w:val="0"/>
              <w:marRight w:val="0"/>
              <w:marTop w:val="0"/>
              <w:marBottom w:val="0"/>
              <w:divBdr>
                <w:top w:val="none" w:sz="0" w:space="0" w:color="auto"/>
                <w:left w:val="none" w:sz="0" w:space="0" w:color="auto"/>
                <w:bottom w:val="none" w:sz="0" w:space="0" w:color="auto"/>
                <w:right w:val="none" w:sz="0" w:space="0" w:color="auto"/>
              </w:divBdr>
            </w:div>
            <w:div w:id="1477917150">
              <w:marLeft w:val="0"/>
              <w:marRight w:val="0"/>
              <w:marTop w:val="0"/>
              <w:marBottom w:val="0"/>
              <w:divBdr>
                <w:top w:val="none" w:sz="0" w:space="0" w:color="auto"/>
                <w:left w:val="none" w:sz="0" w:space="0" w:color="auto"/>
                <w:bottom w:val="none" w:sz="0" w:space="0" w:color="auto"/>
                <w:right w:val="none" w:sz="0" w:space="0" w:color="auto"/>
              </w:divBdr>
            </w:div>
            <w:div w:id="1477917164">
              <w:marLeft w:val="0"/>
              <w:marRight w:val="0"/>
              <w:marTop w:val="0"/>
              <w:marBottom w:val="0"/>
              <w:divBdr>
                <w:top w:val="none" w:sz="0" w:space="0" w:color="auto"/>
                <w:left w:val="none" w:sz="0" w:space="0" w:color="auto"/>
                <w:bottom w:val="none" w:sz="0" w:space="0" w:color="auto"/>
                <w:right w:val="none" w:sz="0" w:space="0" w:color="auto"/>
              </w:divBdr>
            </w:div>
            <w:div w:id="1477917166">
              <w:marLeft w:val="0"/>
              <w:marRight w:val="0"/>
              <w:marTop w:val="0"/>
              <w:marBottom w:val="0"/>
              <w:divBdr>
                <w:top w:val="none" w:sz="0" w:space="0" w:color="auto"/>
                <w:left w:val="none" w:sz="0" w:space="0" w:color="auto"/>
                <w:bottom w:val="none" w:sz="0" w:space="0" w:color="auto"/>
                <w:right w:val="none" w:sz="0" w:space="0" w:color="auto"/>
              </w:divBdr>
            </w:div>
            <w:div w:id="1477917169">
              <w:marLeft w:val="0"/>
              <w:marRight w:val="0"/>
              <w:marTop w:val="0"/>
              <w:marBottom w:val="0"/>
              <w:divBdr>
                <w:top w:val="none" w:sz="0" w:space="0" w:color="auto"/>
                <w:left w:val="none" w:sz="0" w:space="0" w:color="auto"/>
                <w:bottom w:val="none" w:sz="0" w:space="0" w:color="auto"/>
                <w:right w:val="none" w:sz="0" w:space="0" w:color="auto"/>
              </w:divBdr>
            </w:div>
            <w:div w:id="1477917175">
              <w:marLeft w:val="0"/>
              <w:marRight w:val="0"/>
              <w:marTop w:val="0"/>
              <w:marBottom w:val="0"/>
              <w:divBdr>
                <w:top w:val="none" w:sz="0" w:space="0" w:color="auto"/>
                <w:left w:val="none" w:sz="0" w:space="0" w:color="auto"/>
                <w:bottom w:val="none" w:sz="0" w:space="0" w:color="auto"/>
                <w:right w:val="none" w:sz="0" w:space="0" w:color="auto"/>
              </w:divBdr>
            </w:div>
            <w:div w:id="1477917178">
              <w:marLeft w:val="0"/>
              <w:marRight w:val="0"/>
              <w:marTop w:val="0"/>
              <w:marBottom w:val="0"/>
              <w:divBdr>
                <w:top w:val="none" w:sz="0" w:space="0" w:color="auto"/>
                <w:left w:val="none" w:sz="0" w:space="0" w:color="auto"/>
                <w:bottom w:val="none" w:sz="0" w:space="0" w:color="auto"/>
                <w:right w:val="none" w:sz="0" w:space="0" w:color="auto"/>
              </w:divBdr>
            </w:div>
            <w:div w:id="1477917180">
              <w:marLeft w:val="0"/>
              <w:marRight w:val="0"/>
              <w:marTop w:val="0"/>
              <w:marBottom w:val="0"/>
              <w:divBdr>
                <w:top w:val="none" w:sz="0" w:space="0" w:color="auto"/>
                <w:left w:val="none" w:sz="0" w:space="0" w:color="auto"/>
                <w:bottom w:val="none" w:sz="0" w:space="0" w:color="auto"/>
                <w:right w:val="none" w:sz="0" w:space="0" w:color="auto"/>
              </w:divBdr>
            </w:div>
            <w:div w:id="1477917190">
              <w:marLeft w:val="0"/>
              <w:marRight w:val="0"/>
              <w:marTop w:val="0"/>
              <w:marBottom w:val="0"/>
              <w:divBdr>
                <w:top w:val="none" w:sz="0" w:space="0" w:color="auto"/>
                <w:left w:val="none" w:sz="0" w:space="0" w:color="auto"/>
                <w:bottom w:val="none" w:sz="0" w:space="0" w:color="auto"/>
                <w:right w:val="none" w:sz="0" w:space="0" w:color="auto"/>
              </w:divBdr>
            </w:div>
            <w:div w:id="1477917202">
              <w:marLeft w:val="0"/>
              <w:marRight w:val="0"/>
              <w:marTop w:val="0"/>
              <w:marBottom w:val="0"/>
              <w:divBdr>
                <w:top w:val="none" w:sz="0" w:space="0" w:color="auto"/>
                <w:left w:val="none" w:sz="0" w:space="0" w:color="auto"/>
                <w:bottom w:val="none" w:sz="0" w:space="0" w:color="auto"/>
                <w:right w:val="none" w:sz="0" w:space="0" w:color="auto"/>
              </w:divBdr>
            </w:div>
            <w:div w:id="1477917215">
              <w:marLeft w:val="0"/>
              <w:marRight w:val="0"/>
              <w:marTop w:val="0"/>
              <w:marBottom w:val="0"/>
              <w:divBdr>
                <w:top w:val="none" w:sz="0" w:space="0" w:color="auto"/>
                <w:left w:val="none" w:sz="0" w:space="0" w:color="auto"/>
                <w:bottom w:val="none" w:sz="0" w:space="0" w:color="auto"/>
                <w:right w:val="none" w:sz="0" w:space="0" w:color="auto"/>
              </w:divBdr>
            </w:div>
            <w:div w:id="1477917223">
              <w:marLeft w:val="0"/>
              <w:marRight w:val="0"/>
              <w:marTop w:val="0"/>
              <w:marBottom w:val="0"/>
              <w:divBdr>
                <w:top w:val="none" w:sz="0" w:space="0" w:color="auto"/>
                <w:left w:val="none" w:sz="0" w:space="0" w:color="auto"/>
                <w:bottom w:val="none" w:sz="0" w:space="0" w:color="auto"/>
                <w:right w:val="none" w:sz="0" w:space="0" w:color="auto"/>
              </w:divBdr>
            </w:div>
            <w:div w:id="1477917228">
              <w:marLeft w:val="0"/>
              <w:marRight w:val="0"/>
              <w:marTop w:val="0"/>
              <w:marBottom w:val="0"/>
              <w:divBdr>
                <w:top w:val="none" w:sz="0" w:space="0" w:color="auto"/>
                <w:left w:val="none" w:sz="0" w:space="0" w:color="auto"/>
                <w:bottom w:val="none" w:sz="0" w:space="0" w:color="auto"/>
                <w:right w:val="none" w:sz="0" w:space="0" w:color="auto"/>
              </w:divBdr>
            </w:div>
            <w:div w:id="1477917234">
              <w:marLeft w:val="0"/>
              <w:marRight w:val="0"/>
              <w:marTop w:val="0"/>
              <w:marBottom w:val="0"/>
              <w:divBdr>
                <w:top w:val="none" w:sz="0" w:space="0" w:color="auto"/>
                <w:left w:val="none" w:sz="0" w:space="0" w:color="auto"/>
                <w:bottom w:val="none" w:sz="0" w:space="0" w:color="auto"/>
                <w:right w:val="none" w:sz="0" w:space="0" w:color="auto"/>
              </w:divBdr>
            </w:div>
            <w:div w:id="1477917238">
              <w:marLeft w:val="0"/>
              <w:marRight w:val="0"/>
              <w:marTop w:val="0"/>
              <w:marBottom w:val="0"/>
              <w:divBdr>
                <w:top w:val="none" w:sz="0" w:space="0" w:color="auto"/>
                <w:left w:val="none" w:sz="0" w:space="0" w:color="auto"/>
                <w:bottom w:val="none" w:sz="0" w:space="0" w:color="auto"/>
                <w:right w:val="none" w:sz="0" w:space="0" w:color="auto"/>
              </w:divBdr>
            </w:div>
            <w:div w:id="1477917247">
              <w:marLeft w:val="0"/>
              <w:marRight w:val="0"/>
              <w:marTop w:val="0"/>
              <w:marBottom w:val="0"/>
              <w:divBdr>
                <w:top w:val="none" w:sz="0" w:space="0" w:color="auto"/>
                <w:left w:val="none" w:sz="0" w:space="0" w:color="auto"/>
                <w:bottom w:val="none" w:sz="0" w:space="0" w:color="auto"/>
                <w:right w:val="none" w:sz="0" w:space="0" w:color="auto"/>
              </w:divBdr>
            </w:div>
            <w:div w:id="1477917263">
              <w:marLeft w:val="0"/>
              <w:marRight w:val="0"/>
              <w:marTop w:val="0"/>
              <w:marBottom w:val="0"/>
              <w:divBdr>
                <w:top w:val="none" w:sz="0" w:space="0" w:color="auto"/>
                <w:left w:val="none" w:sz="0" w:space="0" w:color="auto"/>
                <w:bottom w:val="none" w:sz="0" w:space="0" w:color="auto"/>
                <w:right w:val="none" w:sz="0" w:space="0" w:color="auto"/>
              </w:divBdr>
            </w:div>
            <w:div w:id="1477917264">
              <w:marLeft w:val="0"/>
              <w:marRight w:val="0"/>
              <w:marTop w:val="0"/>
              <w:marBottom w:val="0"/>
              <w:divBdr>
                <w:top w:val="none" w:sz="0" w:space="0" w:color="auto"/>
                <w:left w:val="none" w:sz="0" w:space="0" w:color="auto"/>
                <w:bottom w:val="none" w:sz="0" w:space="0" w:color="auto"/>
                <w:right w:val="none" w:sz="0" w:space="0" w:color="auto"/>
              </w:divBdr>
            </w:div>
            <w:div w:id="1477917267">
              <w:marLeft w:val="0"/>
              <w:marRight w:val="0"/>
              <w:marTop w:val="0"/>
              <w:marBottom w:val="0"/>
              <w:divBdr>
                <w:top w:val="none" w:sz="0" w:space="0" w:color="auto"/>
                <w:left w:val="none" w:sz="0" w:space="0" w:color="auto"/>
                <w:bottom w:val="none" w:sz="0" w:space="0" w:color="auto"/>
                <w:right w:val="none" w:sz="0" w:space="0" w:color="auto"/>
              </w:divBdr>
            </w:div>
            <w:div w:id="1477917277">
              <w:marLeft w:val="0"/>
              <w:marRight w:val="0"/>
              <w:marTop w:val="0"/>
              <w:marBottom w:val="0"/>
              <w:divBdr>
                <w:top w:val="none" w:sz="0" w:space="0" w:color="auto"/>
                <w:left w:val="none" w:sz="0" w:space="0" w:color="auto"/>
                <w:bottom w:val="none" w:sz="0" w:space="0" w:color="auto"/>
                <w:right w:val="none" w:sz="0" w:space="0" w:color="auto"/>
              </w:divBdr>
            </w:div>
            <w:div w:id="1477917281">
              <w:marLeft w:val="0"/>
              <w:marRight w:val="0"/>
              <w:marTop w:val="0"/>
              <w:marBottom w:val="0"/>
              <w:divBdr>
                <w:top w:val="none" w:sz="0" w:space="0" w:color="auto"/>
                <w:left w:val="none" w:sz="0" w:space="0" w:color="auto"/>
                <w:bottom w:val="none" w:sz="0" w:space="0" w:color="auto"/>
                <w:right w:val="none" w:sz="0" w:space="0" w:color="auto"/>
              </w:divBdr>
            </w:div>
            <w:div w:id="1477917290">
              <w:marLeft w:val="0"/>
              <w:marRight w:val="0"/>
              <w:marTop w:val="0"/>
              <w:marBottom w:val="0"/>
              <w:divBdr>
                <w:top w:val="none" w:sz="0" w:space="0" w:color="auto"/>
                <w:left w:val="none" w:sz="0" w:space="0" w:color="auto"/>
                <w:bottom w:val="none" w:sz="0" w:space="0" w:color="auto"/>
                <w:right w:val="none" w:sz="0" w:space="0" w:color="auto"/>
              </w:divBdr>
            </w:div>
            <w:div w:id="1477917291">
              <w:marLeft w:val="0"/>
              <w:marRight w:val="0"/>
              <w:marTop w:val="0"/>
              <w:marBottom w:val="0"/>
              <w:divBdr>
                <w:top w:val="none" w:sz="0" w:space="0" w:color="auto"/>
                <w:left w:val="none" w:sz="0" w:space="0" w:color="auto"/>
                <w:bottom w:val="none" w:sz="0" w:space="0" w:color="auto"/>
                <w:right w:val="none" w:sz="0" w:space="0" w:color="auto"/>
              </w:divBdr>
            </w:div>
            <w:div w:id="1477917297">
              <w:marLeft w:val="0"/>
              <w:marRight w:val="0"/>
              <w:marTop w:val="0"/>
              <w:marBottom w:val="0"/>
              <w:divBdr>
                <w:top w:val="none" w:sz="0" w:space="0" w:color="auto"/>
                <w:left w:val="none" w:sz="0" w:space="0" w:color="auto"/>
                <w:bottom w:val="none" w:sz="0" w:space="0" w:color="auto"/>
                <w:right w:val="none" w:sz="0" w:space="0" w:color="auto"/>
              </w:divBdr>
            </w:div>
            <w:div w:id="1477917313">
              <w:marLeft w:val="0"/>
              <w:marRight w:val="0"/>
              <w:marTop w:val="0"/>
              <w:marBottom w:val="0"/>
              <w:divBdr>
                <w:top w:val="none" w:sz="0" w:space="0" w:color="auto"/>
                <w:left w:val="none" w:sz="0" w:space="0" w:color="auto"/>
                <w:bottom w:val="none" w:sz="0" w:space="0" w:color="auto"/>
                <w:right w:val="none" w:sz="0" w:space="0" w:color="auto"/>
              </w:divBdr>
            </w:div>
            <w:div w:id="1477917325">
              <w:marLeft w:val="0"/>
              <w:marRight w:val="0"/>
              <w:marTop w:val="0"/>
              <w:marBottom w:val="0"/>
              <w:divBdr>
                <w:top w:val="none" w:sz="0" w:space="0" w:color="auto"/>
                <w:left w:val="none" w:sz="0" w:space="0" w:color="auto"/>
                <w:bottom w:val="none" w:sz="0" w:space="0" w:color="auto"/>
                <w:right w:val="none" w:sz="0" w:space="0" w:color="auto"/>
              </w:divBdr>
            </w:div>
            <w:div w:id="1477917328">
              <w:marLeft w:val="0"/>
              <w:marRight w:val="0"/>
              <w:marTop w:val="0"/>
              <w:marBottom w:val="0"/>
              <w:divBdr>
                <w:top w:val="none" w:sz="0" w:space="0" w:color="auto"/>
                <w:left w:val="none" w:sz="0" w:space="0" w:color="auto"/>
                <w:bottom w:val="none" w:sz="0" w:space="0" w:color="auto"/>
                <w:right w:val="none" w:sz="0" w:space="0" w:color="auto"/>
              </w:divBdr>
            </w:div>
            <w:div w:id="1477917329">
              <w:marLeft w:val="0"/>
              <w:marRight w:val="0"/>
              <w:marTop w:val="0"/>
              <w:marBottom w:val="0"/>
              <w:divBdr>
                <w:top w:val="none" w:sz="0" w:space="0" w:color="auto"/>
                <w:left w:val="none" w:sz="0" w:space="0" w:color="auto"/>
                <w:bottom w:val="none" w:sz="0" w:space="0" w:color="auto"/>
                <w:right w:val="none" w:sz="0" w:space="0" w:color="auto"/>
              </w:divBdr>
            </w:div>
            <w:div w:id="1477917342">
              <w:marLeft w:val="0"/>
              <w:marRight w:val="0"/>
              <w:marTop w:val="0"/>
              <w:marBottom w:val="0"/>
              <w:divBdr>
                <w:top w:val="none" w:sz="0" w:space="0" w:color="auto"/>
                <w:left w:val="none" w:sz="0" w:space="0" w:color="auto"/>
                <w:bottom w:val="none" w:sz="0" w:space="0" w:color="auto"/>
                <w:right w:val="none" w:sz="0" w:space="0" w:color="auto"/>
              </w:divBdr>
            </w:div>
            <w:div w:id="1477917351">
              <w:marLeft w:val="0"/>
              <w:marRight w:val="0"/>
              <w:marTop w:val="0"/>
              <w:marBottom w:val="0"/>
              <w:divBdr>
                <w:top w:val="none" w:sz="0" w:space="0" w:color="auto"/>
                <w:left w:val="none" w:sz="0" w:space="0" w:color="auto"/>
                <w:bottom w:val="none" w:sz="0" w:space="0" w:color="auto"/>
                <w:right w:val="none" w:sz="0" w:space="0" w:color="auto"/>
              </w:divBdr>
            </w:div>
            <w:div w:id="1477917353">
              <w:marLeft w:val="0"/>
              <w:marRight w:val="0"/>
              <w:marTop w:val="0"/>
              <w:marBottom w:val="0"/>
              <w:divBdr>
                <w:top w:val="none" w:sz="0" w:space="0" w:color="auto"/>
                <w:left w:val="none" w:sz="0" w:space="0" w:color="auto"/>
                <w:bottom w:val="none" w:sz="0" w:space="0" w:color="auto"/>
                <w:right w:val="none" w:sz="0" w:space="0" w:color="auto"/>
              </w:divBdr>
            </w:div>
            <w:div w:id="1477917359">
              <w:marLeft w:val="0"/>
              <w:marRight w:val="0"/>
              <w:marTop w:val="0"/>
              <w:marBottom w:val="0"/>
              <w:divBdr>
                <w:top w:val="none" w:sz="0" w:space="0" w:color="auto"/>
                <w:left w:val="none" w:sz="0" w:space="0" w:color="auto"/>
                <w:bottom w:val="none" w:sz="0" w:space="0" w:color="auto"/>
                <w:right w:val="none" w:sz="0" w:space="0" w:color="auto"/>
              </w:divBdr>
            </w:div>
            <w:div w:id="1477917361">
              <w:marLeft w:val="0"/>
              <w:marRight w:val="0"/>
              <w:marTop w:val="0"/>
              <w:marBottom w:val="0"/>
              <w:divBdr>
                <w:top w:val="none" w:sz="0" w:space="0" w:color="auto"/>
                <w:left w:val="none" w:sz="0" w:space="0" w:color="auto"/>
                <w:bottom w:val="none" w:sz="0" w:space="0" w:color="auto"/>
                <w:right w:val="none" w:sz="0" w:space="0" w:color="auto"/>
              </w:divBdr>
            </w:div>
            <w:div w:id="1477917369">
              <w:marLeft w:val="0"/>
              <w:marRight w:val="0"/>
              <w:marTop w:val="0"/>
              <w:marBottom w:val="0"/>
              <w:divBdr>
                <w:top w:val="none" w:sz="0" w:space="0" w:color="auto"/>
                <w:left w:val="none" w:sz="0" w:space="0" w:color="auto"/>
                <w:bottom w:val="none" w:sz="0" w:space="0" w:color="auto"/>
                <w:right w:val="none" w:sz="0" w:space="0" w:color="auto"/>
              </w:divBdr>
            </w:div>
            <w:div w:id="1477917381">
              <w:marLeft w:val="0"/>
              <w:marRight w:val="0"/>
              <w:marTop w:val="0"/>
              <w:marBottom w:val="0"/>
              <w:divBdr>
                <w:top w:val="none" w:sz="0" w:space="0" w:color="auto"/>
                <w:left w:val="none" w:sz="0" w:space="0" w:color="auto"/>
                <w:bottom w:val="none" w:sz="0" w:space="0" w:color="auto"/>
                <w:right w:val="none" w:sz="0" w:space="0" w:color="auto"/>
              </w:divBdr>
            </w:div>
            <w:div w:id="147791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321">
      <w:marLeft w:val="0"/>
      <w:marRight w:val="0"/>
      <w:marTop w:val="0"/>
      <w:marBottom w:val="0"/>
      <w:divBdr>
        <w:top w:val="none" w:sz="0" w:space="0" w:color="auto"/>
        <w:left w:val="none" w:sz="0" w:space="0" w:color="auto"/>
        <w:bottom w:val="none" w:sz="0" w:space="0" w:color="auto"/>
        <w:right w:val="none" w:sz="0" w:space="0" w:color="auto"/>
      </w:divBdr>
    </w:div>
    <w:div w:id="1477917334">
      <w:marLeft w:val="0"/>
      <w:marRight w:val="0"/>
      <w:marTop w:val="0"/>
      <w:marBottom w:val="0"/>
      <w:divBdr>
        <w:top w:val="none" w:sz="0" w:space="0" w:color="auto"/>
        <w:left w:val="none" w:sz="0" w:space="0" w:color="auto"/>
        <w:bottom w:val="none" w:sz="0" w:space="0" w:color="auto"/>
        <w:right w:val="none" w:sz="0" w:space="0" w:color="auto"/>
      </w:divBdr>
      <w:divsChild>
        <w:div w:id="1477917286">
          <w:marLeft w:val="0"/>
          <w:marRight w:val="0"/>
          <w:marTop w:val="0"/>
          <w:marBottom w:val="0"/>
          <w:divBdr>
            <w:top w:val="none" w:sz="0" w:space="0" w:color="auto"/>
            <w:left w:val="none" w:sz="0" w:space="0" w:color="auto"/>
            <w:bottom w:val="none" w:sz="0" w:space="0" w:color="auto"/>
            <w:right w:val="none" w:sz="0" w:space="0" w:color="auto"/>
          </w:divBdr>
          <w:divsChild>
            <w:div w:id="14779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335">
      <w:marLeft w:val="0"/>
      <w:marRight w:val="0"/>
      <w:marTop w:val="0"/>
      <w:marBottom w:val="0"/>
      <w:divBdr>
        <w:top w:val="none" w:sz="0" w:space="0" w:color="auto"/>
        <w:left w:val="none" w:sz="0" w:space="0" w:color="auto"/>
        <w:bottom w:val="none" w:sz="0" w:space="0" w:color="auto"/>
        <w:right w:val="none" w:sz="0" w:space="0" w:color="auto"/>
      </w:divBdr>
    </w:div>
    <w:div w:id="1477917336">
      <w:marLeft w:val="0"/>
      <w:marRight w:val="0"/>
      <w:marTop w:val="0"/>
      <w:marBottom w:val="0"/>
      <w:divBdr>
        <w:top w:val="none" w:sz="0" w:space="0" w:color="auto"/>
        <w:left w:val="none" w:sz="0" w:space="0" w:color="auto"/>
        <w:bottom w:val="none" w:sz="0" w:space="0" w:color="auto"/>
        <w:right w:val="none" w:sz="0" w:space="0" w:color="auto"/>
      </w:divBdr>
      <w:divsChild>
        <w:div w:id="1477917255">
          <w:marLeft w:val="0"/>
          <w:marRight w:val="0"/>
          <w:marTop w:val="0"/>
          <w:marBottom w:val="0"/>
          <w:divBdr>
            <w:top w:val="none" w:sz="0" w:space="0" w:color="auto"/>
            <w:left w:val="none" w:sz="0" w:space="0" w:color="auto"/>
            <w:bottom w:val="none" w:sz="0" w:space="0" w:color="auto"/>
            <w:right w:val="none" w:sz="0" w:space="0" w:color="auto"/>
          </w:divBdr>
          <w:divsChild>
            <w:div w:id="147791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345">
      <w:marLeft w:val="0"/>
      <w:marRight w:val="0"/>
      <w:marTop w:val="0"/>
      <w:marBottom w:val="0"/>
      <w:divBdr>
        <w:top w:val="none" w:sz="0" w:space="0" w:color="auto"/>
        <w:left w:val="none" w:sz="0" w:space="0" w:color="auto"/>
        <w:bottom w:val="none" w:sz="0" w:space="0" w:color="auto"/>
        <w:right w:val="none" w:sz="0" w:space="0" w:color="auto"/>
      </w:divBdr>
    </w:div>
    <w:div w:id="1477917350">
      <w:marLeft w:val="0"/>
      <w:marRight w:val="0"/>
      <w:marTop w:val="0"/>
      <w:marBottom w:val="0"/>
      <w:divBdr>
        <w:top w:val="none" w:sz="0" w:space="0" w:color="auto"/>
        <w:left w:val="none" w:sz="0" w:space="0" w:color="auto"/>
        <w:bottom w:val="none" w:sz="0" w:space="0" w:color="auto"/>
        <w:right w:val="none" w:sz="0" w:space="0" w:color="auto"/>
      </w:divBdr>
    </w:div>
    <w:div w:id="1477917354">
      <w:marLeft w:val="0"/>
      <w:marRight w:val="0"/>
      <w:marTop w:val="0"/>
      <w:marBottom w:val="0"/>
      <w:divBdr>
        <w:top w:val="none" w:sz="0" w:space="0" w:color="auto"/>
        <w:left w:val="none" w:sz="0" w:space="0" w:color="auto"/>
        <w:bottom w:val="none" w:sz="0" w:space="0" w:color="auto"/>
        <w:right w:val="none" w:sz="0" w:space="0" w:color="auto"/>
      </w:divBdr>
    </w:div>
    <w:div w:id="1477917355">
      <w:marLeft w:val="0"/>
      <w:marRight w:val="0"/>
      <w:marTop w:val="0"/>
      <w:marBottom w:val="0"/>
      <w:divBdr>
        <w:top w:val="none" w:sz="0" w:space="0" w:color="auto"/>
        <w:left w:val="none" w:sz="0" w:space="0" w:color="auto"/>
        <w:bottom w:val="none" w:sz="0" w:space="0" w:color="auto"/>
        <w:right w:val="none" w:sz="0" w:space="0" w:color="auto"/>
      </w:divBdr>
    </w:div>
    <w:div w:id="1477917360">
      <w:marLeft w:val="0"/>
      <w:marRight w:val="0"/>
      <w:marTop w:val="0"/>
      <w:marBottom w:val="0"/>
      <w:divBdr>
        <w:top w:val="none" w:sz="0" w:space="0" w:color="auto"/>
        <w:left w:val="none" w:sz="0" w:space="0" w:color="auto"/>
        <w:bottom w:val="none" w:sz="0" w:space="0" w:color="auto"/>
        <w:right w:val="none" w:sz="0" w:space="0" w:color="auto"/>
      </w:divBdr>
    </w:div>
    <w:div w:id="1477917363">
      <w:marLeft w:val="0"/>
      <w:marRight w:val="0"/>
      <w:marTop w:val="0"/>
      <w:marBottom w:val="0"/>
      <w:divBdr>
        <w:top w:val="none" w:sz="0" w:space="0" w:color="auto"/>
        <w:left w:val="none" w:sz="0" w:space="0" w:color="auto"/>
        <w:bottom w:val="none" w:sz="0" w:space="0" w:color="auto"/>
        <w:right w:val="none" w:sz="0" w:space="0" w:color="auto"/>
      </w:divBdr>
    </w:div>
    <w:div w:id="1477917365">
      <w:marLeft w:val="0"/>
      <w:marRight w:val="0"/>
      <w:marTop w:val="0"/>
      <w:marBottom w:val="0"/>
      <w:divBdr>
        <w:top w:val="none" w:sz="0" w:space="0" w:color="auto"/>
        <w:left w:val="none" w:sz="0" w:space="0" w:color="auto"/>
        <w:bottom w:val="none" w:sz="0" w:space="0" w:color="auto"/>
        <w:right w:val="none" w:sz="0" w:space="0" w:color="auto"/>
      </w:divBdr>
    </w:div>
    <w:div w:id="1477917366">
      <w:marLeft w:val="0"/>
      <w:marRight w:val="0"/>
      <w:marTop w:val="0"/>
      <w:marBottom w:val="0"/>
      <w:divBdr>
        <w:top w:val="none" w:sz="0" w:space="0" w:color="auto"/>
        <w:left w:val="none" w:sz="0" w:space="0" w:color="auto"/>
        <w:bottom w:val="none" w:sz="0" w:space="0" w:color="auto"/>
        <w:right w:val="none" w:sz="0" w:space="0" w:color="auto"/>
      </w:divBdr>
    </w:div>
    <w:div w:id="1477917368">
      <w:marLeft w:val="0"/>
      <w:marRight w:val="0"/>
      <w:marTop w:val="0"/>
      <w:marBottom w:val="0"/>
      <w:divBdr>
        <w:top w:val="none" w:sz="0" w:space="0" w:color="auto"/>
        <w:left w:val="none" w:sz="0" w:space="0" w:color="auto"/>
        <w:bottom w:val="none" w:sz="0" w:space="0" w:color="auto"/>
        <w:right w:val="none" w:sz="0" w:space="0" w:color="auto"/>
      </w:divBdr>
    </w:div>
    <w:div w:id="1477917370">
      <w:marLeft w:val="0"/>
      <w:marRight w:val="0"/>
      <w:marTop w:val="0"/>
      <w:marBottom w:val="0"/>
      <w:divBdr>
        <w:top w:val="none" w:sz="0" w:space="0" w:color="auto"/>
        <w:left w:val="none" w:sz="0" w:space="0" w:color="auto"/>
        <w:bottom w:val="none" w:sz="0" w:space="0" w:color="auto"/>
        <w:right w:val="none" w:sz="0" w:space="0" w:color="auto"/>
      </w:divBdr>
    </w:div>
    <w:div w:id="1477917372">
      <w:marLeft w:val="0"/>
      <w:marRight w:val="0"/>
      <w:marTop w:val="0"/>
      <w:marBottom w:val="0"/>
      <w:divBdr>
        <w:top w:val="none" w:sz="0" w:space="0" w:color="auto"/>
        <w:left w:val="none" w:sz="0" w:space="0" w:color="auto"/>
        <w:bottom w:val="none" w:sz="0" w:space="0" w:color="auto"/>
        <w:right w:val="none" w:sz="0" w:space="0" w:color="auto"/>
      </w:divBdr>
    </w:div>
    <w:div w:id="1477917374">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 Id="rId6" Type="http://schemas.openxmlformats.org/officeDocument/2006/relationships/image" Target="media/image13.png"/><Relationship Id="rId5" Type="http://schemas.openxmlformats.org/officeDocument/2006/relationships/image" Target="media/image12.jpeg"/><Relationship Id="rId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630</TotalTime>
  <Pages>15</Pages>
  <Words>5177</Words>
  <Characters>29513</Characters>
  <Application>Microsoft Office Word</Application>
  <DocSecurity>0</DocSecurity>
  <Lines>245</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R.T.I. Almaviva/Almawave/Indra/PWC</dc:creator>
  <cp:lastModifiedBy>Luigi Santangelo</cp:lastModifiedBy>
  <cp:revision>18</cp:revision>
  <cp:lastPrinted>2020-07-31T15:00:00Z</cp:lastPrinted>
  <dcterms:created xsi:type="dcterms:W3CDTF">2020-11-09T14:59:00Z</dcterms:created>
  <dcterms:modified xsi:type="dcterms:W3CDTF">2020-11-26T00:43:00Z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0x010100A49F0E2107F28644839283B2D4DC9D06</vt:lpwstr>
  </property>
</Properties>
</file>