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C0" w:rsidRPr="00B15496" w:rsidRDefault="006F0AC0" w:rsidP="006F0AC0">
      <w:pPr>
        <w:jc w:val="both"/>
        <w:rPr>
          <w:rFonts w:eastAsia="Calibri" w:cstheme="minorHAnsi"/>
        </w:rPr>
      </w:pPr>
      <w:r w:rsidRPr="00B15496">
        <w:rPr>
          <w:rFonts w:eastAsia="Calibri" w:cstheme="minorHAnsi"/>
        </w:rPr>
        <w:t xml:space="preserve">Il </w:t>
      </w:r>
      <w:r w:rsidRPr="00B15496">
        <w:rPr>
          <w:rFonts w:eastAsia="Calibri" w:cstheme="minorHAnsi"/>
          <w:i/>
        </w:rPr>
        <w:t xml:space="preserve">Business </w:t>
      </w:r>
      <w:proofErr w:type="spellStart"/>
      <w:r w:rsidRPr="00B15496">
        <w:rPr>
          <w:rFonts w:eastAsia="Calibri" w:cstheme="minorHAnsi"/>
          <w:i/>
        </w:rPr>
        <w:t>Process</w:t>
      </w:r>
      <w:proofErr w:type="spellEnd"/>
      <w:r w:rsidRPr="00B15496">
        <w:rPr>
          <w:rFonts w:eastAsia="Calibri" w:cstheme="minorHAnsi"/>
          <w:i/>
        </w:rPr>
        <w:t xml:space="preserve"> </w:t>
      </w:r>
      <w:proofErr w:type="spellStart"/>
      <w:r w:rsidRPr="00B15496">
        <w:rPr>
          <w:rFonts w:eastAsia="Calibri" w:cstheme="minorHAnsi"/>
          <w:i/>
        </w:rPr>
        <w:t>Modeling</w:t>
      </w:r>
      <w:proofErr w:type="spellEnd"/>
      <w:r w:rsidRPr="00B15496">
        <w:rPr>
          <w:rFonts w:eastAsia="Calibri" w:cstheme="minorHAnsi"/>
          <w:i/>
        </w:rPr>
        <w:t xml:space="preserve"> </w:t>
      </w:r>
      <w:proofErr w:type="spellStart"/>
      <w:r w:rsidRPr="00B15496">
        <w:rPr>
          <w:rFonts w:eastAsia="Calibri" w:cstheme="minorHAnsi"/>
          <w:i/>
        </w:rPr>
        <w:t>Notation</w:t>
      </w:r>
      <w:proofErr w:type="spellEnd"/>
      <w:r w:rsidRPr="00B15496">
        <w:rPr>
          <w:rFonts w:eastAsia="Calibri" w:cstheme="minorHAnsi"/>
        </w:rPr>
        <w:t xml:space="preserve"> è un metodo di rappresentazione grafica in grado di fornire un </w:t>
      </w:r>
      <w:proofErr w:type="spellStart"/>
      <w:r w:rsidRPr="00B15496">
        <w:rPr>
          <w:rFonts w:eastAsia="Calibri" w:cstheme="minorHAnsi"/>
          <w:i/>
        </w:rPr>
        <w:t>overview</w:t>
      </w:r>
      <w:proofErr w:type="spellEnd"/>
      <w:r w:rsidRPr="00B15496">
        <w:rPr>
          <w:rFonts w:eastAsia="Calibri" w:cstheme="minorHAnsi"/>
        </w:rPr>
        <w:t xml:space="preserve"> sugli attori, le attività e le decisioni che caratterizzano uno specifico processo. Per raggiungere tale obiettivo le attività e le decisioni vengono predisposte in linee diverse a seconda dell’attore che compie l’attività o la decisione in oggetto. L’adozione del </w:t>
      </w:r>
      <w:r w:rsidRPr="00B15496">
        <w:rPr>
          <w:rFonts w:eastAsia="Calibri" w:cstheme="minorHAnsi"/>
          <w:i/>
        </w:rPr>
        <w:t>BPMN</w:t>
      </w:r>
      <w:r w:rsidRPr="00B15496">
        <w:rPr>
          <w:rFonts w:eastAsia="Calibri" w:cstheme="minorHAnsi"/>
        </w:rPr>
        <w:t xml:space="preserve"> consente di adottare una rappresentazione grafica </w:t>
      </w:r>
      <w:r w:rsidRPr="00B15496">
        <w:rPr>
          <w:rFonts w:eastAsia="Calibri" w:cstheme="minorHAnsi"/>
          <w:i/>
        </w:rPr>
        <w:t>standard</w:t>
      </w:r>
      <w:r w:rsidRPr="00B15496">
        <w:rPr>
          <w:rFonts w:eastAsia="Calibri" w:cstheme="minorHAnsi"/>
        </w:rPr>
        <w:t xml:space="preserve">izzata utile, oltre che a rappresentare il modello in essere nel singolo Ente, anche a rendere confrontabili i modelli dei vari Enti. </w:t>
      </w:r>
    </w:p>
    <w:p w:rsidR="006F0AC0" w:rsidRPr="00B15496" w:rsidRDefault="006F0AC0" w:rsidP="006F0AC0">
      <w:pPr>
        <w:jc w:val="both"/>
        <w:rPr>
          <w:rFonts w:eastAsia="Calibri" w:cstheme="minorHAnsi"/>
        </w:rPr>
      </w:pPr>
      <w:r w:rsidRPr="00B15496">
        <w:rPr>
          <w:rFonts w:eastAsia="Calibri" w:cstheme="minorHAnsi"/>
        </w:rPr>
        <w:t xml:space="preserve">Il ricorso al </w:t>
      </w:r>
      <w:r w:rsidRPr="00B15496">
        <w:rPr>
          <w:rFonts w:eastAsia="Calibri" w:cstheme="minorHAnsi"/>
          <w:i/>
        </w:rPr>
        <w:t xml:space="preserve">BPMN </w:t>
      </w:r>
      <w:r w:rsidRPr="00B15496">
        <w:rPr>
          <w:rFonts w:eastAsia="Calibri" w:cstheme="minorHAnsi"/>
        </w:rPr>
        <w:t xml:space="preserve">sarà utile anche in fase di elaborazione ed implementazione del </w:t>
      </w:r>
      <w:r w:rsidRPr="00B15496">
        <w:rPr>
          <w:rFonts w:eastAsia="Calibri" w:cstheme="minorHAnsi"/>
          <w:i/>
        </w:rPr>
        <w:t>TO BE</w:t>
      </w:r>
      <w:r w:rsidRPr="00B15496">
        <w:rPr>
          <w:rFonts w:eastAsia="Calibri" w:cstheme="minorHAnsi"/>
        </w:rPr>
        <w:t xml:space="preserve"> per offrire una immediata rappresentazione del modello adottato, almeno, a tutti gli attori (non solo tecnici) interni all’Ente. </w:t>
      </w:r>
    </w:p>
    <w:p w:rsidR="006F0AC0" w:rsidRPr="00B15496" w:rsidRDefault="006F0AC0" w:rsidP="006F0AC0">
      <w:pPr>
        <w:jc w:val="both"/>
        <w:rPr>
          <w:rFonts w:eastAsia="Calibri" w:cstheme="minorHAnsi"/>
        </w:rPr>
      </w:pPr>
      <w:r w:rsidRPr="00B15496">
        <w:rPr>
          <w:rFonts w:eastAsia="Calibri" w:cstheme="minorHAnsi"/>
        </w:rPr>
        <w:t xml:space="preserve">Si riporta a seguire la legenda delle icone del </w:t>
      </w:r>
      <w:r w:rsidRPr="00B15496">
        <w:rPr>
          <w:rFonts w:eastAsia="Calibri" w:cstheme="minorHAnsi"/>
          <w:i/>
        </w:rPr>
        <w:t>BPMN</w:t>
      </w:r>
      <w:r w:rsidRPr="00B15496">
        <w:rPr>
          <w:rFonts w:eastAsia="Calibri" w:cstheme="minorHAnsi"/>
        </w:rPr>
        <w:t>.</w:t>
      </w:r>
    </w:p>
    <w:p w:rsidR="006F0AC0" w:rsidRPr="00B15496" w:rsidRDefault="006F0AC0" w:rsidP="006F0AC0">
      <w:pPr>
        <w:jc w:val="both"/>
        <w:rPr>
          <w:rFonts w:eastAsia="Calibri" w:cstheme="minorHAnsi"/>
        </w:rPr>
      </w:pPr>
      <w:r w:rsidRPr="00B15496">
        <w:rPr>
          <w:rFonts w:eastAsia="Calibri" w:cstheme="minorHAnsi"/>
          <w:noProof/>
          <w:lang w:eastAsia="it-IT"/>
        </w:rPr>
        <w:drawing>
          <wp:inline distT="0" distB="0" distL="0" distR="0" wp14:anchorId="6225C262" wp14:editId="5D9F107A">
            <wp:extent cx="2826422" cy="1448622"/>
            <wp:effectExtent l="0" t="0" r="0" b="0"/>
            <wp:docPr id="30" name="Immagine 30" descr="Legend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a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28" cy="14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C0" w:rsidRPr="00B15496" w:rsidRDefault="006F0AC0" w:rsidP="006F0AC0">
      <w:pPr>
        <w:jc w:val="both"/>
        <w:rPr>
          <w:rFonts w:eastAsia="Calibri" w:cstheme="minorHAnsi"/>
        </w:rPr>
      </w:pPr>
      <w:r w:rsidRPr="00B15496">
        <w:rPr>
          <w:rFonts w:eastAsia="Calibri" w:cstheme="minorHAnsi"/>
        </w:rPr>
        <w:t xml:space="preserve">Un </w:t>
      </w:r>
      <w:proofErr w:type="spellStart"/>
      <w:r w:rsidRPr="00B15496">
        <w:rPr>
          <w:rFonts w:eastAsia="Calibri" w:cstheme="minorHAnsi"/>
          <w:i/>
        </w:rPr>
        <w:t>tool</w:t>
      </w:r>
      <w:proofErr w:type="spellEnd"/>
      <w:r w:rsidRPr="00B15496">
        <w:rPr>
          <w:rFonts w:eastAsia="Calibri" w:cstheme="minorHAnsi"/>
        </w:rPr>
        <w:t xml:space="preserve"> utile all’elaborazione del </w:t>
      </w:r>
      <w:r w:rsidRPr="00B15496">
        <w:rPr>
          <w:rFonts w:eastAsia="Calibri" w:cstheme="minorHAnsi"/>
          <w:i/>
        </w:rPr>
        <w:t xml:space="preserve">BPMN </w:t>
      </w:r>
      <w:r w:rsidRPr="00B15496">
        <w:rPr>
          <w:rFonts w:eastAsia="Calibri" w:cstheme="minorHAnsi"/>
        </w:rPr>
        <w:t>può essere</w:t>
      </w:r>
      <w:r w:rsidRPr="00B15496">
        <w:rPr>
          <w:rFonts w:eastAsia="Calibri" w:cstheme="minorHAnsi"/>
          <w:i/>
        </w:rPr>
        <w:t xml:space="preserve"> </w:t>
      </w:r>
      <w:hyperlink r:id="rId6" w:history="1">
        <w:r w:rsidRPr="00B15496">
          <w:rPr>
            <w:rStyle w:val="Collegamentoipertestuale"/>
            <w:rFonts w:asciiTheme="minorHAnsi" w:hAnsiTheme="minorHAnsi" w:cstheme="minorHAnsi"/>
            <w:sz w:val="22"/>
          </w:rPr>
          <w:t>https://camunda.com/</w:t>
        </w:r>
      </w:hyperlink>
    </w:p>
    <w:p w:rsidR="006F0AC0" w:rsidRPr="00B15496" w:rsidRDefault="006F0AC0" w:rsidP="006F0AC0">
      <w:pPr>
        <w:jc w:val="both"/>
        <w:rPr>
          <w:rFonts w:cstheme="minorHAnsi"/>
        </w:rPr>
      </w:pPr>
    </w:p>
    <w:p w:rsidR="006F0AC0" w:rsidRPr="00B15496" w:rsidRDefault="006F0AC0" w:rsidP="006F0AC0">
      <w:pPr>
        <w:jc w:val="both"/>
        <w:rPr>
          <w:rFonts w:cstheme="minorHAnsi"/>
        </w:rPr>
      </w:pPr>
      <w:r w:rsidRPr="00B15496">
        <w:rPr>
          <w:rFonts w:cstheme="minorHAnsi"/>
          <w:noProof/>
          <w:lang w:eastAsia="it-IT"/>
        </w:rPr>
        <w:drawing>
          <wp:inline distT="0" distB="0" distL="0" distR="0" wp14:anchorId="3A480138" wp14:editId="7763A692">
            <wp:extent cx="6115685" cy="2823845"/>
            <wp:effectExtent l="19050" t="0" r="0" b="0"/>
            <wp:docPr id="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C0" w:rsidRPr="00B15496" w:rsidRDefault="006F0AC0" w:rsidP="006F0AC0">
      <w:pPr>
        <w:jc w:val="both"/>
        <w:rPr>
          <w:rFonts w:cstheme="minorHAnsi"/>
        </w:rPr>
      </w:pPr>
    </w:p>
    <w:p w:rsidR="00EA0CAE" w:rsidRDefault="006F0AC0" w:rsidP="006F0AC0">
      <w:r w:rsidRPr="00B15496">
        <w:rPr>
          <w:rFonts w:cstheme="minorHAnsi"/>
        </w:rPr>
        <w:t xml:space="preserve">A livello esemplificativo si riporta il </w:t>
      </w:r>
      <w:r w:rsidRPr="00B15496">
        <w:rPr>
          <w:rFonts w:cstheme="minorHAnsi"/>
          <w:i/>
        </w:rPr>
        <w:t>BPMN</w:t>
      </w:r>
      <w:r w:rsidRPr="00B15496">
        <w:rPr>
          <w:rFonts w:cstheme="minorHAnsi"/>
        </w:rPr>
        <w:t xml:space="preserve"> relativo al processo di </w:t>
      </w:r>
      <w:r w:rsidRPr="00B15496">
        <w:rPr>
          <w:rFonts w:cstheme="minorHAnsi"/>
          <w:i/>
        </w:rPr>
        <w:t>business</w:t>
      </w:r>
      <w:r w:rsidRPr="00B15496">
        <w:rPr>
          <w:rFonts w:cstheme="minorHAnsi"/>
        </w:rPr>
        <w:t xml:space="preserve"> del pagamento da Ente Creditore (fonte: </w:t>
      </w:r>
      <w:hyperlink r:id="rId8" w:history="1">
        <w:r w:rsidRPr="00B15496">
          <w:rPr>
            <w:rStyle w:val="Collegamentoipertestuale"/>
            <w:rFonts w:asciiTheme="minorHAnsi" w:hAnsiTheme="minorHAnsi" w:cstheme="minorHAnsi"/>
            <w:sz w:val="22"/>
          </w:rPr>
          <w:t xml:space="preserve">https://www.agid.gov.it/sites/default/files/repository_files/pagopa_business_processes_v1.0.pdf </w:t>
        </w:r>
        <w:proofErr w:type="spellStart"/>
        <w:r w:rsidRPr="00B15496">
          <w:rPr>
            <w:rStyle w:val="Collegamentoipertestuale"/>
            <w:rFonts w:asciiTheme="minorHAnsi" w:hAnsiTheme="minorHAnsi" w:cstheme="minorHAnsi"/>
            <w:sz w:val="22"/>
          </w:rPr>
          <w:t>pag</w:t>
        </w:r>
        <w:proofErr w:type="spellEnd"/>
        <w:r w:rsidRPr="00B15496">
          <w:rPr>
            <w:rStyle w:val="Collegamentoipertestuale"/>
            <w:rFonts w:asciiTheme="minorHAnsi" w:hAnsiTheme="minorHAnsi" w:cstheme="minorHAnsi"/>
            <w:sz w:val="22"/>
          </w:rPr>
          <w:t>. 13/29</w:t>
        </w:r>
      </w:hyperlink>
      <w:bookmarkStart w:id="0" w:name="_GoBack"/>
      <w:bookmarkEnd w:id="0"/>
    </w:p>
    <w:sectPr w:rsidR="00EA0CAE" w:rsidSect="00EA0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C3731"/>
    <w:rsid w:val="001C3731"/>
    <w:rsid w:val="006F0AC0"/>
    <w:rsid w:val="007C09F0"/>
    <w:rsid w:val="009270CB"/>
    <w:rsid w:val="00EA0CAE"/>
    <w:rsid w:val="00F2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3731"/>
    <w:pPr>
      <w:suppressAutoHyphens/>
      <w:spacing w:after="0" w:line="240" w:lineRule="auto"/>
    </w:pPr>
    <w:rPr>
      <w:rFonts w:ascii="Cambria" w:eastAsia="Cambria" w:hAnsi="Cambria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F0AC0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0AC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0AC0"/>
    <w:rPr>
      <w:rFonts w:ascii="Tahoma" w:eastAsia="Cambr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d.gov.it/sites/default/files/repository_files/pagopa_business_processes_v1.0.pdf%20pag.%2013/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amunda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f.pellecchia</dc:creator>
  <cp:lastModifiedBy>Tinelli Eufemia</cp:lastModifiedBy>
  <cp:revision>3</cp:revision>
  <dcterms:created xsi:type="dcterms:W3CDTF">2019-10-07T15:14:00Z</dcterms:created>
  <dcterms:modified xsi:type="dcterms:W3CDTF">2020-11-30T11:50:00Z</dcterms:modified>
</cp:coreProperties>
</file>