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1. Introducción</w:t>
      </w:r>
    </w:p>
    <w:p w:rsidR="00000000" w:rsidDel="00000000" w:rsidP="00000000" w:rsidRDefault="00000000" w:rsidRPr="00000000" w14:paraId="00000002">
      <w:pPr>
        <w:jc w:val="both"/>
        <w:rPr/>
      </w:pPr>
      <w:r w:rsidDel="00000000" w:rsidR="00000000" w:rsidRPr="00000000">
        <w:rPr>
          <w:rtl w:val="0"/>
        </w:rPr>
        <w:t xml:space="preserve">La referencia y contrarreferencia oportuna del paciente crítico es un componente esencial de la atención en red, especialmente en un país con marcadas brechas geográficas en el acceso al cuidado intensivo de alta complejidad. La tele-UCI permite acercar el criterio del experto a la institución remisora, apoyar la identificación de la necesidad de traslado, priorizar la movilización hacia el centro de mayor complejidad y garantizar la continuidad del manejo hasta el retorno seguro del paciente a su centro de origen.</w:t>
      </w:r>
    </w:p>
    <w:p w:rsidR="00000000" w:rsidDel="00000000" w:rsidP="00000000" w:rsidRDefault="00000000" w:rsidRPr="00000000" w14:paraId="00000003">
      <w:pPr>
        <w:jc w:val="both"/>
        <w:rPr/>
      </w:pPr>
      <w:r w:rsidDel="00000000" w:rsidR="00000000" w:rsidRPr="00000000">
        <w:rPr>
          <w:rtl w:val="0"/>
        </w:rPr>
        <w:t xml:space="preserve">Este protocolo orienta, en el contexto de la tele-UCI, los criterios y el flujo de referencia y contrarreferencia del paciente crítico entre la institución remisora y el Hospital Universitario Nacional de Colombia (HUN). Se deriva y alinea con el Protocolo de atención de tele-UCI del Hospital Universitario Nacional, y no sustituye el juicio clínico individual ni las normas de la red de prestación, que prevalecen en caso de discrepancia.</w:t>
      </w:r>
    </w:p>
    <w:p w:rsidR="00000000" w:rsidDel="00000000" w:rsidP="00000000" w:rsidRDefault="00000000" w:rsidRPr="00000000" w14:paraId="00000004">
      <w:pPr>
        <w:pStyle w:val="Heading1"/>
        <w:rPr/>
      </w:pPr>
      <w:r w:rsidDel="00000000" w:rsidR="00000000" w:rsidRPr="00000000">
        <w:rPr>
          <w:rtl w:val="0"/>
        </w:rPr>
        <w:t xml:space="preserve">2. Objetivo General</w:t>
      </w:r>
    </w:p>
    <w:p w:rsidR="00000000" w:rsidDel="00000000" w:rsidP="00000000" w:rsidRDefault="00000000" w:rsidRPr="00000000" w14:paraId="00000005">
      <w:pPr>
        <w:jc w:val="both"/>
        <w:rPr/>
      </w:pPr>
      <w:r w:rsidDel="00000000" w:rsidR="00000000" w:rsidRPr="00000000">
        <w:rPr>
          <w:rtl w:val="0"/>
        </w:rPr>
        <w:t xml:space="preserve">Estandarizar, en el contexto de la tele-UCI, los criterios y el flujo de referencia y contrarreferencia del paciente crítico, articulando a la institución remisora con el equipo experto del HUN y con la aseguradora, para favorecer la identificación oportuna de la necesidad de traslado, la priorización de la movilización y el retorno seguro al centro de origen.</w:t>
      </w:r>
    </w:p>
    <w:p w:rsidR="00000000" w:rsidDel="00000000" w:rsidP="00000000" w:rsidRDefault="00000000" w:rsidRPr="00000000" w14:paraId="00000006">
      <w:pPr>
        <w:pStyle w:val="Heading1"/>
        <w:rPr/>
      </w:pPr>
      <w:r w:rsidDel="00000000" w:rsidR="00000000" w:rsidRPr="00000000">
        <w:rPr>
          <w:rtl w:val="0"/>
        </w:rPr>
        <w:t xml:space="preserve">3. Objetivos Específicos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Definir los criterios de remisión hacia un mayor nivel de complejidad, incluida la necesidad de ECMO o de subespecialidades críticas.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Establecer el flujo de activación del trámite de remisión y la alerta a la EPS.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Definir la responsabilidad y la priorización del traslado hacia el HUN.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Orientar el soporte técnico-científico continuo (24/7) mientras se gestiona el traslado.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Establecer los criterios de egreso, contrarreferencia y destino final.</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Disponer de indicadores que permitan monitorizar la oportunidad y la seguridad del proceso.</w:t>
      </w:r>
    </w:p>
    <w:p w:rsidR="00000000" w:rsidDel="00000000" w:rsidP="00000000" w:rsidRDefault="00000000" w:rsidRPr="00000000" w14:paraId="0000000D">
      <w:pPr>
        <w:pStyle w:val="Heading1"/>
        <w:rPr/>
      </w:pPr>
      <w:r w:rsidDel="00000000" w:rsidR="00000000" w:rsidRPr="00000000">
        <w:rPr>
          <w:rtl w:val="0"/>
        </w:rPr>
        <w:t xml:space="preserve">4. Alcance</w:t>
      </w:r>
    </w:p>
    <w:p w:rsidR="00000000" w:rsidDel="00000000" w:rsidP="00000000" w:rsidRDefault="00000000" w:rsidRPr="00000000" w14:paraId="0000000E">
      <w:pPr>
        <w:jc w:val="both"/>
        <w:rPr/>
      </w:pPr>
      <w:r w:rsidDel="00000000" w:rsidR="00000000" w:rsidRPr="00000000">
        <w:rPr>
          <w:rtl w:val="0"/>
        </w:rPr>
        <w:t xml:space="preserve">Este protocolo aplica a la referencia y contrarreferencia de pacientes adultos en estado crítico entre las instituciones remisoras de la red y el HUN, en el contexto de la tele-UCI. Cubre desde la identificación de la necesidad de traslado hasta la contrarreferencia al centro de origen. No reemplaza la ejecución del traslado físico, que es responsabilidad del hospital de origen y de la aseguradora, ni las decisiones clínicas presenciales.</w:t>
      </w:r>
    </w:p>
    <w:p w:rsidR="00000000" w:rsidDel="00000000" w:rsidP="00000000" w:rsidRDefault="00000000" w:rsidRPr="00000000" w14:paraId="0000000F">
      <w:pPr>
        <w:pStyle w:val="Heading1"/>
        <w:rPr/>
      </w:pPr>
      <w:r w:rsidDel="00000000" w:rsidR="00000000" w:rsidRPr="00000000">
        <w:rPr>
          <w:rtl w:val="0"/>
        </w:rPr>
        <w:t xml:space="preserve">5. Marco Normativo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telesalud y la telemedicina en Colombia.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estándares y procedimientos de habilitación de servicios de salud.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de la Política Nacional de Telesalud.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Normatividad vigente sobre el sistema de referencia y contrarreferencia y la operación de las redes integrales de prestación de servicios de salud.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Guías y lineamientos del Ministerio de Salud y Protección Social en materia de Telesalud.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Protocolo de atención de tele-UCI del Hospital Universitario Nacional (HUN), con el cual se alinea el presente protocolo.</w:t>
      </w:r>
    </w:p>
    <w:p w:rsidR="00000000" w:rsidDel="00000000" w:rsidP="00000000" w:rsidRDefault="00000000" w:rsidRPr="00000000" w14:paraId="00000016">
      <w:pPr>
        <w:pStyle w:val="Heading1"/>
        <w:rPr/>
      </w:pPr>
      <w:r w:rsidDel="00000000" w:rsidR="00000000" w:rsidRPr="00000000">
        <w:rPr>
          <w:rtl w:val="0"/>
        </w:rPr>
        <w:t xml:space="preserve">6. Definiciones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Telesalud: conjunto de actividades relacionadas con la salud prestadas a distancia con el apoyo de las TIC.</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Tele-UCI: prestación de servicios de cuidado intensivo con apoyo de las TIC, incluyendo el soporte remoto a la institución remisora.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Institución remisora: hospital territorial donde ingresa inicialmente el paciente crítico.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Referencia: envío del paciente a un nivel de mayor complejidad.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Contrarreferencia (contrarremisión): retorno del paciente a una institución de menor complejidad o a su centro de origen.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ECMO: oxigenación por membrana extracorpórea.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Gestor de casos: profesional que coordina el triage y la valoración sincrónica.</w:t>
      </w:r>
    </w:p>
    <w:p w:rsidR="00000000" w:rsidDel="00000000" w:rsidP="00000000" w:rsidRDefault="00000000" w:rsidRPr="00000000" w14:paraId="0000001E">
      <w:pPr>
        <w:pStyle w:val="Heading1"/>
        <w:rPr/>
      </w:pPr>
      <w:r w:rsidDel="00000000" w:rsidR="00000000" w:rsidRPr="00000000">
        <w:rPr>
          <w:rtl w:val="0"/>
        </w:rPr>
        <w:t xml:space="preserve">7. Identificación de la Necesidad, Triage y Criterios de Alta Complejidad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El proceso inicia en la institución remisora (hospital territorial) ante el ingreso de un paciente en condición crítica. El intensivista o médico especialista local aplica el protocolo de criterios de ingreso y activa la comunicación con la línea de soporte a distancia.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Un gestor de casos genera el triage para coordinar de forma inmediata la valoración sincrónica.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 un criterio fundamental de remisión hacia un mayor nivel de complejidad si, durante la valoración inicial o las revistas de seguimiento, se identifica que el paciente requiere terapia de soporte vital avanzado como ECMO, o la intervención de subespecialidades médicas y quirúrgicas críticas con las que no se cuente en el centro remisor.</w:t>
      </w:r>
    </w:p>
    <w:p w:rsidR="00000000" w:rsidDel="00000000" w:rsidP="00000000" w:rsidRDefault="00000000" w:rsidRPr="00000000" w14:paraId="00000022">
      <w:pPr>
        <w:pStyle w:val="Heading1"/>
        <w:rPr/>
      </w:pPr>
      <w:r w:rsidDel="00000000" w:rsidR="00000000" w:rsidRPr="00000000">
        <w:rPr>
          <w:rtl w:val="0"/>
        </w:rPr>
        <w:t xml:space="preserve">8. Activación del Trámite de Remisión y Alerta a la EPS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Cuando la evaluación del especialista a distancia define que el paciente ha superado la capacidad resolutiva local o requiere intervenciones presenciales de alta complejidad, se genera de forma inmediata una alerta formal al sistema de referencia y contrarreferencia de la EPS del usuario.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El propósito es que la aseguradora inicie los trámites administrativos y logísticos del traslado de manera oportuna.</w:t>
      </w:r>
    </w:p>
    <w:p w:rsidR="00000000" w:rsidDel="00000000" w:rsidP="00000000" w:rsidRDefault="00000000" w:rsidRPr="00000000" w14:paraId="00000025">
      <w:pPr>
        <w:pStyle w:val="Heading1"/>
        <w:rPr/>
      </w:pPr>
      <w:r w:rsidDel="00000000" w:rsidR="00000000" w:rsidRPr="00000000">
        <w:rPr>
          <w:rtl w:val="0"/>
        </w:rPr>
        <w:t xml:space="preserve">9. Responsabilidad del Traslado y Priorización en el HUN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El traslado físico del paciente es responsabilidad del hospital de origen (territorial) y de la aseguradora.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En el flujo de referencia, se debe dar máxima prioridad al traslado hacia el HUN para garantizar la continuidad del manejo médico integral planificado.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 movilización queda sujeta a la existencia de convenios de prestación de servicios y a la disponibilidad real de camas en el HUN.</w:t>
      </w:r>
    </w:p>
    <w:p w:rsidR="00000000" w:rsidDel="00000000" w:rsidP="00000000" w:rsidRDefault="00000000" w:rsidRPr="00000000" w14:paraId="00000029">
      <w:pPr>
        <w:pStyle w:val="Heading1"/>
        <w:rPr/>
      </w:pPr>
      <w:r w:rsidDel="00000000" w:rsidR="00000000" w:rsidRPr="00000000">
        <w:rPr>
          <w:rtl w:val="0"/>
        </w:rPr>
        <w:t xml:space="preserve">10. Soporte Técnico-Científico Continuo (24/7)</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En los casos donde ya se definió la necesidad de traslado a una institución de mayor complejidad, el paciente continúa recibiendo acompañamiento mientras se gestiona el traslado.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El equipo interdisciplinario de especialistas en cuidado crítico del HUN (médicos intensivistas, profesionales de enfermería y terapeutas/fisioterapeutas) permanece disponible de manera permanente las 24 horas del día, brindando teleapoyo continuo al equipo tratante del territorio para mantener la estabilidad del paciente.</w:t>
      </w:r>
    </w:p>
    <w:p w:rsidR="00000000" w:rsidDel="00000000" w:rsidP="00000000" w:rsidRDefault="00000000" w:rsidRPr="00000000" w14:paraId="0000002C">
      <w:pPr>
        <w:pStyle w:val="Heading1"/>
        <w:rPr/>
      </w:pPr>
      <w:r w:rsidDel="00000000" w:rsidR="00000000" w:rsidRPr="00000000">
        <w:rPr>
          <w:rtl w:val="0"/>
        </w:rPr>
        <w:t xml:space="preserve">11. Criterios de Egreso, Contrarreferencia y Destino Final</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La fase de egreso se activa formalmente ante la mejoría evidente del estado clínico, el traslado a camas de menor complejidad, el fallecimiento, el diagnóstico de muerte cerebral, o un cambio en las metas terapéuticas hacia cuidados paliativos o fin de vida.</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La remisión de retorno o contrarremisión hacia una institución de mediana complejidad u origen local se efectúa en estricta articulación institucional, asegurando un egreso seguro acorde al protocolo de la red del territorio.</w:t>
      </w:r>
    </w:p>
    <w:p w:rsidR="00000000" w:rsidDel="00000000" w:rsidP="00000000" w:rsidRDefault="00000000" w:rsidRPr="00000000" w14:paraId="0000002F">
      <w:pPr>
        <w:pStyle w:val="Heading1"/>
        <w:rPr/>
      </w:pPr>
      <w:r w:rsidDel="00000000" w:rsidR="00000000" w:rsidRPr="00000000">
        <w:rPr>
          <w:rtl w:val="0"/>
        </w:rPr>
        <w:t xml:space="preserve">12. Flujo Operativo en Tele-UCI</w:t>
      </w:r>
    </w:p>
    <w:tbl>
      <w:tblPr>
        <w:tblStyle w:val="Table1"/>
        <w:tblW w:w="8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9"/>
        <w:gridCol w:w="2209"/>
        <w:gridCol w:w="2209"/>
        <w:gridCol w:w="2209"/>
        <w:tblGridChange w:id="0">
          <w:tblGrid>
            <w:gridCol w:w="2209"/>
            <w:gridCol w:w="2209"/>
            <w:gridCol w:w="2209"/>
            <w:gridCol w:w="2209"/>
          </w:tblGrid>
        </w:tblGridChange>
      </w:tblGrid>
      <w:tr>
        <w:trPr>
          <w:cantSplit w:val="0"/>
          <w:tblHeader w:val="0"/>
        </w:trPr>
        <w:tc>
          <w:tcPr/>
          <w:p w:rsidR="00000000" w:rsidDel="00000000" w:rsidP="00000000" w:rsidRDefault="00000000" w:rsidRPr="00000000" w14:paraId="00000030">
            <w:pPr>
              <w:rPr/>
            </w:pPr>
            <w:r w:rsidDel="00000000" w:rsidR="00000000" w:rsidRPr="00000000">
              <w:rPr>
                <w:b w:val="1"/>
                <w:bCs w:val="1"/>
                <w:sz w:val="24"/>
                <w:szCs w:val="24"/>
                <w:rtl w:val="0"/>
              </w:rPr>
              <w:t xml:space="preserve">Etapa</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1"/>
                <w:bCs w:val="1"/>
                <w:sz w:val="24"/>
                <w:szCs w:val="24"/>
                <w:rtl w:val="0"/>
              </w:rPr>
              <w:t xml:space="preserve">Actividad</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1"/>
                <w:bCs w:val="1"/>
                <w:sz w:val="24"/>
                <w:szCs w:val="24"/>
                <w:rtl w:val="0"/>
              </w:rPr>
              <w:t xml:space="preserve">Responsable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1"/>
                <w:bCs w:val="1"/>
                <w:sz w:val="24"/>
                <w:szCs w:val="24"/>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sz w:val="24"/>
                <w:szCs w:val="24"/>
                <w:rtl w:val="0"/>
              </w:rPr>
              <w:t xml:space="preserve">1. Identificación y triage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24"/>
                <w:szCs w:val="24"/>
                <w:rtl w:val="0"/>
              </w:rPr>
              <w:t xml:space="preserve">Aplicación de los criterios de ingreso y activación de la línea de soporte; triage para la valoración sincrónica.</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24"/>
                <w:szCs w:val="24"/>
                <w:rtl w:val="0"/>
              </w:rPr>
              <w:t xml:space="preserve">Intensivista/médico local / Gestor de casos</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24"/>
                <w:szCs w:val="24"/>
                <w:rtl w:val="0"/>
              </w:rPr>
              <w:t xml:space="preserve">Atención presencial; contacto por la plataforma institucional.</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sz w:val="24"/>
                <w:szCs w:val="24"/>
                <w:rtl w:val="0"/>
              </w:rPr>
              <w:t xml:space="preserve">2. Valoración sincrónica</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24"/>
                <w:szCs w:val="24"/>
                <w:rtl w:val="0"/>
              </w:rPr>
              <w:t xml:space="preserve">Valoración a distancia y definición de la necesidad de traslado a mayor complejidad.</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24"/>
                <w:szCs w:val="24"/>
                <w:rtl w:val="0"/>
              </w:rPr>
              <w:t xml:space="preserve">Profesional experto (HUN)</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24"/>
                <w:szCs w:val="24"/>
                <w:rtl w:val="0"/>
              </w:rPr>
              <w:t xml:space="preserve">Videoconferencia; registro en historia clínica.</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24"/>
                <w:szCs w:val="24"/>
                <w:rtl w:val="0"/>
              </w:rPr>
              <w:t xml:space="preserve">3. Alerta y trámite</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24"/>
                <w:szCs w:val="24"/>
                <w:rtl w:val="0"/>
              </w:rPr>
              <w:t xml:space="preserve">Alerta formal al sistema de referencia y contrarreferencia de la EPS para iniciar el traslado.</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24"/>
                <w:szCs w:val="24"/>
                <w:rtl w:val="0"/>
              </w:rPr>
              <w:t xml:space="preserve">Profesional experto / Gestor de casos</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24"/>
                <w:szCs w:val="24"/>
                <w:rtl w:val="0"/>
              </w:rPr>
              <w:t xml:space="preserve">Sistema de referencia y contrarreferencia.</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sz w:val="24"/>
                <w:szCs w:val="24"/>
                <w:rtl w:val="0"/>
              </w:rPr>
              <w:t xml:space="preserve">4. Soporte durante el traslado</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24"/>
                <w:szCs w:val="24"/>
                <w:rtl w:val="0"/>
              </w:rPr>
              <w:t xml:space="preserve">Teleapoyo continuo 24/7 para mantener la estabilidad mientras se gestiona la movilización.</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24"/>
                <w:szCs w:val="24"/>
                <w:rtl w:val="0"/>
              </w:rPr>
              <w:t xml:space="preserve">Equipo interdisciplinario (HUN)</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24"/>
                <w:szCs w:val="24"/>
                <w:rtl w:val="0"/>
              </w:rPr>
              <w:t xml:space="preserve">Comunicación permanente.</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sz w:val="24"/>
                <w:szCs w:val="24"/>
                <w:rtl w:val="0"/>
              </w:rPr>
              <w:t xml:space="preserve">5. Egreso y contrarreferencia</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24"/>
                <w:szCs w:val="24"/>
                <w:rtl w:val="0"/>
              </w:rPr>
              <w:t xml:space="preserve">Activación del egreso y contrarremisión segura al centro de origen.</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24"/>
                <w:szCs w:val="24"/>
                <w:rtl w:val="0"/>
              </w:rPr>
              <w:t xml:space="preserve">Equipo tratante / Profesional experto</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24"/>
                <w:szCs w:val="24"/>
                <w:rtl w:val="0"/>
              </w:rPr>
              <w:t xml:space="preserve">Articulación institucional; historia clínica.</w:t>
            </w:r>
            <w:r w:rsidDel="00000000" w:rsidR="00000000" w:rsidRPr="00000000">
              <w:rPr>
                <w:rtl w:val="0"/>
              </w:rPr>
            </w:r>
          </w:p>
        </w:tc>
      </w:tr>
    </w:tbl>
    <w:p w:rsidR="00000000" w:rsidDel="00000000" w:rsidP="00000000" w:rsidRDefault="00000000" w:rsidRPr="00000000" w14:paraId="00000048">
      <w:pPr>
        <w:pStyle w:val="Heading1"/>
        <w:rPr/>
      </w:pPr>
      <w:r w:rsidDel="00000000" w:rsidR="00000000" w:rsidRPr="00000000">
        <w:rPr>
          <w:rtl w:val="0"/>
        </w:rPr>
        <w:t xml:space="preserve">13. Roles y Responsabilidades</w:t>
      </w:r>
    </w:p>
    <w:p w:rsidR="00000000" w:rsidDel="00000000" w:rsidP="00000000" w:rsidRDefault="00000000" w:rsidRPr="00000000" w14:paraId="00000049">
      <w:pPr>
        <w:jc w:val="both"/>
        <w:rPr/>
      </w:pPr>
      <w:r w:rsidDel="00000000" w:rsidR="00000000" w:rsidRPr="00000000">
        <w:rPr>
          <w:b w:val="1"/>
          <w:bCs w:val="1"/>
          <w:rtl w:val="0"/>
        </w:rPr>
        <w:t xml:space="preserve">Institución remisora (hospital territorial)</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Aplica los criterios de ingreso, activa el soporte a distancia y ejecuta el traslado físico junto con la aseguradora.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Documenta la valoración y la evolución.</w:t>
      </w:r>
    </w:p>
    <w:p w:rsidR="00000000" w:rsidDel="00000000" w:rsidP="00000000" w:rsidRDefault="00000000" w:rsidRPr="00000000" w14:paraId="0000004C">
      <w:pPr>
        <w:jc w:val="both"/>
        <w:rPr/>
      </w:pPr>
      <w:r w:rsidDel="00000000" w:rsidR="00000000" w:rsidRPr="00000000">
        <w:rPr>
          <w:b w:val="1"/>
          <w:bCs w:val="1"/>
          <w:rtl w:val="0"/>
        </w:rPr>
        <w:t xml:space="preserve">Profesional experto / Equipo interdisciplinario (HUN)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Realiza la valoración sincrónica, define la necesidad de traslado, genera la alerta y brinda el teleapoyo continuo.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Coordina la priorización del traslado y la contrarreferencia.</w:t>
      </w:r>
    </w:p>
    <w:p w:rsidR="00000000" w:rsidDel="00000000" w:rsidP="00000000" w:rsidRDefault="00000000" w:rsidRPr="00000000" w14:paraId="0000004F">
      <w:pPr>
        <w:jc w:val="both"/>
        <w:rPr/>
      </w:pPr>
      <w:r w:rsidDel="00000000" w:rsidR="00000000" w:rsidRPr="00000000">
        <w:rPr>
          <w:b w:val="1"/>
          <w:bCs w:val="1"/>
          <w:rtl w:val="0"/>
        </w:rPr>
        <w:t xml:space="preserve">EPS / Aseguradora</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Inicia los trámites administrativos y logísticos del traslado de manera oportuna.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Actores de soporte: personal administrativo y tecnológico y gestor de casos que garantizan la operación, la trazabilidad y la coordinación.</w:t>
      </w:r>
    </w:p>
    <w:p w:rsidR="00000000" w:rsidDel="00000000" w:rsidP="00000000" w:rsidRDefault="00000000" w:rsidRPr="00000000" w14:paraId="00000052">
      <w:pPr>
        <w:pStyle w:val="Heading1"/>
        <w:rPr/>
      </w:pPr>
      <w:r w:rsidDel="00000000" w:rsidR="00000000" w:rsidRPr="00000000">
        <w:rPr>
          <w:rtl w:val="0"/>
        </w:rPr>
        <w:t xml:space="preserve">14. Tiempos de Respuesta</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 crítico con necesidad de valoración para remisión: respuesta inmediata; valoración sincrónica y, de ser necesaria, alerta de traslado sin diferir la atención.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Soporte durante la gestión del traslado: acompañamiento continuo 24/7.</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Gestiones de contrarreferencia no urgentes: según la articulación de la red.</w:t>
      </w:r>
    </w:p>
    <w:p w:rsidR="00000000" w:rsidDel="00000000" w:rsidP="00000000" w:rsidRDefault="00000000" w:rsidRPr="00000000" w14:paraId="00000056">
      <w:pPr>
        <w:pStyle w:val="Heading1"/>
        <w:rPr/>
      </w:pPr>
      <w:r w:rsidDel="00000000" w:rsidR="00000000" w:rsidRPr="00000000">
        <w:rPr>
          <w:rtl w:val="0"/>
        </w:rPr>
        <w:t xml:space="preserve">15. Estrategias de Humanización Digital y Diálogo Intercultural</w:t>
      </w:r>
    </w:p>
    <w:p w:rsidR="00000000" w:rsidDel="00000000" w:rsidP="00000000" w:rsidRDefault="00000000" w:rsidRPr="00000000" w14:paraId="00000057">
      <w:pPr>
        <w:jc w:val="both"/>
        <w:rPr/>
      </w:pPr>
      <w:r w:rsidDel="00000000" w:rsidR="00000000" w:rsidRPr="00000000">
        <w:rPr>
          <w:rtl w:val="0"/>
        </w:rPr>
        <w:t xml:space="preserve">El proceso debe preservar el trato digno y la comunicación empática con el paciente y la familia, en especial en las decisiones de traslado, cuidados paliativos o fin de vida. Se emplea un lenguaje claro y sencillo, se respeta la diversidad cultural y lingüística de los territorios y se garantiza la confidencialidad y la información oportuna sobre el destino y la continuidad del manejo.</w:t>
      </w:r>
    </w:p>
    <w:p w:rsidR="00000000" w:rsidDel="00000000" w:rsidP="00000000" w:rsidRDefault="00000000" w:rsidRPr="00000000" w14:paraId="00000058">
      <w:pPr>
        <w:pStyle w:val="Heading1"/>
        <w:rPr/>
      </w:pPr>
      <w:r w:rsidDel="00000000" w:rsidR="00000000" w:rsidRPr="00000000">
        <w:rPr>
          <w:rtl w:val="0"/>
        </w:rPr>
        <w:t xml:space="preserve">16. Indicadores de Calidad y Seguimiento</w:t>
      </w:r>
    </w:p>
    <w:tbl>
      <w:tblPr>
        <w:tblStyle w:val="Table2"/>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6"/>
        <w:gridCol w:w="2946"/>
        <w:gridCol w:w="2946"/>
        <w:tblGridChange w:id="0">
          <w:tblGrid>
            <w:gridCol w:w="2946"/>
            <w:gridCol w:w="2946"/>
            <w:gridCol w:w="2946"/>
          </w:tblGrid>
        </w:tblGridChange>
      </w:tblGrid>
      <w:tr>
        <w:trPr>
          <w:cantSplit w:val="0"/>
          <w:tblHeader w:val="0"/>
        </w:trPr>
        <w:tc>
          <w:tcPr/>
          <w:p w:rsidR="00000000" w:rsidDel="00000000" w:rsidP="00000000" w:rsidRDefault="00000000" w:rsidRPr="00000000" w14:paraId="00000059">
            <w:pPr>
              <w:rPr/>
            </w:pPr>
            <w:r w:rsidDel="00000000" w:rsidR="00000000" w:rsidRPr="00000000">
              <w:rPr>
                <w:b w:val="1"/>
                <w:bCs w:val="1"/>
                <w:sz w:val="24"/>
                <w:szCs w:val="24"/>
                <w:rtl w:val="0"/>
              </w:rPr>
              <w:t xml:space="preserve">Indicador</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1"/>
                <w:bCs w:val="1"/>
                <w:sz w:val="24"/>
                <w:szCs w:val="24"/>
                <w:rtl w:val="0"/>
              </w:rPr>
              <w:t xml:space="preserve">Definición</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1"/>
                <w:bCs w:val="1"/>
                <w:sz w:val="24"/>
                <w:szCs w:val="24"/>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sz w:val="24"/>
                <w:szCs w:val="24"/>
                <w:rtl w:val="0"/>
              </w:rPr>
              <w:t xml:space="preserve">Oportunidad de la valoración</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24"/>
                <w:szCs w:val="24"/>
                <w:rtl w:val="0"/>
              </w:rPr>
              <w:t xml:space="preserve">% de solicitudes de valoración para remisión atendidas de forma inmediata.</w:t>
            </w:r>
            <w:r w:rsidDel="00000000" w:rsidR="00000000" w:rsidRPr="00000000">
              <w:rPr>
                <w:rtl w:val="0"/>
              </w:rPr>
            </w:r>
          </w:p>
        </w:tc>
        <w:tc>
          <w:tcPr/>
          <w:p w:rsidR="00000000" w:rsidDel="00000000" w:rsidP="00000000" w:rsidRDefault="00000000" w:rsidRPr="00000000" w14:paraId="0000005E">
            <w:pPr>
              <w:rPr/>
            </w:pPr>
            <w:sdt>
              <w:sdtPr>
                <w:id w:val="-1859132886"/>
                <w:tag w:val="goog_rdk_0"/>
              </w:sdtPr>
              <w:sdtContent>
                <w:r w:rsidDel="00000000" w:rsidR="00000000" w:rsidRPr="00000000">
                  <w:rPr>
                    <w:rFonts w:ascii="Arial Unicode MS" w:cs="Arial Unicode MS" w:eastAsia="Arial Unicode MS" w:hAnsi="Arial Unicode MS"/>
                    <w:sz w:val="24"/>
                    <w:szCs w:val="24"/>
                    <w:rtl w:val="0"/>
                  </w:rPr>
                  <w:t xml:space="preserve">≥ 95 %</w:t>
                </w:r>
              </w:sdtContent>
            </w:sdt>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sz w:val="24"/>
                <w:szCs w:val="24"/>
                <w:rtl w:val="0"/>
              </w:rPr>
              <w:t xml:space="preserve">Alerta oportuna a la EPS</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24"/>
                <w:szCs w:val="24"/>
                <w:rtl w:val="0"/>
              </w:rPr>
              <w:t xml:space="preserve">% de casos con alerta al sistema de referencia generada de forma oportuna.</w:t>
            </w:r>
            <w:r w:rsidDel="00000000" w:rsidR="00000000" w:rsidRPr="00000000">
              <w:rPr>
                <w:rtl w:val="0"/>
              </w:rPr>
            </w:r>
          </w:p>
        </w:tc>
        <w:tc>
          <w:tcPr/>
          <w:p w:rsidR="00000000" w:rsidDel="00000000" w:rsidP="00000000" w:rsidRDefault="00000000" w:rsidRPr="00000000" w14:paraId="00000061">
            <w:pPr>
              <w:rPr/>
            </w:pPr>
            <w:sdt>
              <w:sdtPr>
                <w:id w:val="430585793"/>
                <w:tag w:val="goog_rdk_1"/>
              </w:sdtPr>
              <w:sdtContent>
                <w:r w:rsidDel="00000000" w:rsidR="00000000" w:rsidRPr="00000000">
                  <w:rPr>
                    <w:rFonts w:ascii="Arial Unicode MS" w:cs="Arial Unicode MS" w:eastAsia="Arial Unicode MS" w:hAnsi="Arial Unicode MS"/>
                    <w:sz w:val="24"/>
                    <w:szCs w:val="24"/>
                    <w:rtl w:val="0"/>
                  </w:rPr>
                  <w:t xml:space="preserve">≥ 90 %</w:t>
                </w:r>
              </w:sdtContent>
            </w:sdt>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sz w:val="24"/>
                <w:szCs w:val="24"/>
                <w:rtl w:val="0"/>
              </w:rPr>
              <w:t xml:space="preserve">Priorización del traslado</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24"/>
                <w:szCs w:val="24"/>
                <w:rtl w:val="0"/>
              </w:rPr>
              <w:t xml:space="preserve">% de pacientes con traslado priorizado al HUN según convenios y disponibilidad.</w:t>
            </w:r>
            <w:r w:rsidDel="00000000" w:rsidR="00000000" w:rsidRPr="00000000">
              <w:rPr>
                <w:rtl w:val="0"/>
              </w:rPr>
            </w:r>
          </w:p>
        </w:tc>
        <w:tc>
          <w:tcPr/>
          <w:p w:rsidR="00000000" w:rsidDel="00000000" w:rsidP="00000000" w:rsidRDefault="00000000" w:rsidRPr="00000000" w14:paraId="00000064">
            <w:pPr>
              <w:rPr/>
            </w:pPr>
            <w:sdt>
              <w:sdtPr>
                <w:id w:val="-2054335593"/>
                <w:tag w:val="goog_rdk_2"/>
              </w:sdtPr>
              <w:sdtContent>
                <w:r w:rsidDel="00000000" w:rsidR="00000000" w:rsidRPr="00000000">
                  <w:rPr>
                    <w:rFonts w:ascii="Arial Unicode MS" w:cs="Arial Unicode MS" w:eastAsia="Arial Unicode MS" w:hAnsi="Arial Unicode MS"/>
                    <w:sz w:val="24"/>
                    <w:szCs w:val="24"/>
                    <w:rtl w:val="0"/>
                  </w:rPr>
                  <w:t xml:space="preserve">≥ 85 %</w:t>
                </w:r>
              </w:sdtContent>
            </w:sdt>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sz w:val="24"/>
                <w:szCs w:val="24"/>
                <w:rtl w:val="0"/>
              </w:rPr>
              <w:t xml:space="preserve">Soporte continuo</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24"/>
                <w:szCs w:val="24"/>
                <w:rtl w:val="0"/>
              </w:rPr>
              <w:t xml:space="preserve">% de pacientes con teleapoyo documentado durante la gestión del traslado.</w:t>
            </w:r>
            <w:r w:rsidDel="00000000" w:rsidR="00000000" w:rsidRPr="00000000">
              <w:rPr>
                <w:rtl w:val="0"/>
              </w:rPr>
            </w:r>
          </w:p>
        </w:tc>
        <w:tc>
          <w:tcPr/>
          <w:p w:rsidR="00000000" w:rsidDel="00000000" w:rsidP="00000000" w:rsidRDefault="00000000" w:rsidRPr="00000000" w14:paraId="00000067">
            <w:pPr>
              <w:rPr/>
            </w:pPr>
            <w:sdt>
              <w:sdtPr>
                <w:id w:val="940572136"/>
                <w:tag w:val="goog_rdk_3"/>
              </w:sdtPr>
              <w:sdtContent>
                <w:r w:rsidDel="00000000" w:rsidR="00000000" w:rsidRPr="00000000">
                  <w:rPr>
                    <w:rFonts w:ascii="Arial Unicode MS" w:cs="Arial Unicode MS" w:eastAsia="Arial Unicode MS" w:hAnsi="Arial Unicode MS"/>
                    <w:sz w:val="24"/>
                    <w:szCs w:val="24"/>
                    <w:rtl w:val="0"/>
                  </w:rPr>
                  <w:t xml:space="preserve">≥ 90 %</w:t>
                </w:r>
              </w:sdtContent>
            </w:sdt>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sz w:val="24"/>
                <w:szCs w:val="24"/>
                <w:rtl w:val="0"/>
              </w:rPr>
              <w:t xml:space="preserve">Contrarreferencia segura</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24"/>
                <w:szCs w:val="24"/>
                <w:rtl w:val="0"/>
              </w:rPr>
              <w:t xml:space="preserve">% de egresos con contrarreferencia articulada con la red de origen.</w:t>
            </w:r>
            <w:r w:rsidDel="00000000" w:rsidR="00000000" w:rsidRPr="00000000">
              <w:rPr>
                <w:rtl w:val="0"/>
              </w:rPr>
            </w:r>
          </w:p>
        </w:tc>
        <w:tc>
          <w:tcPr/>
          <w:p w:rsidR="00000000" w:rsidDel="00000000" w:rsidP="00000000" w:rsidRDefault="00000000" w:rsidRPr="00000000" w14:paraId="0000006A">
            <w:pPr>
              <w:rPr/>
            </w:pPr>
            <w:sdt>
              <w:sdtPr>
                <w:id w:val="699409828"/>
                <w:tag w:val="goog_rdk_4"/>
              </w:sdtPr>
              <w:sdtContent>
                <w:r w:rsidDel="00000000" w:rsidR="00000000" w:rsidRPr="00000000">
                  <w:rPr>
                    <w:rFonts w:ascii="Arial Unicode MS" w:cs="Arial Unicode MS" w:eastAsia="Arial Unicode MS" w:hAnsi="Arial Unicode MS"/>
                    <w:sz w:val="24"/>
                    <w:szCs w:val="24"/>
                    <w:rtl w:val="0"/>
                  </w:rPr>
                  <w:t xml:space="preserve">≥ 90 %</w:t>
                </w:r>
              </w:sdtContent>
            </w:sdt>
            <w:r w:rsidDel="00000000" w:rsidR="00000000" w:rsidRPr="00000000">
              <w:rPr>
                <w:rtl w:val="0"/>
              </w:rPr>
            </w:r>
          </w:p>
        </w:tc>
      </w:tr>
    </w:tbl>
    <w:p w:rsidR="00000000" w:rsidDel="00000000" w:rsidP="00000000" w:rsidRDefault="00000000" w:rsidRPr="00000000" w14:paraId="0000006B">
      <w:pPr>
        <w:pStyle w:val="Heading1"/>
        <w:rPr/>
      </w:pPr>
      <w:r w:rsidDel="00000000" w:rsidR="00000000" w:rsidRPr="00000000">
        <w:rPr>
          <w:rtl w:val="0"/>
        </w:rPr>
        <w:t xml:space="preserve">17. Bibliografía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Hospital Universitario Nacional de Colombia (HUN). Protocolo de atención de tele-UCI. Bogotá: HUN. (Documento del cual se deriva y con el cual se alinea el presente protocolo).</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Ministerio de Salud y Protección Social. Resolución 2654 de 2019. Bogotá: MinSalud; 2019.</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Ministerio de Salud y Protección Social. Resolución 3100 de 2019. Bogotá: MinSalud; 2019.</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Congreso de la República. Ley 1419 de 2010. Bogotá; 2010.</w:t>
      </w:r>
    </w:p>
    <w:p w:rsidR="00000000" w:rsidDel="00000000" w:rsidP="00000000" w:rsidRDefault="00000000" w:rsidRPr="00000000" w14:paraId="00000070">
      <w:pPr>
        <w:pStyle w:val="Heading1"/>
        <w:rPr/>
      </w:pPr>
      <w:r w:rsidDel="00000000" w:rsidR="00000000" w:rsidRPr="00000000">
        <w:rPr>
          <w:rtl w:val="0"/>
        </w:rPr>
        <w:t xml:space="preserve">18. Responsables</w:t>
      </w:r>
    </w:p>
    <w:p w:rsidR="00000000" w:rsidDel="00000000" w:rsidP="00000000" w:rsidRDefault="00000000" w:rsidRPr="00000000" w14:paraId="00000071">
      <w:pPr>
        <w:rPr/>
      </w:pPr>
      <w:r w:rsidDel="00000000" w:rsidR="00000000" w:rsidRPr="00000000">
        <w:rPr>
          <w:b w:val="1"/>
          <w:bCs w:val="1"/>
          <w:rtl w:val="0"/>
        </w:rPr>
        <w:t xml:space="preserve">REALIZA:</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75">
          <w:pPr>
            <w:spacing w:after="160" w:lineRule="auto"/>
            <w:jc w:val="center"/>
            <w:rPr>
              <w:b w:val="1"/>
              <w:bCs w:val="1"/>
              <w:sz w:val="28"/>
              <w:szCs w:val="28"/>
            </w:rPr>
          </w:pPr>
          <w:r w:rsidDel="00000000" w:rsidR="00000000" w:rsidRPr="00000000">
            <w:rPr>
              <w:b w:val="1"/>
              <w:bCs w:val="1"/>
              <w:sz w:val="28"/>
              <w:szCs w:val="28"/>
              <w:rtl w:val="0"/>
            </w:rPr>
            <w:t xml:space="preserve">CRITERIOS DE REMISIÓN Y CONTRARREFERENCIA (MEDIANA Y ALTA COMPLEJIDAD)</w:t>
          </w:r>
        </w:p>
      </w:tc>
    </w:tr>
    <w:tr>
      <w:trPr>
        <w:cantSplit w:val="0"/>
        <w:trHeight w:val="278" w:hRule="atLeast"/>
        <w:tblHeader w:val="0"/>
      </w:trPr>
      <w:tc>
        <w:tcPr>
          <w:vMerge w:val="continue"/>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Arial" w:cs="Arial" w:eastAsia="Arial" w:hAnsi="Arial"/>
      <w:b w:val="1"/>
      <w:bCs w:val="1"/>
      <w:color w:val="000000"/>
      <w:sz w:val="32"/>
      <w:szCs w:val="32"/>
    </w:rPr>
  </w:style>
  <w:style w:type="paragraph" w:styleId="Heading2">
    <w:name w:val="heading 2"/>
    <w:basedOn w:val="Normal"/>
    <w:next w:val="Normal"/>
    <w:pPr>
      <w:keepNext w:val="1"/>
      <w:keepLines w:val="1"/>
      <w:spacing w:after="0" w:before="40" w:lineRule="auto"/>
    </w:pPr>
    <w:rPr>
      <w:rFonts w:ascii="Arial" w:cs="Arial" w:eastAsia="Arial" w:hAnsi="Arial"/>
      <w:b w:val="1"/>
      <w:bCs w:val="1"/>
      <w:color w:val="000000"/>
      <w:sz w:val="28"/>
      <w:szCs w:val="28"/>
    </w:rPr>
  </w:style>
  <w:style w:type="paragraph" w:styleId="Heading3">
    <w:name w:val="heading 3"/>
    <w:basedOn w:val="Normal"/>
    <w:next w:val="Normal"/>
    <w:pPr>
      <w:keepNext w:val="1"/>
      <w:keepLines w:val="1"/>
      <w:spacing w:after="0" w:before="40" w:lineRule="auto"/>
    </w:pPr>
    <w:rPr>
      <w:rFonts w:ascii="Arial" w:cs="Arial" w:eastAsia="Arial" w:hAnsi="Arial"/>
      <w:b w:val="1"/>
      <w:bCs w:val="1"/>
      <w:color w:val="000000"/>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MVSuTnxeB/rOGL3XNpvAAadVuw==">CgMxLjAaHQoBMBIYChYIB0ISEhBBcmlhbCBVbmljb2RlIE1TGh0KATESGAoWCAdCEhIQQXJpYWwgVW5pY29kZSBNUxodCgEyEhgKFggHQhISEEFyaWFsIFVuaWNvZGUgTVMaHQoBMxIYChYIB0ISEhBBcmlhbCBVbmljb2RlIE1TGh0KATQSGAoWCAdCEhIQQXJpYWwgVW5pY29kZSBNUzgAciExNUxabUoxVG03OUZfanRBd0xLZU1ya3VRRThWdC1lTEs=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