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sz w:val="22"/>
          <w:szCs w:val="22"/>
          <w:rtl w:val="0"/>
        </w:rPr>
        <w:t xml:space="preserve">1. Introducción</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La elevación severa de la presión arterial es un motivo frecuente de consulta y una situación en la que la decisión clínica oportuna determina el pronóstico. La nomenclatura tradicional que distinguía entre &amp;quot;urgencia </w:t>
      </w:r>
      <w:r w:rsidDel="00000000" w:rsidR="00000000" w:rsidRPr="00000000">
        <w:rPr>
          <w:sz w:val="22"/>
          <w:szCs w:val="22"/>
          <w:rtl w:val="0"/>
        </w:rPr>
        <w:t xml:space="preserve">hipertensiva</w:t>
      </w:r>
      <w:r w:rsidDel="00000000" w:rsidR="00000000" w:rsidRPr="00000000">
        <w:rPr>
          <w:sz w:val="22"/>
          <w:szCs w:val="22"/>
          <w:rtl w:val="0"/>
        </w:rPr>
        <w:t xml:space="preserve">; emergencia </w:t>
      </w:r>
      <w:r w:rsidDel="00000000" w:rsidR="00000000" w:rsidRPr="00000000">
        <w:rPr>
          <w:sz w:val="22"/>
          <w:szCs w:val="22"/>
          <w:rtl w:val="0"/>
        </w:rPr>
        <w:t xml:space="preserve">hipertensiva</w:t>
      </w:r>
      <w:r w:rsidDel="00000000" w:rsidR="00000000" w:rsidRPr="00000000">
        <w:rPr>
          <w:sz w:val="22"/>
          <w:szCs w:val="22"/>
          <w:rtl w:val="0"/>
        </w:rPr>
        <w:t xml:space="preserve">; ha sido revisada: el término &amp;quot;urgencia </w:t>
      </w:r>
      <w:r w:rsidDel="00000000" w:rsidR="00000000" w:rsidRPr="00000000">
        <w:rPr>
          <w:sz w:val="22"/>
          <w:szCs w:val="22"/>
          <w:rtl w:val="0"/>
        </w:rPr>
        <w:t xml:space="preserve">hipertensiva&amp;quot</w:t>
      </w:r>
      <w:r w:rsidDel="00000000" w:rsidR="00000000" w:rsidRPr="00000000">
        <w:rPr>
          <w:sz w:val="22"/>
          <w:szCs w:val="22"/>
          <w:rtl w:val="0"/>
        </w:rPr>
        <w:t xml:space="preserve">; se ha retirado y se reemplaza por el de hipertensión elevada asintomática, mientras que se reserva el concepto de emergencia hipertensiva para la elevación severa de la presión arterial asociada a daño agudo de órgano blanco. Este protocolo se alinea con esa nueva nomenclatura.</w:t>
      </w:r>
    </w:p>
    <w:p w:rsidR="00000000" w:rsidDel="00000000" w:rsidP="00000000" w:rsidRDefault="00000000" w:rsidRPr="00000000" w14:paraId="00000003">
      <w:pPr>
        <w:jc w:val="both"/>
        <w:rPr>
          <w:sz w:val="22"/>
          <w:szCs w:val="22"/>
        </w:rPr>
      </w:pPr>
      <w:sdt>
        <w:sdtPr>
          <w:id w:val="284677320"/>
          <w:tag w:val="goog_rdk_0"/>
        </w:sdtPr>
        <w:sdtContent>
          <w:r w:rsidDel="00000000" w:rsidR="00000000" w:rsidRPr="00000000">
            <w:rPr>
              <w:rFonts w:ascii="Arial Unicode MS" w:cs="Arial Unicode MS" w:eastAsia="Arial Unicode MS" w:hAnsi="Arial Unicode MS"/>
              <w:sz w:val="22"/>
              <w:szCs w:val="22"/>
              <w:rtl w:val="0"/>
            </w:rPr>
            <w:t xml:space="preserve">La hipertensión elevada asintomática se define como una presión arterial sistólica (PAS) ≥ 180 mmHg o diastólica (PAD) ≥ 120 mmHg sin signos ni síntomas de daño agudo de órgano blanco; en cambio, la emergencia hipertensiva corresponde a una elevación severa (PAS &gt; 180 mmHg y/o PAD &gt; 120 mmHg) con evidencia de daño agudo en cerebro, corazón, riñones o grandes vasos.</w:t>
          </w:r>
        </w:sdtContent>
      </w:sdt>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La distinción es clínicamente determinante: la hipertensión elevada asintomática se maneja de forma ambulatoria con antihipertensivos orales y una reducción gradual en 24 a 48 horas, mientras que la emergencia hipertensiva requiere ingreso a una unidad de cuidados intensivos y tratamiento intravenoso inmediato, con metas que dependen del órgano afectado. Reconocer tempranamente cuál de las dos situaciones cursa el paciente es el eje de la atención.</w:t>
      </w:r>
    </w:p>
    <w:p w:rsidR="00000000" w:rsidDel="00000000" w:rsidP="00000000" w:rsidRDefault="00000000" w:rsidRPr="00000000" w14:paraId="00000005">
      <w:pPr>
        <w:jc w:val="both"/>
        <w:rPr>
          <w:sz w:val="22"/>
          <w:szCs w:val="22"/>
        </w:rPr>
      </w:pPr>
      <w:r w:rsidDel="00000000" w:rsidR="00000000" w:rsidRPr="00000000">
        <w:rPr>
          <w:sz w:val="22"/>
          <w:szCs w:val="22"/>
          <w:rtl w:val="0"/>
        </w:rPr>
        <w:t xml:space="preserve">En este contexto, la </w:t>
      </w:r>
      <w:r w:rsidDel="00000000" w:rsidR="00000000" w:rsidRPr="00000000">
        <w:rPr>
          <w:sz w:val="22"/>
          <w:szCs w:val="22"/>
          <w:rtl w:val="0"/>
        </w:rPr>
        <w:t xml:space="preserve">teleexperticia</w:t>
      </w:r>
      <w:r w:rsidDel="00000000" w:rsidR="00000000" w:rsidRPr="00000000">
        <w:rPr>
          <w:sz w:val="22"/>
          <w:szCs w:val="22"/>
          <w:rtl w:val="0"/>
        </w:rPr>
        <w:t xml:space="preserve"> permite acercar el criterio del experto al primer nivel de atención, apoyar la diferenciación entre ambas entidades, orientar el manejo y definir la remisión de los pacientes con daño de órgano blanco, sin diferir la atención de una emergencia.</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Este protocolo orienta la atención por telesalud de la elevación severa de la presión arterial en el primer nivel y no sustituye el juicio clínico individual ni las guías vigentes, que prevalecen en caso de discrepancia.</w:t>
      </w:r>
    </w:p>
    <w:p w:rsidR="00000000" w:rsidDel="00000000" w:rsidP="00000000" w:rsidRDefault="00000000" w:rsidRPr="00000000" w14:paraId="00000007">
      <w:pPr>
        <w:pStyle w:val="Heading1"/>
        <w:rPr>
          <w:sz w:val="22"/>
          <w:szCs w:val="22"/>
        </w:rPr>
      </w:pPr>
      <w:r w:rsidDel="00000000" w:rsidR="00000000" w:rsidRPr="00000000">
        <w:rPr>
          <w:sz w:val="22"/>
          <w:szCs w:val="22"/>
          <w:rtl w:val="0"/>
        </w:rPr>
        <w:t xml:space="preserve">2. Objetivo General</w:t>
      </w:r>
    </w:p>
    <w:p w:rsidR="00000000" w:rsidDel="00000000" w:rsidP="00000000" w:rsidRDefault="00000000" w:rsidRPr="00000000" w14:paraId="00000008">
      <w:pPr>
        <w:jc w:val="both"/>
        <w:rPr>
          <w:sz w:val="22"/>
          <w:szCs w:val="22"/>
        </w:rPr>
      </w:pPr>
      <w:r w:rsidDel="00000000" w:rsidR="00000000" w:rsidRPr="00000000">
        <w:rPr>
          <w:sz w:val="22"/>
          <w:szCs w:val="22"/>
          <w:rtl w:val="0"/>
        </w:rPr>
        <w:t xml:space="preserve">Estandarizar la atención por </w:t>
      </w:r>
      <w:r w:rsidDel="00000000" w:rsidR="00000000" w:rsidRPr="00000000">
        <w:rPr>
          <w:sz w:val="22"/>
          <w:szCs w:val="22"/>
          <w:rtl w:val="0"/>
        </w:rPr>
        <w:t xml:space="preserve">teleexperticia</w:t>
      </w:r>
      <w:r w:rsidDel="00000000" w:rsidR="00000000" w:rsidRPr="00000000">
        <w:rPr>
          <w:sz w:val="22"/>
          <w:szCs w:val="22"/>
          <w:rtl w:val="0"/>
        </w:rPr>
        <w:t xml:space="preserve"> de los pacientes con elevación severa de la presión arterial, articulando al primer nivel de atención con el profesional experto para favorecer la diferenciación entre la hipertensión elevada asintomática y la emergencia hipertensiva, el manejo oportuno y la definición de la remisión, con el fin de reducir la morbimortalidad prevenible.</w:t>
      </w:r>
    </w:p>
    <w:p w:rsidR="00000000" w:rsidDel="00000000" w:rsidP="00000000" w:rsidRDefault="00000000" w:rsidRPr="00000000" w14:paraId="00000009">
      <w:pPr>
        <w:pStyle w:val="Heading1"/>
        <w:rPr>
          <w:sz w:val="22"/>
          <w:szCs w:val="22"/>
        </w:rPr>
      </w:pPr>
      <w:r w:rsidDel="00000000" w:rsidR="00000000" w:rsidRPr="00000000">
        <w:rPr>
          <w:sz w:val="22"/>
          <w:szCs w:val="22"/>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Ayudar a reconocer si el paciente cursa con una emergencia hipertensiva mediante la identificación de signos y síntomas de daño agudo de órgano blanco.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diferenciación entre hipertensión elevada asintomática y emergencia hipertensiva.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Orientar el manejo ambulatorio con antihipertensivos orales y la reducción gradual en la hipertensión elevada asintomática.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definición de las metas de presión y los fármacos según el órgano afectado en la emergencia hipertensiva.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Definir la remisión prioritaria de los pacientes con daño de órgano blanco a un sitio de mayor nivel de atención.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Reforzar la adherencia al tratamiento antihipertensivo como medida preventiva.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1">
      <w:pPr>
        <w:pStyle w:val="Heading1"/>
        <w:rPr>
          <w:sz w:val="22"/>
          <w:szCs w:val="22"/>
        </w:rPr>
      </w:pPr>
      <w:r w:rsidDel="00000000" w:rsidR="00000000" w:rsidRPr="00000000">
        <w:rPr>
          <w:sz w:val="22"/>
          <w:szCs w:val="22"/>
          <w:rtl w:val="0"/>
        </w:rPr>
        <w:t xml:space="preserve">4. Alcance</w:t>
      </w:r>
    </w:p>
    <w:p w:rsidR="00000000" w:rsidDel="00000000" w:rsidP="00000000" w:rsidRDefault="00000000" w:rsidRPr="00000000" w14:paraId="00000012">
      <w:pPr>
        <w:jc w:val="both"/>
        <w:rPr>
          <w:sz w:val="22"/>
          <w:szCs w:val="22"/>
        </w:rPr>
      </w:pPr>
      <w:r w:rsidDel="00000000" w:rsidR="00000000" w:rsidRPr="00000000">
        <w:rPr>
          <w:sz w:val="22"/>
          <w:szCs w:val="22"/>
          <w:rtl w:val="0"/>
        </w:rPr>
        <w:t xml:space="preserve">Este protocolo aplica a la atención por </w:t>
      </w:r>
      <w:r w:rsidDel="00000000" w:rsidR="00000000" w:rsidRPr="00000000">
        <w:rPr>
          <w:sz w:val="22"/>
          <w:szCs w:val="22"/>
          <w:rtl w:val="0"/>
        </w:rPr>
        <w:t xml:space="preserve">teleexperticia</w:t>
      </w:r>
      <w:r w:rsidDel="00000000" w:rsidR="00000000" w:rsidRPr="00000000">
        <w:rPr>
          <w:sz w:val="22"/>
          <w:szCs w:val="22"/>
          <w:rtl w:val="0"/>
        </w:rPr>
        <w:t xml:space="preserve"> de pacientes adultos con elevación severa de la presión arterial atendidos en los centros reemisores de primer nivel de la red institucional. Cubre la interacción entre el profesional solicitante del primer nivel y el profesional experto del centro referente, en modalidad sincrónica, desde la identificación del caso hasta la definición de la conducta y de la remisión. No reemplaza la atención presencial ni el manejo intrahospitalario de la emergencia hipertensiva, que requiere unidad de cuidados intensivos.</w:t>
      </w:r>
    </w:p>
    <w:p w:rsidR="00000000" w:rsidDel="00000000" w:rsidP="00000000" w:rsidRDefault="00000000" w:rsidRPr="00000000" w14:paraId="00000013">
      <w:pPr>
        <w:pStyle w:val="Heading1"/>
        <w:rPr>
          <w:sz w:val="22"/>
          <w:szCs w:val="22"/>
        </w:rPr>
      </w:pPr>
      <w:r w:rsidDel="00000000" w:rsidR="00000000" w:rsidRPr="00000000">
        <w:rPr>
          <w:sz w:val="22"/>
          <w:szCs w:val="22"/>
          <w:rtl w:val="0"/>
        </w:rPr>
        <w:t xml:space="preserve">5. Marco Normativo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2025 AHA/ACC Guideline para la prevención, detección, evaluación y manejo de la presión arterial elevada en adultos, como marco de referencia.</w:t>
      </w:r>
    </w:p>
    <w:p w:rsidR="00000000" w:rsidDel="00000000" w:rsidP="00000000" w:rsidRDefault="00000000" w:rsidRPr="00000000" w14:paraId="0000001B">
      <w:pPr>
        <w:pStyle w:val="Heading1"/>
        <w:rPr>
          <w:sz w:val="22"/>
          <w:szCs w:val="22"/>
        </w:rPr>
      </w:pPr>
      <w:r w:rsidDel="00000000" w:rsidR="00000000" w:rsidRPr="00000000">
        <w:rPr>
          <w:sz w:val="22"/>
          <w:szCs w:val="22"/>
          <w:rtl w:val="0"/>
        </w:rPr>
        <w:t xml:space="preserve">6. Definiciones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Telesalud: conjunto de actividades relacionadas con la salud prestadas a distancia con el apoyo de las tecnologías de la información y las comunicaciones (TIC).</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relación a distancia, sincrónica o asincrónica, entre dos profesionales de la salud —uno presencial responsable del paciente y otro a distancia que asesora—.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65328397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Hipertensión elevada asintomática: PAS ≥ 180 mmHg o PAD ≥ 120 mmHg sin signos ni síntomas de daño agudo de órgano blanco (término que reemplaza al de &amp;quot;urgencia </w:t>
          </w:r>
        </w:sdtContent>
      </w:sdt>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hipertensiva&amp;quot</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Emergencia hipertensiva: elevación severa de la presión arterial (PAS &gt; 180 mmHg y/o PAD &gt; 120 mmHg) con evidencia de daño agudo de órgano blanco.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Daño de órgano blanco: compromiso agudo de cerebro, corazón, riñones o grandes vasos.</w:t>
      </w:r>
    </w:p>
    <w:p w:rsidR="00000000" w:rsidDel="00000000" w:rsidP="00000000" w:rsidRDefault="00000000" w:rsidRPr="00000000" w14:paraId="00000021">
      <w:pPr>
        <w:pStyle w:val="Heading1"/>
        <w:rPr>
          <w:sz w:val="22"/>
          <w:szCs w:val="22"/>
        </w:rPr>
      </w:pPr>
      <w:r w:rsidDel="00000000" w:rsidR="00000000" w:rsidRPr="00000000">
        <w:rPr>
          <w:sz w:val="22"/>
          <w:szCs w:val="22"/>
          <w:rtl w:val="0"/>
        </w:rPr>
        <w:t xml:space="preserve">7. Hipertensión Elevada Asintomática: Manejo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Reposo inicial: permitir que el paciente descanse en un lugar tranquilo durante 2 horas con observación cercana, ya que en muchos casos la presión disminuye sin intervención farmacológica inmediata.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Tratamiento oral: si la presión no cede tras el reposo, iniciar o intensificar antihipertensivos orales. Se desaconseja el uso de medicamentos sublinguales (como nifedipino) o intravenosos, por la variabilidad de la respuesta y el riesgo de hipotensión abrupta.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Reducción gradual: no reducir la presión de inmediato a niveles normales; se recomienda una reducción gradual durante 24 a 48 horas para prevenir isquemia cerebral o eventos cardiovasculares adversos.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Atención ambulatoria: generalmente no requieren hospitalización; manejo ambulatorio con seguimiento clínico temprano (1 a 7 días) y monitoreo de presión en casa o ambulatorio de 24 horas.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Adherencia: dado que el factor precipitante más común es el abandono previo de los antihipertensivos, enfatizar la adherencia al tratamiento.</w:t>
      </w:r>
    </w:p>
    <w:p w:rsidR="00000000" w:rsidDel="00000000" w:rsidP="00000000" w:rsidRDefault="00000000" w:rsidRPr="00000000" w14:paraId="00000027">
      <w:pPr>
        <w:pStyle w:val="Heading1"/>
        <w:rPr>
          <w:sz w:val="22"/>
          <w:szCs w:val="22"/>
        </w:rPr>
      </w:pPr>
      <w:r w:rsidDel="00000000" w:rsidR="00000000" w:rsidRPr="00000000">
        <w:rPr>
          <w:sz w:val="22"/>
          <w:szCs w:val="22"/>
          <w:rtl w:val="0"/>
        </w:rPr>
        <w:t xml:space="preserve">8. Emergencia Hipertensiva: Principios Generales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Requiere ingreso a una unidad de cuidados intensivos y uso inmediato de medicamentos intravenosos.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meta general suele ser reducir la presión no más del 20–25 % durante la primera hora, y luego alcanzar 160/100–110 mmHg en las siguientes 2 a 6 horas, aunque las metas específicas dependen del órgano afectado.</w:t>
      </w:r>
    </w:p>
    <w:p w:rsidR="00000000" w:rsidDel="00000000" w:rsidP="00000000" w:rsidRDefault="00000000" w:rsidRPr="00000000" w14:paraId="0000002A">
      <w:pPr>
        <w:pStyle w:val="Heading1"/>
        <w:rPr>
          <w:sz w:val="22"/>
          <w:szCs w:val="22"/>
        </w:rPr>
      </w:pPr>
      <w:r w:rsidDel="00000000" w:rsidR="00000000" w:rsidRPr="00000000">
        <w:rPr>
          <w:sz w:val="22"/>
          <w:szCs w:val="22"/>
          <w:rtl w:val="0"/>
        </w:rPr>
        <w:t xml:space="preserve">9. Emergencia Hipertensiva: Metas y Fármacos por Órgano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3"/>
        <w:gridCol w:w="3128"/>
        <w:gridCol w:w="3247"/>
        <w:tblGridChange w:id="0">
          <w:tblGrid>
            <w:gridCol w:w="2453"/>
            <w:gridCol w:w="3128"/>
            <w:gridCol w:w="3247"/>
          </w:tblGrid>
        </w:tblGridChange>
      </w:tblGrid>
      <w:tr>
        <w:trPr>
          <w:cantSplit w:val="0"/>
          <w:tblHeader w:val="0"/>
        </w:trPr>
        <w:tc>
          <w:tcPr/>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Órgano / condición</w:t>
            </w:r>
            <w:r w:rsidDel="00000000" w:rsidR="00000000" w:rsidRPr="00000000">
              <w:rPr>
                <w:rtl w:val="0"/>
              </w:rPr>
            </w:r>
          </w:p>
        </w:tc>
        <w:tc>
          <w:tcPr/>
          <w:p w:rsidR="00000000" w:rsidDel="00000000" w:rsidP="00000000" w:rsidRDefault="00000000" w:rsidRPr="00000000" w14:paraId="0000002C">
            <w:pPr>
              <w:rPr>
                <w:sz w:val="22"/>
                <w:szCs w:val="22"/>
              </w:rPr>
            </w:pPr>
            <w:r w:rsidDel="00000000" w:rsidR="00000000" w:rsidRPr="00000000">
              <w:rPr>
                <w:b w:val="1"/>
                <w:bCs w:val="1"/>
                <w:sz w:val="22"/>
                <w:szCs w:val="22"/>
                <w:rtl w:val="0"/>
              </w:rPr>
              <w:t xml:space="preserve">Meta</w:t>
            </w:r>
            <w:r w:rsidDel="00000000" w:rsidR="00000000" w:rsidRPr="00000000">
              <w:rPr>
                <w:rtl w:val="0"/>
              </w:rPr>
            </w:r>
          </w:p>
        </w:tc>
        <w:tc>
          <w:tcPr/>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Tratamiento farmacológico</w:t>
            </w:r>
            <w:r w:rsidDel="00000000" w:rsidR="00000000" w:rsidRPr="00000000">
              <w:rPr>
                <w:rtl w:val="0"/>
              </w:rPr>
            </w:r>
          </w:p>
        </w:tc>
      </w:tr>
      <w:tr>
        <w:trPr>
          <w:cantSplit w:val="0"/>
          <w:tblHeader w:val="0"/>
        </w:trPr>
        <w:tc>
          <w:tcPr/>
          <w:p w:rsidR="00000000" w:rsidDel="00000000" w:rsidP="00000000" w:rsidRDefault="00000000" w:rsidRPr="00000000" w14:paraId="0000002E">
            <w:pPr>
              <w:rPr>
                <w:sz w:val="22"/>
                <w:szCs w:val="22"/>
              </w:rPr>
            </w:pPr>
            <w:r w:rsidDel="00000000" w:rsidR="00000000" w:rsidRPr="00000000">
              <w:rPr>
                <w:b w:val="1"/>
                <w:bCs w:val="1"/>
                <w:sz w:val="22"/>
                <w:szCs w:val="22"/>
                <w:rtl w:val="0"/>
              </w:rPr>
              <w:t xml:space="preserve">Hemorragia intracerebral aguda (HIC)</w:t>
            </w:r>
            <w:r w:rsidDel="00000000" w:rsidR="00000000" w:rsidRPr="00000000">
              <w:rPr>
                <w:rtl w:val="0"/>
              </w:rPr>
            </w:r>
          </w:p>
        </w:tc>
        <w:tc>
          <w:tcPr/>
          <w:p w:rsidR="00000000" w:rsidDel="00000000" w:rsidP="00000000" w:rsidRDefault="00000000" w:rsidRPr="00000000" w14:paraId="0000002F">
            <w:pPr>
              <w:rPr>
                <w:sz w:val="22"/>
                <w:szCs w:val="22"/>
              </w:rPr>
            </w:pPr>
            <w:r w:rsidDel="00000000" w:rsidR="00000000" w:rsidRPr="00000000">
              <w:rPr>
                <w:sz w:val="22"/>
                <w:szCs w:val="22"/>
                <w:rtl w:val="0"/>
              </w:rPr>
              <w:t xml:space="preserve">Reducir la PAS a &lt; 140 mmHg dentro de la primera hora para prevenir la expansión del hematoma (salvo que el tamaño del hematoma exija metas más liberales).</w:t>
            </w:r>
          </w:p>
        </w:tc>
        <w:tc>
          <w:tcPr/>
          <w:p w:rsidR="00000000" w:rsidDel="00000000" w:rsidP="00000000" w:rsidRDefault="00000000" w:rsidRPr="00000000" w14:paraId="00000030">
            <w:pPr>
              <w:rPr>
                <w:sz w:val="22"/>
                <w:szCs w:val="22"/>
              </w:rPr>
            </w:pPr>
            <w:r w:rsidDel="00000000" w:rsidR="00000000" w:rsidRPr="00000000">
              <w:rPr>
                <w:sz w:val="22"/>
                <w:szCs w:val="22"/>
                <w:rtl w:val="0"/>
              </w:rPr>
              <w:t xml:space="preserve">Nicardipina, clevidipina o labetalol (evitar hidralazina).</w:t>
            </w:r>
          </w:p>
        </w:tc>
      </w:tr>
      <w:tr>
        <w:trPr>
          <w:cantSplit w:val="0"/>
          <w:tblHeader w:val="0"/>
        </w:trPr>
        <w:tc>
          <w:tcPr/>
          <w:p w:rsidR="00000000" w:rsidDel="00000000" w:rsidP="00000000" w:rsidRDefault="00000000" w:rsidRPr="00000000" w14:paraId="00000031">
            <w:pPr>
              <w:rPr>
                <w:sz w:val="22"/>
                <w:szCs w:val="22"/>
              </w:rPr>
            </w:pPr>
            <w:r w:rsidDel="00000000" w:rsidR="00000000" w:rsidRPr="00000000">
              <w:rPr>
                <w:b w:val="1"/>
                <w:bCs w:val="1"/>
                <w:sz w:val="22"/>
                <w:szCs w:val="22"/>
                <w:rtl w:val="0"/>
              </w:rPr>
              <w:t xml:space="preserve">Accidente cerebrovascular isquémico agudo</w:t>
            </w:r>
            <w:r w:rsidDel="00000000" w:rsidR="00000000" w:rsidRPr="00000000">
              <w:rPr>
                <w:rtl w:val="0"/>
              </w:rPr>
            </w:r>
          </w:p>
        </w:tc>
        <w:tc>
          <w:tcPr/>
          <w:p w:rsidR="00000000" w:rsidDel="00000000" w:rsidP="00000000" w:rsidRDefault="00000000" w:rsidRPr="00000000" w14:paraId="00000032">
            <w:pPr>
              <w:rPr>
                <w:sz w:val="22"/>
                <w:szCs w:val="22"/>
              </w:rPr>
            </w:pPr>
            <w:r w:rsidDel="00000000" w:rsidR="00000000" w:rsidRPr="00000000">
              <w:rPr>
                <w:sz w:val="22"/>
                <w:szCs w:val="22"/>
                <w:rtl w:val="0"/>
              </w:rPr>
              <w:t xml:space="preserve">Manejo conservador. Intervenir solo si se </w:t>
            </w:r>
            <w:r w:rsidDel="00000000" w:rsidR="00000000" w:rsidRPr="00000000">
              <w:rPr>
                <w:sz w:val="22"/>
                <w:szCs w:val="22"/>
                <w:rtl w:val="0"/>
              </w:rPr>
              <w:t xml:space="preserve">administrará</w:t>
            </w:r>
            <w:r w:rsidDel="00000000" w:rsidR="00000000" w:rsidRPr="00000000">
              <w:rPr>
                <w:sz w:val="22"/>
                <w:szCs w:val="22"/>
                <w:rtl w:val="0"/>
              </w:rPr>
              <w:t xml:space="preserve"> trombolisis (PAS &lt; 185/110 mmHg antes del trombolítico) o si la PAS supera 220/120 mmHg (reducir 15 % en 1 hora).</w:t>
            </w:r>
          </w:p>
        </w:tc>
        <w:tc>
          <w:tcPr/>
          <w:p w:rsidR="00000000" w:rsidDel="00000000" w:rsidP="00000000" w:rsidRDefault="00000000" w:rsidRPr="00000000" w14:paraId="00000033">
            <w:pPr>
              <w:rPr>
                <w:sz w:val="22"/>
                <w:szCs w:val="22"/>
              </w:rPr>
            </w:pPr>
            <w:r w:rsidDel="00000000" w:rsidR="00000000" w:rsidRPr="00000000">
              <w:rPr>
                <w:sz w:val="22"/>
                <w:szCs w:val="22"/>
                <w:rtl w:val="0"/>
              </w:rPr>
              <w:t xml:space="preserve">Nicardipina, labetalol, clevidipina.</w:t>
            </w:r>
          </w:p>
        </w:tc>
      </w:tr>
      <w:tr>
        <w:trPr>
          <w:cantSplit w:val="0"/>
          <w:tblHeader w:val="0"/>
        </w:trPr>
        <w:tc>
          <w:tcPr/>
          <w:p w:rsidR="00000000" w:rsidDel="00000000" w:rsidP="00000000" w:rsidRDefault="00000000" w:rsidRPr="00000000" w14:paraId="00000034">
            <w:pPr>
              <w:rPr>
                <w:sz w:val="22"/>
                <w:szCs w:val="22"/>
              </w:rPr>
            </w:pPr>
            <w:r w:rsidDel="00000000" w:rsidR="00000000" w:rsidRPr="00000000">
              <w:rPr>
                <w:b w:val="1"/>
                <w:bCs w:val="1"/>
                <w:sz w:val="22"/>
                <w:szCs w:val="22"/>
                <w:rtl w:val="0"/>
              </w:rPr>
              <w:t xml:space="preserve">Encefalopatía hipertensiva</w:t>
            </w:r>
            <w:r w:rsidDel="00000000" w:rsidR="00000000" w:rsidRPr="00000000">
              <w:rPr>
                <w:rtl w:val="0"/>
              </w:rPr>
            </w:r>
          </w:p>
        </w:tc>
        <w:tc>
          <w:tcPr/>
          <w:p w:rsidR="00000000" w:rsidDel="00000000" w:rsidP="00000000" w:rsidRDefault="00000000" w:rsidRPr="00000000" w14:paraId="00000035">
            <w:pPr>
              <w:rPr>
                <w:sz w:val="22"/>
                <w:szCs w:val="22"/>
              </w:rPr>
            </w:pPr>
            <w:r w:rsidDel="00000000" w:rsidR="00000000" w:rsidRPr="00000000">
              <w:rPr>
                <w:sz w:val="22"/>
                <w:szCs w:val="22"/>
                <w:rtl w:val="0"/>
              </w:rPr>
              <w:t xml:space="preserve">Disminuir la presión arterial media (PAM) entre 20 % y 25 % en la primera hora.</w:t>
            </w:r>
          </w:p>
        </w:tc>
        <w:tc>
          <w:tcPr/>
          <w:p w:rsidR="00000000" w:rsidDel="00000000" w:rsidP="00000000" w:rsidRDefault="00000000" w:rsidRPr="00000000" w14:paraId="00000036">
            <w:pPr>
              <w:rPr>
                <w:sz w:val="22"/>
                <w:szCs w:val="22"/>
              </w:rPr>
            </w:pPr>
            <w:r w:rsidDel="00000000" w:rsidR="00000000" w:rsidRPr="00000000">
              <w:rPr>
                <w:sz w:val="22"/>
                <w:szCs w:val="22"/>
                <w:rtl w:val="0"/>
              </w:rPr>
              <w:t xml:space="preserve">Nicardipina, labetalol o nitroprusiato.</w:t>
            </w:r>
          </w:p>
        </w:tc>
      </w:tr>
      <w:tr>
        <w:trPr>
          <w:cantSplit w:val="0"/>
          <w:tblHeader w:val="0"/>
        </w:trPr>
        <w:tc>
          <w:tcPr/>
          <w:p w:rsidR="00000000" w:rsidDel="00000000" w:rsidP="00000000" w:rsidRDefault="00000000" w:rsidRPr="00000000" w14:paraId="00000037">
            <w:pPr>
              <w:rPr>
                <w:sz w:val="22"/>
                <w:szCs w:val="22"/>
              </w:rPr>
            </w:pPr>
            <w:r w:rsidDel="00000000" w:rsidR="00000000" w:rsidRPr="00000000">
              <w:rPr>
                <w:b w:val="1"/>
                <w:bCs w:val="1"/>
                <w:sz w:val="22"/>
                <w:szCs w:val="22"/>
                <w:rtl w:val="0"/>
              </w:rPr>
              <w:t xml:space="preserve">Síndromes coronarios agudos</w:t>
            </w:r>
            <w:r w:rsidDel="00000000" w:rsidR="00000000" w:rsidRPr="00000000">
              <w:rPr>
                <w:rtl w:val="0"/>
              </w:rPr>
            </w:r>
          </w:p>
        </w:tc>
        <w:tc>
          <w:tcPr/>
          <w:p w:rsidR="00000000" w:rsidDel="00000000" w:rsidP="00000000" w:rsidRDefault="00000000" w:rsidRPr="00000000" w14:paraId="00000038">
            <w:pPr>
              <w:rPr>
                <w:sz w:val="22"/>
                <w:szCs w:val="22"/>
              </w:rPr>
            </w:pPr>
            <w:r w:rsidDel="00000000" w:rsidR="00000000" w:rsidRPr="00000000">
              <w:rPr>
                <w:sz w:val="22"/>
                <w:szCs w:val="22"/>
                <w:rtl w:val="0"/>
              </w:rPr>
              <w:t xml:space="preserve">Reducir la PAS a &lt; 140 mmHg, manteniendo la PAD &gt; 60 mmHg para asegurar perfusión coronaria.</w:t>
            </w:r>
          </w:p>
        </w:tc>
        <w:tc>
          <w:tcPr/>
          <w:p w:rsidR="00000000" w:rsidDel="00000000" w:rsidP="00000000" w:rsidRDefault="00000000" w:rsidRPr="00000000" w14:paraId="00000039">
            <w:pPr>
              <w:rPr>
                <w:sz w:val="22"/>
                <w:szCs w:val="22"/>
              </w:rPr>
            </w:pPr>
            <w:r w:rsidDel="00000000" w:rsidR="00000000" w:rsidRPr="00000000">
              <w:rPr>
                <w:sz w:val="22"/>
                <w:szCs w:val="22"/>
                <w:rtl w:val="0"/>
              </w:rPr>
              <w:t xml:space="preserve">Nitroglicerina, labetalol o esmolol.</w:t>
            </w:r>
          </w:p>
        </w:tc>
      </w:tr>
      <w:tr>
        <w:trPr>
          <w:cantSplit w:val="0"/>
          <w:tblHeader w:val="0"/>
        </w:trPr>
        <w:tc>
          <w:tcPr/>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Edema pulmonar cardiogénico agudo / falla cardíaca</w:t>
            </w:r>
            <w:r w:rsidDel="00000000" w:rsidR="00000000" w:rsidRPr="00000000">
              <w:rPr>
                <w:rtl w:val="0"/>
              </w:rPr>
            </w:r>
          </w:p>
        </w:tc>
        <w:tc>
          <w:tcPr/>
          <w:p w:rsidR="00000000" w:rsidDel="00000000" w:rsidP="00000000" w:rsidRDefault="00000000" w:rsidRPr="00000000" w14:paraId="0000003B">
            <w:pPr>
              <w:rPr>
                <w:sz w:val="22"/>
                <w:szCs w:val="22"/>
              </w:rPr>
            </w:pPr>
            <w:r w:rsidDel="00000000" w:rsidR="00000000" w:rsidRPr="00000000">
              <w:rPr>
                <w:sz w:val="22"/>
                <w:szCs w:val="22"/>
                <w:rtl w:val="0"/>
              </w:rPr>
              <w:t xml:space="preserve">Reducir la PAS a &lt; 140 mmHg.</w:t>
            </w:r>
          </w:p>
        </w:tc>
        <w:tc>
          <w:tcPr/>
          <w:p w:rsidR="00000000" w:rsidDel="00000000" w:rsidP="00000000" w:rsidRDefault="00000000" w:rsidRPr="00000000" w14:paraId="0000003C">
            <w:pPr>
              <w:rPr>
                <w:sz w:val="22"/>
                <w:szCs w:val="22"/>
              </w:rPr>
            </w:pPr>
            <w:r w:rsidDel="00000000" w:rsidR="00000000" w:rsidRPr="00000000">
              <w:rPr>
                <w:sz w:val="22"/>
                <w:szCs w:val="22"/>
                <w:rtl w:val="0"/>
              </w:rPr>
              <w:t xml:space="preserve">Nitroglicerina o nitroprusiato (con diuréticos de asa). Están contraindicados los betabloqueadores.</w:t>
            </w:r>
          </w:p>
        </w:tc>
      </w:tr>
      <w:tr>
        <w:trPr>
          <w:cantSplit w:val="0"/>
          <w:tblHeader w:val="0"/>
        </w:trPr>
        <w:tc>
          <w:tcPr/>
          <w:p w:rsidR="00000000" w:rsidDel="00000000" w:rsidP="00000000" w:rsidRDefault="00000000" w:rsidRPr="00000000" w14:paraId="0000003D">
            <w:pPr>
              <w:rPr>
                <w:sz w:val="22"/>
                <w:szCs w:val="22"/>
              </w:rPr>
            </w:pPr>
            <w:r w:rsidDel="00000000" w:rsidR="00000000" w:rsidRPr="00000000">
              <w:rPr>
                <w:b w:val="1"/>
                <w:bCs w:val="1"/>
                <w:sz w:val="22"/>
                <w:szCs w:val="22"/>
                <w:rtl w:val="0"/>
              </w:rPr>
              <w:t xml:space="preserve">Disección aórtica aguda</w:t>
            </w:r>
            <w:r w:rsidDel="00000000" w:rsidR="00000000" w:rsidRPr="00000000">
              <w:rPr>
                <w:rtl w:val="0"/>
              </w:rPr>
            </w:r>
          </w:p>
        </w:tc>
        <w:tc>
          <w:tcPr/>
          <w:p w:rsidR="00000000" w:rsidDel="00000000" w:rsidP="00000000" w:rsidRDefault="00000000" w:rsidRPr="00000000" w14:paraId="0000003E">
            <w:pPr>
              <w:rPr>
                <w:sz w:val="22"/>
                <w:szCs w:val="22"/>
              </w:rPr>
            </w:pPr>
            <w:r w:rsidDel="00000000" w:rsidR="00000000" w:rsidRPr="00000000">
              <w:rPr>
                <w:sz w:val="22"/>
                <w:szCs w:val="22"/>
                <w:rtl w:val="0"/>
              </w:rPr>
              <w:t xml:space="preserve">Control más agresivo; reducir la PAS a &lt; 120 mmHg y la frecuencia cardíaca a &lt; 60 lpm en los primeros 20 minutos.</w:t>
            </w:r>
          </w:p>
        </w:tc>
        <w:tc>
          <w:tcPr/>
          <w:p w:rsidR="00000000" w:rsidDel="00000000" w:rsidP="00000000" w:rsidRDefault="00000000" w:rsidRPr="00000000" w14:paraId="0000003F">
            <w:pPr>
              <w:rPr>
                <w:sz w:val="22"/>
                <w:szCs w:val="22"/>
              </w:rPr>
            </w:pPr>
            <w:r w:rsidDel="00000000" w:rsidR="00000000" w:rsidRPr="00000000">
              <w:rPr>
                <w:sz w:val="22"/>
                <w:szCs w:val="22"/>
                <w:rtl w:val="0"/>
              </w:rPr>
              <w:t xml:space="preserve">Esmolol o labetalol primero (para evitar taquicardia refleja), seguidos de vasodilatadores como nicardipina, nitroprusiato o nitroglicerina.</w:t>
            </w:r>
          </w:p>
        </w:tc>
      </w:tr>
      <w:tr>
        <w:trPr>
          <w:cantSplit w:val="0"/>
          <w:tblHeader w:val="0"/>
        </w:trPr>
        <w:tc>
          <w:tcPr/>
          <w:p w:rsidR="00000000" w:rsidDel="00000000" w:rsidP="00000000" w:rsidRDefault="00000000" w:rsidRPr="00000000" w14:paraId="00000040">
            <w:pPr>
              <w:rPr>
                <w:sz w:val="22"/>
                <w:szCs w:val="22"/>
              </w:rPr>
            </w:pPr>
            <w:r w:rsidDel="00000000" w:rsidR="00000000" w:rsidRPr="00000000">
              <w:rPr>
                <w:b w:val="1"/>
                <w:bCs w:val="1"/>
                <w:sz w:val="22"/>
                <w:szCs w:val="22"/>
                <w:rtl w:val="0"/>
              </w:rPr>
              <w:t xml:space="preserve">Preeclampsia severa / eclampsia / síndrome HELLP</w:t>
            </w:r>
            <w:r w:rsidDel="00000000" w:rsidR="00000000" w:rsidRPr="00000000">
              <w:rPr>
                <w:rtl w:val="0"/>
              </w:rPr>
            </w:r>
          </w:p>
        </w:tc>
        <w:tc>
          <w:tcPr/>
          <w:p w:rsidR="00000000" w:rsidDel="00000000" w:rsidP="00000000" w:rsidRDefault="00000000" w:rsidRPr="00000000" w14:paraId="00000041">
            <w:pPr>
              <w:rPr>
                <w:sz w:val="22"/>
                <w:szCs w:val="22"/>
              </w:rPr>
            </w:pPr>
            <w:r w:rsidDel="00000000" w:rsidR="00000000" w:rsidRPr="00000000">
              <w:rPr>
                <w:sz w:val="22"/>
                <w:szCs w:val="22"/>
                <w:rtl w:val="0"/>
              </w:rPr>
              <w:t xml:space="preserve">Reducir a PAS &lt; 160 mmHg y PAD &lt; 105 mmHg.</w:t>
            </w:r>
          </w:p>
        </w:tc>
        <w:tc>
          <w:tcPr/>
          <w:p w:rsidR="00000000" w:rsidDel="00000000" w:rsidP="00000000" w:rsidRDefault="00000000" w:rsidRPr="00000000" w14:paraId="00000042">
            <w:pPr>
              <w:rPr>
                <w:sz w:val="22"/>
                <w:szCs w:val="22"/>
              </w:rPr>
            </w:pPr>
            <w:r w:rsidDel="00000000" w:rsidR="00000000" w:rsidRPr="00000000">
              <w:rPr>
                <w:sz w:val="22"/>
                <w:szCs w:val="22"/>
                <w:rtl w:val="0"/>
              </w:rPr>
              <w:t xml:space="preserve">Labetalol, nicardipina y sulfato de magnesio. Contraindicados los IECA, ARA-II y nitroprusiato en el embarazo.</w:t>
            </w:r>
          </w:p>
        </w:tc>
      </w:tr>
      <w:tr>
        <w:trPr>
          <w:cantSplit w:val="0"/>
          <w:tblHeader w:val="0"/>
        </w:trPr>
        <w:tc>
          <w:tcPr/>
          <w:p w:rsidR="00000000" w:rsidDel="00000000" w:rsidP="00000000" w:rsidRDefault="00000000" w:rsidRPr="00000000" w14:paraId="00000043">
            <w:pPr>
              <w:rPr>
                <w:sz w:val="22"/>
                <w:szCs w:val="22"/>
              </w:rPr>
            </w:pPr>
            <w:r w:rsidDel="00000000" w:rsidR="00000000" w:rsidRPr="00000000">
              <w:rPr>
                <w:b w:val="1"/>
                <w:bCs w:val="1"/>
                <w:sz w:val="22"/>
                <w:szCs w:val="22"/>
                <w:rtl w:val="0"/>
              </w:rPr>
              <w:t xml:space="preserve">Hipertensión maligna (daño microvascular difuso / falla renal aguda)</w:t>
            </w:r>
            <w:r w:rsidDel="00000000" w:rsidR="00000000" w:rsidRPr="00000000">
              <w:rPr>
                <w:rtl w:val="0"/>
              </w:rPr>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Reducir la PAM 20 % a 25 % en las primeras horas.</w:t>
            </w:r>
          </w:p>
        </w:tc>
        <w:tc>
          <w:tcPr/>
          <w:p w:rsidR="00000000" w:rsidDel="00000000" w:rsidP="00000000" w:rsidRDefault="00000000" w:rsidRPr="00000000" w14:paraId="00000045">
            <w:pPr>
              <w:rPr>
                <w:sz w:val="22"/>
                <w:szCs w:val="22"/>
              </w:rPr>
            </w:pPr>
            <w:r w:rsidDel="00000000" w:rsidR="00000000" w:rsidRPr="00000000">
              <w:rPr>
                <w:sz w:val="22"/>
                <w:szCs w:val="22"/>
                <w:rtl w:val="0"/>
              </w:rPr>
              <w:t xml:space="preserve">Nicardipina o labetalol.</w:t>
            </w:r>
          </w:p>
        </w:tc>
      </w:tr>
    </w:tbl>
    <w:p w:rsidR="00000000" w:rsidDel="00000000" w:rsidP="00000000" w:rsidRDefault="00000000" w:rsidRPr="00000000" w14:paraId="00000046">
      <w:pPr>
        <w:pStyle w:val="Heading1"/>
        <w:rPr>
          <w:sz w:val="22"/>
          <w:szCs w:val="22"/>
        </w:rPr>
      </w:pPr>
      <w:r w:rsidDel="00000000" w:rsidR="00000000" w:rsidRPr="00000000">
        <w:rPr>
          <w:sz w:val="22"/>
          <w:szCs w:val="22"/>
          <w:rtl w:val="0"/>
        </w:rPr>
        <w:t xml:space="preserve">10. Dosificación de los Antihipertensivos Intravenosos</w:t>
      </w:r>
    </w:p>
    <w:p w:rsidR="00000000" w:rsidDel="00000000" w:rsidP="00000000" w:rsidRDefault="00000000" w:rsidRPr="00000000" w14:paraId="00000047">
      <w:pPr>
        <w:jc w:val="both"/>
        <w:rPr>
          <w:sz w:val="22"/>
          <w:szCs w:val="22"/>
        </w:rPr>
      </w:pPr>
      <w:r w:rsidDel="00000000" w:rsidR="00000000" w:rsidRPr="00000000">
        <w:rPr>
          <w:b w:val="1"/>
          <w:bCs w:val="1"/>
          <w:sz w:val="22"/>
          <w:szCs w:val="22"/>
          <w:rtl w:val="0"/>
        </w:rPr>
        <w:t xml:space="preserve">Bloqueadores de los canales de calcio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Nicardipina: infusión inicial de 5 mg/h; ajustar +2,5 mg/h cada 5–15 min hasta la meta; máximo 15 mg/h.</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Clevidipina: infusión inicial de 1–2 mg/h; duplicar cada 90 s hasta acercarse a la meta, luego incrementos menores cada 5–10 min; máximo 16–21 mg/h, por un tiempo máximo de 72 h.</w:t>
      </w:r>
    </w:p>
    <w:p w:rsidR="00000000" w:rsidDel="00000000" w:rsidP="00000000" w:rsidRDefault="00000000" w:rsidRPr="00000000" w14:paraId="0000004A">
      <w:pPr>
        <w:jc w:val="both"/>
        <w:rPr>
          <w:sz w:val="22"/>
          <w:szCs w:val="22"/>
        </w:rPr>
      </w:pPr>
      <w:r w:rsidDel="00000000" w:rsidR="00000000" w:rsidRPr="00000000">
        <w:rPr>
          <w:b w:val="1"/>
          <w:bCs w:val="1"/>
          <w:sz w:val="22"/>
          <w:szCs w:val="22"/>
          <w:rtl w:val="0"/>
        </w:rPr>
        <w:t xml:space="preserve">Betabloqueadores y bloqueadores alfa/beta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Labetalol: bolo IV de 10–20 mg (o 0,3–1,0 mg/kg) lento, repitiendo bolos de 10–80 mg cada 10 min; o infusión de 0,4–1,0 mg/kg/h (0,5–10 mg/min); máximo acumulado 300 mg en 24 h.</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Esmolol: carga en bolo de 500–1000 mcg/kg/min por 1 min, seguida de infusión de 50–300 mcg/kg/min; repetir bolo e incrementar la infusión en 50 mcg/kg/min cada 5 min.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Metoprolol: 2,5–5 mg IV cada 5 min (máximo total 15 mg); luego 2,5–5 mg cada 4–6 h.</w:t>
      </w:r>
    </w:p>
    <w:p w:rsidR="00000000" w:rsidDel="00000000" w:rsidP="00000000" w:rsidRDefault="00000000" w:rsidRPr="00000000" w14:paraId="0000004E">
      <w:pPr>
        <w:jc w:val="both"/>
        <w:rPr>
          <w:sz w:val="22"/>
          <w:szCs w:val="22"/>
        </w:rPr>
      </w:pPr>
      <w:r w:rsidDel="00000000" w:rsidR="00000000" w:rsidRPr="00000000">
        <w:rPr>
          <w:b w:val="1"/>
          <w:bCs w:val="1"/>
          <w:sz w:val="22"/>
          <w:szCs w:val="22"/>
          <w:rtl w:val="0"/>
        </w:rPr>
        <w:t xml:space="preserve">Vasodilatadores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Nitroprusiato de sodio: infusión inicial de 0,25–0,5 mcg/kg/min; incrementar 0,5 mcg/kg/min cada 5 min hasta la meta; máximo 10 mcg/kg/min, por el menor tiempo posible (riesgo de toxicidad por cianuro).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Nitroglicerina: infusión inicial de 5–10 mcg/min; ajustar 5–20 mcg/min cada 3–15 min; máximo 200–400 mcg/min.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Hidralazina: 5–20 mg en infusión IV lenta cada 15–20 min (dosis inicial máxima 20 mg); repetir cada 3–6 h; máximo acumulado 200 mg en 24 h.</w:t>
      </w:r>
    </w:p>
    <w:p w:rsidR="00000000" w:rsidDel="00000000" w:rsidP="00000000" w:rsidRDefault="00000000" w:rsidRPr="00000000" w14:paraId="00000052">
      <w:pPr>
        <w:jc w:val="both"/>
        <w:rPr>
          <w:sz w:val="22"/>
          <w:szCs w:val="22"/>
        </w:rPr>
      </w:pPr>
      <w:r w:rsidDel="00000000" w:rsidR="00000000" w:rsidRPr="00000000">
        <w:rPr>
          <w:b w:val="1"/>
          <w:bCs w:val="1"/>
          <w:sz w:val="22"/>
          <w:szCs w:val="22"/>
          <w:rtl w:val="0"/>
        </w:rPr>
        <w:t xml:space="preserve">Otros agentes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Fentolamina: bolo IV de 5 mg; bolos adicionales cada 10 min según necesidad; uso principal en crisis por exceso de catecolaminas; máximo acumulado 50 mg en 24 h.</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Fenoldopam: inicial 0,1–0,3 mcg/kg/min; incrementar 0,05–0,1 mcg/kg/min cada 15 min; máximo 1,6 mcg/kg/min.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Enalaprilat: inicial 1,25 mg en 5 min; ajustar hasta 5 mg cada 6 h; máximo acumulado 50 mg en 24 h.</w:t>
      </w:r>
    </w:p>
    <w:p w:rsidR="00000000" w:rsidDel="00000000" w:rsidP="00000000" w:rsidRDefault="00000000" w:rsidRPr="00000000" w14:paraId="00000056">
      <w:pPr>
        <w:pStyle w:val="Heading1"/>
        <w:rPr>
          <w:sz w:val="22"/>
          <w:szCs w:val="22"/>
        </w:rPr>
      </w:pPr>
      <w:r w:rsidDel="00000000" w:rsidR="00000000" w:rsidRPr="00000000">
        <w:rPr>
          <w:sz w:val="22"/>
          <w:szCs w:val="22"/>
          <w:rtl w:val="0"/>
        </w:rPr>
        <w:t xml:space="preserve">11. Flujo Operativo y Clínico en Telesalud</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8"/>
        <w:gridCol w:w="2206"/>
        <w:gridCol w:w="2207"/>
        <w:tblGridChange w:id="0">
          <w:tblGrid>
            <w:gridCol w:w="2207"/>
            <w:gridCol w:w="2208"/>
            <w:gridCol w:w="2206"/>
            <w:gridCol w:w="2207"/>
          </w:tblGrid>
        </w:tblGridChange>
      </w:tblGrid>
      <w:tr>
        <w:trPr>
          <w:cantSplit w:val="0"/>
          <w:tblHeader w:val="0"/>
        </w:trPr>
        <w:tc>
          <w:tcPr/>
          <w:p w:rsidR="00000000" w:rsidDel="00000000" w:rsidP="00000000" w:rsidRDefault="00000000" w:rsidRPr="00000000" w14:paraId="00000057">
            <w:pPr>
              <w:rPr>
                <w:sz w:val="22"/>
                <w:szCs w:val="22"/>
              </w:rPr>
            </w:pPr>
            <w:r w:rsidDel="00000000" w:rsidR="00000000" w:rsidRPr="00000000">
              <w:rPr>
                <w:b w:val="1"/>
                <w:bCs w:val="1"/>
                <w:sz w:val="22"/>
                <w:szCs w:val="22"/>
                <w:rtl w:val="0"/>
              </w:rPr>
              <w:t xml:space="preserve">Etapa</w:t>
            </w:r>
            <w:r w:rsidDel="00000000" w:rsidR="00000000" w:rsidRPr="00000000">
              <w:rPr>
                <w:rtl w:val="0"/>
              </w:rPr>
            </w:r>
          </w:p>
        </w:tc>
        <w:tc>
          <w:tcPr/>
          <w:p w:rsidR="00000000" w:rsidDel="00000000" w:rsidP="00000000" w:rsidRDefault="00000000" w:rsidRPr="00000000" w14:paraId="00000058">
            <w:pPr>
              <w:rPr>
                <w:sz w:val="22"/>
                <w:szCs w:val="22"/>
              </w:rPr>
            </w:pPr>
            <w:r w:rsidDel="00000000" w:rsidR="00000000" w:rsidRPr="00000000">
              <w:rPr>
                <w:b w:val="1"/>
                <w:bCs w:val="1"/>
                <w:sz w:val="22"/>
                <w:szCs w:val="22"/>
                <w:rtl w:val="0"/>
              </w:rPr>
              <w:t xml:space="preserve">Actividad</w:t>
            </w:r>
            <w:r w:rsidDel="00000000" w:rsidR="00000000" w:rsidRPr="00000000">
              <w:rPr>
                <w:rtl w:val="0"/>
              </w:rPr>
            </w:r>
          </w:p>
        </w:tc>
        <w:tc>
          <w:tcPr/>
          <w:p w:rsidR="00000000" w:rsidDel="00000000" w:rsidP="00000000" w:rsidRDefault="00000000" w:rsidRPr="00000000" w14:paraId="00000059">
            <w:pPr>
              <w:rPr>
                <w:sz w:val="22"/>
                <w:szCs w:val="22"/>
              </w:rPr>
            </w:pPr>
            <w:r w:rsidDel="00000000" w:rsidR="00000000" w:rsidRPr="00000000">
              <w:rPr>
                <w:b w:val="1"/>
                <w:bCs w:val="1"/>
                <w:sz w:val="22"/>
                <w:szCs w:val="22"/>
                <w:rtl w:val="0"/>
              </w:rPr>
              <w:t xml:space="preserve">Responsable</w:t>
            </w:r>
            <w:r w:rsidDel="00000000" w:rsidR="00000000" w:rsidRPr="00000000">
              <w:rPr>
                <w:rtl w:val="0"/>
              </w:rPr>
            </w:r>
          </w:p>
        </w:tc>
        <w:tc>
          <w:tcPr/>
          <w:p w:rsidR="00000000" w:rsidDel="00000000" w:rsidP="00000000" w:rsidRDefault="00000000" w:rsidRPr="00000000" w14:paraId="0000005A">
            <w:pPr>
              <w:rPr>
                <w:sz w:val="22"/>
                <w:szCs w:val="22"/>
              </w:rPr>
            </w:pPr>
            <w:r w:rsidDel="00000000" w:rsidR="00000000" w:rsidRPr="00000000">
              <w:rPr>
                <w:b w:val="1"/>
                <w:bCs w:val="1"/>
                <w:sz w:val="22"/>
                <w:szCs w:val="22"/>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5B">
            <w:pPr>
              <w:rPr>
                <w:sz w:val="22"/>
                <w:szCs w:val="22"/>
              </w:rPr>
            </w:pPr>
            <w:r w:rsidDel="00000000" w:rsidR="00000000" w:rsidRPr="00000000">
              <w:rPr>
                <w:sz w:val="22"/>
                <w:szCs w:val="22"/>
                <w:rtl w:val="0"/>
              </w:rPr>
              <w:t xml:space="preserve">1. Identificación y valoración inicial</w:t>
            </w:r>
          </w:p>
        </w:tc>
        <w:tc>
          <w:tcPr/>
          <w:p w:rsidR="00000000" w:rsidDel="00000000" w:rsidP="00000000" w:rsidRDefault="00000000" w:rsidRPr="00000000" w14:paraId="0000005C">
            <w:pPr>
              <w:rPr>
                <w:sz w:val="22"/>
                <w:szCs w:val="22"/>
              </w:rPr>
            </w:pPr>
            <w:r w:rsidDel="00000000" w:rsidR="00000000" w:rsidRPr="00000000">
              <w:rPr>
                <w:sz w:val="22"/>
                <w:szCs w:val="22"/>
                <w:rtl w:val="0"/>
              </w:rPr>
              <w:t xml:space="preserve">Medición de la presión arterial y búsqueda dirigida de signos y síntomas de daño agudo de órgano blanco.</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Profesional asistencial presencial / Primer Nivel</w:t>
            </w:r>
          </w:p>
        </w:tc>
        <w:tc>
          <w:tcPr/>
          <w:p w:rsidR="00000000" w:rsidDel="00000000" w:rsidP="00000000" w:rsidRDefault="00000000" w:rsidRPr="00000000" w14:paraId="0000005E">
            <w:pPr>
              <w:rPr>
                <w:sz w:val="22"/>
                <w:szCs w:val="22"/>
              </w:rPr>
            </w:pPr>
            <w:r w:rsidDel="00000000" w:rsidR="00000000" w:rsidRPr="00000000">
              <w:rPr>
                <w:sz w:val="22"/>
                <w:szCs w:val="22"/>
                <w:rtl w:val="0"/>
              </w:rPr>
              <w:t xml:space="preserve">Atención presencial; estabilización inicial antes de o durante la solicitud del concepto.</w:t>
            </w:r>
          </w:p>
        </w:tc>
      </w:tr>
      <w:tr>
        <w:trPr>
          <w:cantSplit w:val="0"/>
          <w:tblHeader w:val="0"/>
        </w:trPr>
        <w:tc>
          <w:tcPr/>
          <w:p w:rsidR="00000000" w:rsidDel="00000000" w:rsidP="00000000" w:rsidRDefault="00000000" w:rsidRPr="00000000" w14:paraId="0000005F">
            <w:pPr>
              <w:rPr>
                <w:sz w:val="22"/>
                <w:szCs w:val="22"/>
              </w:rPr>
            </w:pPr>
            <w:r w:rsidDel="00000000" w:rsidR="00000000" w:rsidRPr="00000000">
              <w:rPr>
                <w:sz w:val="22"/>
                <w:szCs w:val="22"/>
                <w:rtl w:val="0"/>
              </w:rPr>
              <w:t xml:space="preserve">2. Verificación y consentimiento</w:t>
            </w:r>
          </w:p>
        </w:tc>
        <w:tc>
          <w:tcPr/>
          <w:p w:rsidR="00000000" w:rsidDel="00000000" w:rsidP="00000000" w:rsidRDefault="00000000" w:rsidRPr="00000000" w14:paraId="00000060">
            <w:pPr>
              <w:rPr>
                <w:sz w:val="22"/>
                <w:szCs w:val="22"/>
              </w:rPr>
            </w:pPr>
            <w:r w:rsidDel="00000000" w:rsidR="00000000" w:rsidRPr="00000000">
              <w:rPr>
                <w:sz w:val="22"/>
                <w:szCs w:val="22"/>
                <w:rtl w:val="0"/>
              </w:rPr>
              <w:t xml:space="preserve">Verificación de identidad del paciente y del profesional solicitante; registro del consentimiento informado.</w:t>
            </w:r>
          </w:p>
        </w:tc>
        <w:tc>
          <w:tcPr/>
          <w:p w:rsidR="00000000" w:rsidDel="00000000" w:rsidP="00000000" w:rsidRDefault="00000000" w:rsidRPr="00000000" w14:paraId="00000061">
            <w:pPr>
              <w:rPr>
                <w:sz w:val="22"/>
                <w:szCs w:val="22"/>
              </w:rPr>
            </w:pPr>
            <w:r w:rsidDel="00000000" w:rsidR="00000000" w:rsidRPr="00000000">
              <w:rPr>
                <w:sz w:val="22"/>
                <w:szCs w:val="22"/>
                <w:rtl w:val="0"/>
              </w:rPr>
              <w:t xml:space="preserve">Profesional solicitante / Primer Nivel</w:t>
            </w:r>
          </w:p>
        </w:tc>
        <w:tc>
          <w:tcPr/>
          <w:p w:rsidR="00000000" w:rsidDel="00000000" w:rsidP="00000000" w:rsidRDefault="00000000" w:rsidRPr="00000000" w14:paraId="00000062">
            <w:pPr>
              <w:rPr>
                <w:sz w:val="22"/>
                <w:szCs w:val="22"/>
              </w:rPr>
            </w:pPr>
            <w:r w:rsidDel="00000000" w:rsidR="00000000" w:rsidRPr="00000000">
              <w:rPr>
                <w:sz w:val="22"/>
                <w:szCs w:val="22"/>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63">
            <w:pPr>
              <w:rPr>
                <w:sz w:val="22"/>
                <w:szCs w:val="22"/>
              </w:rPr>
            </w:pPr>
            <w:r w:rsidDel="00000000" w:rsidR="00000000" w:rsidRPr="00000000">
              <w:rPr>
                <w:sz w:val="22"/>
                <w:szCs w:val="22"/>
                <w:rtl w:val="0"/>
              </w:rPr>
              <w:t xml:space="preserve">3. Diligenciamiento y envío de datos</w:t>
            </w:r>
          </w:p>
        </w:tc>
        <w:tc>
          <w:tcPr/>
          <w:p w:rsidR="00000000" w:rsidDel="00000000" w:rsidP="00000000" w:rsidRDefault="00000000" w:rsidRPr="00000000" w14:paraId="00000064">
            <w:pPr>
              <w:rPr>
                <w:sz w:val="22"/>
                <w:szCs w:val="22"/>
              </w:rPr>
            </w:pPr>
            <w:r w:rsidDel="00000000" w:rsidR="00000000" w:rsidRPr="00000000">
              <w:rPr>
                <w:sz w:val="22"/>
                <w:szCs w:val="22"/>
                <w:rtl w:val="0"/>
              </w:rPr>
              <w:t xml:space="preserve">Consolidación de la valoración clínica, las cifras de presión, los síntomas, las comorbilidades, el tratamiento previo y los paraclínicos disponibles.</w:t>
            </w:r>
          </w:p>
        </w:tc>
        <w:tc>
          <w:tcPr/>
          <w:p w:rsidR="00000000" w:rsidDel="00000000" w:rsidP="00000000" w:rsidRDefault="00000000" w:rsidRPr="00000000" w14:paraId="00000065">
            <w:pPr>
              <w:rPr>
                <w:sz w:val="22"/>
                <w:szCs w:val="22"/>
              </w:rPr>
            </w:pPr>
            <w:r w:rsidDel="00000000" w:rsidR="00000000" w:rsidRPr="00000000">
              <w:rPr>
                <w:sz w:val="22"/>
                <w:szCs w:val="22"/>
                <w:rtl w:val="0"/>
              </w:rPr>
              <w:t xml:space="preserve">Profesional solicitante / Primer Nivel</w:t>
            </w:r>
          </w:p>
        </w:tc>
        <w:tc>
          <w:tcPr/>
          <w:p w:rsidR="00000000" w:rsidDel="00000000" w:rsidP="00000000" w:rsidRDefault="00000000" w:rsidRPr="00000000" w14:paraId="00000066">
            <w:pPr>
              <w:rPr>
                <w:sz w:val="22"/>
                <w:szCs w:val="22"/>
              </w:rPr>
            </w:pPr>
            <w:r w:rsidDel="00000000" w:rsidR="00000000" w:rsidRPr="00000000">
              <w:rPr>
                <w:sz w:val="22"/>
                <w:szCs w:val="22"/>
                <w:rtl w:val="0"/>
              </w:rPr>
              <w:t xml:space="preserve">Envío por la plataforma institucional de telesalud / sistema de historia clínica electrónica.</w:t>
            </w:r>
          </w:p>
        </w:tc>
      </w:tr>
      <w:tr>
        <w:trPr>
          <w:cantSplit w:val="0"/>
          <w:tblHeader w:val="0"/>
        </w:trPr>
        <w:tc>
          <w:tcPr/>
          <w:p w:rsidR="00000000" w:rsidDel="00000000" w:rsidP="00000000" w:rsidRDefault="00000000" w:rsidRPr="00000000" w14:paraId="00000067">
            <w:pPr>
              <w:rPr>
                <w:sz w:val="22"/>
                <w:szCs w:val="22"/>
              </w:rPr>
            </w:pPr>
            <w:r w:rsidDel="00000000" w:rsidR="00000000" w:rsidRPr="00000000">
              <w:rPr>
                <w:sz w:val="22"/>
                <w:szCs w:val="22"/>
                <w:rtl w:val="0"/>
              </w:rPr>
              <w:t xml:space="preserve">4. Análisis y concepto clínico</w:t>
            </w:r>
          </w:p>
        </w:tc>
        <w:tc>
          <w:tcPr/>
          <w:p w:rsidR="00000000" w:rsidDel="00000000" w:rsidP="00000000" w:rsidRDefault="00000000" w:rsidRPr="00000000" w14:paraId="00000068">
            <w:pPr>
              <w:rPr>
                <w:sz w:val="22"/>
                <w:szCs w:val="22"/>
              </w:rPr>
            </w:pPr>
            <w:r w:rsidDel="00000000" w:rsidR="00000000" w:rsidRPr="00000000">
              <w:rPr>
                <w:sz w:val="22"/>
                <w:szCs w:val="22"/>
                <w:rtl w:val="0"/>
              </w:rPr>
              <w:t xml:space="preserve">Diferenciación entre hipertensión elevada asintomática y emergencia hipertensiva; definición del manejo, las metas y la conducta; ante daño de órgano blanco, definición de la remisión prioritaria.</w:t>
            </w:r>
          </w:p>
        </w:tc>
        <w:tc>
          <w:tcPr/>
          <w:p w:rsidR="00000000" w:rsidDel="00000000" w:rsidP="00000000" w:rsidRDefault="00000000" w:rsidRPr="00000000" w14:paraId="00000069">
            <w:pPr>
              <w:rPr>
                <w:sz w:val="22"/>
                <w:szCs w:val="22"/>
              </w:rPr>
            </w:pPr>
            <w:r w:rsidDel="00000000" w:rsidR="00000000" w:rsidRPr="00000000">
              <w:rPr>
                <w:sz w:val="22"/>
                <w:szCs w:val="22"/>
                <w:rtl w:val="0"/>
              </w:rPr>
              <w:t xml:space="preserve">Profesional experto</w:t>
            </w:r>
          </w:p>
        </w:tc>
        <w:tc>
          <w:tcPr/>
          <w:p w:rsidR="00000000" w:rsidDel="00000000" w:rsidP="00000000" w:rsidRDefault="00000000" w:rsidRPr="00000000" w14:paraId="0000006A">
            <w:pPr>
              <w:rPr>
                <w:sz w:val="22"/>
                <w:szCs w:val="22"/>
              </w:rPr>
            </w:pPr>
            <w:r w:rsidDel="00000000" w:rsidR="00000000" w:rsidRPr="00000000">
              <w:rPr>
                <w:sz w:val="22"/>
                <w:szCs w:val="22"/>
                <w:rtl w:val="0"/>
              </w:rPr>
              <w:t xml:space="preserve">Registro del concepto en el sistema de historia clínica.</w:t>
            </w:r>
          </w:p>
        </w:tc>
      </w:tr>
      <w:tr>
        <w:trPr>
          <w:cantSplit w:val="0"/>
          <w:tblHeader w:val="0"/>
        </w:trPr>
        <w:tc>
          <w:tcPr/>
          <w:p w:rsidR="00000000" w:rsidDel="00000000" w:rsidP="00000000" w:rsidRDefault="00000000" w:rsidRPr="00000000" w14:paraId="0000006B">
            <w:pPr>
              <w:rPr>
                <w:sz w:val="22"/>
                <w:szCs w:val="22"/>
              </w:rPr>
            </w:pPr>
            <w:r w:rsidDel="00000000" w:rsidR="00000000" w:rsidRPr="00000000">
              <w:rPr>
                <w:sz w:val="22"/>
                <w:szCs w:val="22"/>
                <w:rtl w:val="0"/>
              </w:rPr>
              <w:t xml:space="preserve">5. Envío de ordenamiento y remisión</w:t>
            </w:r>
          </w:p>
        </w:tc>
        <w:tc>
          <w:tcPr/>
          <w:p w:rsidR="00000000" w:rsidDel="00000000" w:rsidP="00000000" w:rsidRDefault="00000000" w:rsidRPr="00000000" w14:paraId="0000006C">
            <w:pPr>
              <w:rPr>
                <w:sz w:val="22"/>
                <w:szCs w:val="22"/>
              </w:rPr>
            </w:pPr>
            <w:r w:rsidDel="00000000" w:rsidR="00000000" w:rsidRPr="00000000">
              <w:rPr>
                <w:sz w:val="22"/>
                <w:szCs w:val="22"/>
                <w:rtl w:val="0"/>
              </w:rPr>
              <w:t xml:space="preserve">Emisión de recomendaciones de manejo, criterios de seguimiento y gestión del traslado cuando esté indicado.</w:t>
            </w:r>
          </w:p>
        </w:tc>
        <w:tc>
          <w:tcPr/>
          <w:p w:rsidR="00000000" w:rsidDel="00000000" w:rsidP="00000000" w:rsidRDefault="00000000" w:rsidRPr="00000000" w14:paraId="0000006D">
            <w:pPr>
              <w:rPr>
                <w:sz w:val="22"/>
                <w:szCs w:val="22"/>
              </w:rPr>
            </w:pPr>
            <w:r w:rsidDel="00000000" w:rsidR="00000000" w:rsidRPr="00000000">
              <w:rPr>
                <w:sz w:val="22"/>
                <w:szCs w:val="22"/>
                <w:rtl w:val="0"/>
              </w:rPr>
              <w:t xml:space="preserve">Profesional experto</w:t>
            </w:r>
          </w:p>
        </w:tc>
        <w:tc>
          <w:tcPr/>
          <w:p w:rsidR="00000000" w:rsidDel="00000000" w:rsidP="00000000" w:rsidRDefault="00000000" w:rsidRPr="00000000" w14:paraId="0000006E">
            <w:pPr>
              <w:rPr>
                <w:sz w:val="22"/>
                <w:szCs w:val="22"/>
              </w:rPr>
            </w:pPr>
            <w:r w:rsidDel="00000000" w:rsidR="00000000" w:rsidRPr="00000000">
              <w:rPr>
                <w:sz w:val="22"/>
                <w:szCs w:val="22"/>
                <w:rtl w:val="0"/>
              </w:rPr>
              <w:t xml:space="preserve">Envío del concepto y del plan; coordinación de la remisión.</w:t>
            </w:r>
          </w:p>
        </w:tc>
      </w:tr>
    </w:tbl>
    <w:p w:rsidR="00000000" w:rsidDel="00000000" w:rsidP="00000000" w:rsidRDefault="00000000" w:rsidRPr="00000000" w14:paraId="0000006F">
      <w:pPr>
        <w:pStyle w:val="Heading1"/>
        <w:rPr>
          <w:sz w:val="22"/>
          <w:szCs w:val="22"/>
        </w:rPr>
      </w:pPr>
      <w:r w:rsidDel="00000000" w:rsidR="00000000" w:rsidRPr="00000000">
        <w:rPr>
          <w:sz w:val="22"/>
          <w:szCs w:val="22"/>
          <w:rtl w:val="0"/>
        </w:rPr>
        <w:t xml:space="preserve">12. Criterios de Inclusión / Exclusión en Telesalud</w:t>
      </w:r>
    </w:p>
    <w:p w:rsidR="00000000" w:rsidDel="00000000" w:rsidP="00000000" w:rsidRDefault="00000000" w:rsidRPr="00000000" w14:paraId="00000070">
      <w:pPr>
        <w:jc w:val="both"/>
        <w:rPr>
          <w:sz w:val="22"/>
          <w:szCs w:val="22"/>
        </w:rPr>
      </w:pPr>
      <w:r w:rsidDel="00000000" w:rsidR="00000000" w:rsidRPr="00000000">
        <w:rPr>
          <w:b w:val="1"/>
          <w:bCs w:val="1"/>
          <w:sz w:val="22"/>
          <w:szCs w:val="22"/>
          <w:rtl w:val="0"/>
        </w:rPr>
        <w:t xml:space="preserve">Criterios de Inclusión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 adulto con elevación severa de la presión arterial atendido en un centro de primer nivel de la red.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Disponibilidad de la valoración clínica y de las cifras de presión arterial.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Estabilidad clínica que permita la valoración remota y la espera del concepto experto.</w:t>
      </w:r>
    </w:p>
    <w:p w:rsidR="00000000" w:rsidDel="00000000" w:rsidP="00000000" w:rsidRDefault="00000000" w:rsidRPr="00000000" w14:paraId="00000074">
      <w:pPr>
        <w:jc w:val="both"/>
        <w:rPr>
          <w:sz w:val="22"/>
          <w:szCs w:val="22"/>
        </w:rPr>
      </w:pPr>
      <w:r w:rsidDel="00000000" w:rsidR="00000000" w:rsidRPr="00000000">
        <w:rPr>
          <w:b w:val="1"/>
          <w:bCs w:val="1"/>
          <w:sz w:val="22"/>
          <w:szCs w:val="22"/>
          <w:rtl w:val="0"/>
        </w:rPr>
        <w:t xml:space="preserve">Criterios de Exclusión (Remisión Urgente Presencial)</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Evidencia de daño agudo de órgano blanco (emergencia hipertensiva).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Inestabilidad clínica o sospecha de condición que requiera unidad de cuidados intensivos.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Cualquier condición que requiera intervención presencial inmediata; en estos casos se activa la ruta de urgencias y la remisión sin diferir la atención.</w:t>
      </w:r>
    </w:p>
    <w:p w:rsidR="00000000" w:rsidDel="00000000" w:rsidP="00000000" w:rsidRDefault="00000000" w:rsidRPr="00000000" w14:paraId="00000078">
      <w:pPr>
        <w:pStyle w:val="Heading1"/>
        <w:rPr>
          <w:sz w:val="22"/>
          <w:szCs w:val="22"/>
        </w:rPr>
      </w:pPr>
      <w:r w:rsidDel="00000000" w:rsidR="00000000" w:rsidRPr="00000000">
        <w:rPr>
          <w:sz w:val="22"/>
          <w:szCs w:val="22"/>
          <w:rtl w:val="0"/>
        </w:rPr>
        <w:t xml:space="preserve">13. Roles y Responsabilidades en Telesalud</w:t>
      </w:r>
    </w:p>
    <w:p w:rsidR="00000000" w:rsidDel="00000000" w:rsidP="00000000" w:rsidRDefault="00000000" w:rsidRPr="00000000" w14:paraId="00000079">
      <w:pPr>
        <w:jc w:val="both"/>
        <w:rPr>
          <w:sz w:val="22"/>
          <w:szCs w:val="22"/>
        </w:rPr>
      </w:pPr>
      <w:r w:rsidDel="00000000" w:rsidR="00000000" w:rsidRPr="00000000">
        <w:rPr>
          <w:b w:val="1"/>
          <w:bCs w:val="1"/>
          <w:sz w:val="22"/>
          <w:szCs w:val="22"/>
          <w:rtl w:val="0"/>
        </w:rPr>
        <w:t xml:space="preserve">Profesional solicitante (Primer Nivel)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Mide la presión arterial, busca signos de daño de órgano blanco e inicia las medidas iniciales.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Documenta la valoración clínica, las cifras, los síntomas y el tratamiento previo, y registra el consentimiento informado.</w:t>
      </w:r>
    </w:p>
    <w:p w:rsidR="00000000" w:rsidDel="00000000" w:rsidP="00000000" w:rsidRDefault="00000000" w:rsidRPr="00000000" w14:paraId="0000007C">
      <w:pPr>
        <w:jc w:val="both"/>
        <w:rPr>
          <w:sz w:val="22"/>
          <w:szCs w:val="22"/>
        </w:rPr>
      </w:pPr>
      <w:r w:rsidDel="00000000" w:rsidR="00000000" w:rsidRPr="00000000">
        <w:rPr>
          <w:b w:val="1"/>
          <w:bCs w:val="1"/>
          <w:sz w:val="22"/>
          <w:szCs w:val="22"/>
          <w:rtl w:val="0"/>
        </w:rPr>
        <w:t xml:space="preserve">Profesional experto (Centro Referente)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Evalúa la información, diferencia entre las dos entidades y emite el concepto y el plan de manejo.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Define las metas, el manejo y la necesidad y prioridad de remisión.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80">
      <w:pPr>
        <w:pStyle w:val="Heading1"/>
        <w:rPr>
          <w:sz w:val="22"/>
          <w:szCs w:val="22"/>
        </w:rPr>
      </w:pPr>
      <w:r w:rsidDel="00000000" w:rsidR="00000000" w:rsidRPr="00000000">
        <w:rPr>
          <w:sz w:val="22"/>
          <w:szCs w:val="22"/>
          <w:rtl w:val="0"/>
        </w:rPr>
        <w:t xml:space="preserve">14. Tiempos de Respuesta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Emergencia hipertensiva o detección de daño de órgano blanco en el primer nivel: respuesta inmediata; se activa la ruta de urgencias y la remisión sin esperar el concepto.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Hipertensión elevada asintomática u otras consultas: respuesta dentro de las primeras 12 horas de recibida la solicitud.</w:t>
      </w:r>
    </w:p>
    <w:p w:rsidR="00000000" w:rsidDel="00000000" w:rsidP="00000000" w:rsidRDefault="00000000" w:rsidRPr="00000000" w14:paraId="00000083">
      <w:pPr>
        <w:pStyle w:val="Heading1"/>
        <w:rPr>
          <w:sz w:val="22"/>
          <w:szCs w:val="22"/>
        </w:rPr>
      </w:pPr>
      <w:r w:rsidDel="00000000" w:rsidR="00000000" w:rsidRPr="00000000">
        <w:rPr>
          <w:sz w:val="22"/>
          <w:szCs w:val="22"/>
          <w:rtl w:val="0"/>
        </w:rPr>
        <w:t xml:space="preserve">15. Estrategias de Humanización Digital y Diálogo Intercultural</w:t>
      </w:r>
    </w:p>
    <w:p w:rsidR="00000000" w:rsidDel="00000000" w:rsidP="00000000" w:rsidRDefault="00000000" w:rsidRPr="00000000" w14:paraId="00000084">
      <w:pPr>
        <w:jc w:val="both"/>
        <w:rPr>
          <w:sz w:val="22"/>
          <w:szCs w:val="22"/>
        </w:rPr>
      </w:pPr>
      <w:r w:rsidDel="00000000" w:rsidR="00000000" w:rsidRPr="00000000">
        <w:rPr>
          <w:sz w:val="22"/>
          <w:szCs w:val="22"/>
          <w:rtl w:val="0"/>
        </w:rPr>
        <w:t xml:space="preserve">La atención por telesalud debe preservar el trato digno, empático y centrado en la persona, con una comunicación clara y en lenguaje sencillo, el respeto por las particularidades culturales y lingüísticas de las comunidades atendidas y la garantía de la confidencialidad. Se promueve la educación sobre la adherencia al tratamiento antihipertensivo como parte integral de la atención.</w:t>
      </w:r>
    </w:p>
    <w:p w:rsidR="00000000" w:rsidDel="00000000" w:rsidP="00000000" w:rsidRDefault="00000000" w:rsidRPr="00000000" w14:paraId="00000085">
      <w:pPr>
        <w:pStyle w:val="Heading1"/>
        <w:rPr>
          <w:sz w:val="22"/>
          <w:szCs w:val="22"/>
        </w:rPr>
      </w:pPr>
      <w:r w:rsidDel="00000000" w:rsidR="00000000" w:rsidRPr="00000000">
        <w:rPr>
          <w:sz w:val="22"/>
          <w:szCs w:val="22"/>
          <w:rtl w:val="0"/>
        </w:rPr>
        <w:t xml:space="preserve">16. Indicadores de Calidad y Seguimiento</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6">
            <w:pPr>
              <w:rPr>
                <w:sz w:val="22"/>
                <w:szCs w:val="22"/>
              </w:rPr>
            </w:pPr>
            <w:r w:rsidDel="00000000" w:rsidR="00000000" w:rsidRPr="00000000">
              <w:rPr>
                <w:b w:val="1"/>
                <w:bCs w:val="1"/>
                <w:sz w:val="22"/>
                <w:szCs w:val="22"/>
                <w:rtl w:val="0"/>
              </w:rPr>
              <w:t xml:space="preserve">Indicador</w:t>
            </w:r>
            <w:r w:rsidDel="00000000" w:rsidR="00000000" w:rsidRPr="00000000">
              <w:rPr>
                <w:rtl w:val="0"/>
              </w:rPr>
            </w:r>
          </w:p>
        </w:tc>
        <w:tc>
          <w:tcPr/>
          <w:p w:rsidR="00000000" w:rsidDel="00000000" w:rsidP="00000000" w:rsidRDefault="00000000" w:rsidRPr="00000000" w14:paraId="00000087">
            <w:pPr>
              <w:rPr>
                <w:sz w:val="22"/>
                <w:szCs w:val="22"/>
              </w:rPr>
            </w:pPr>
            <w:r w:rsidDel="00000000" w:rsidR="00000000" w:rsidRPr="00000000">
              <w:rPr>
                <w:b w:val="1"/>
                <w:bCs w:val="1"/>
                <w:sz w:val="22"/>
                <w:szCs w:val="22"/>
                <w:rtl w:val="0"/>
              </w:rPr>
              <w:t xml:space="preserve">Definición</w:t>
            </w:r>
            <w:r w:rsidDel="00000000" w:rsidR="00000000" w:rsidRPr="00000000">
              <w:rPr>
                <w:rtl w:val="0"/>
              </w:rPr>
            </w:r>
          </w:p>
        </w:tc>
        <w:tc>
          <w:tcPr/>
          <w:p w:rsidR="00000000" w:rsidDel="00000000" w:rsidP="00000000" w:rsidRDefault="00000000" w:rsidRPr="00000000" w14:paraId="00000088">
            <w:pPr>
              <w:rPr>
                <w:sz w:val="22"/>
                <w:szCs w:val="22"/>
              </w:rPr>
            </w:pPr>
            <w:r w:rsidDel="00000000" w:rsidR="00000000" w:rsidRPr="00000000">
              <w:rPr>
                <w:b w:val="1"/>
                <w:bCs w:val="1"/>
                <w:sz w:val="22"/>
                <w:szCs w:val="22"/>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9">
            <w:pPr>
              <w:rPr>
                <w:sz w:val="22"/>
                <w:szCs w:val="22"/>
              </w:rPr>
            </w:pPr>
            <w:r w:rsidDel="00000000" w:rsidR="00000000" w:rsidRPr="00000000">
              <w:rPr>
                <w:sz w:val="22"/>
                <w:szCs w:val="22"/>
                <w:rtl w:val="0"/>
              </w:rPr>
              <w:t xml:space="preserve">Oportunidad de respuesta</w:t>
            </w:r>
          </w:p>
        </w:tc>
        <w:tc>
          <w:tcPr/>
          <w:p w:rsidR="00000000" w:rsidDel="00000000" w:rsidP="00000000" w:rsidRDefault="00000000" w:rsidRPr="00000000" w14:paraId="0000008A">
            <w:pPr>
              <w:rPr>
                <w:sz w:val="22"/>
                <w:szCs w:val="22"/>
              </w:rPr>
            </w:pPr>
            <w:r w:rsidDel="00000000" w:rsidR="00000000" w:rsidRPr="00000000">
              <w:rPr>
                <w:sz w:val="22"/>
                <w:szCs w:val="22"/>
                <w:rtl w:val="0"/>
              </w:rPr>
              <w:t xml:space="preserve">% de solicitudes atendidas dentro del tiempo sugerido según la gravedad.</w:t>
            </w:r>
          </w:p>
        </w:tc>
        <w:tc>
          <w:tcPr/>
          <w:p w:rsidR="00000000" w:rsidDel="00000000" w:rsidP="00000000" w:rsidRDefault="00000000" w:rsidRPr="00000000" w14:paraId="0000008B">
            <w:pPr>
              <w:rPr>
                <w:sz w:val="22"/>
                <w:szCs w:val="22"/>
              </w:rPr>
            </w:pPr>
            <w:sdt>
              <w:sdtPr>
                <w:id w:val="-467890493"/>
                <w:tag w:val="goog_rdk_2"/>
              </w:sdtPr>
              <w:sdtContent>
                <w:r w:rsidDel="00000000" w:rsidR="00000000" w:rsidRPr="00000000">
                  <w:rPr>
                    <w:rFonts w:ascii="Arial Unicode MS" w:cs="Arial Unicode MS" w:eastAsia="Arial Unicode MS" w:hAnsi="Arial Unicode MS"/>
                    <w:sz w:val="22"/>
                    <w:szCs w:val="22"/>
                    <w:rtl w:val="0"/>
                  </w:rPr>
                  <w:t xml:space="preserve">≥ 90 %</w:t>
                </w:r>
              </w:sdtContent>
            </w:sdt>
          </w:p>
        </w:tc>
      </w:tr>
      <w:tr>
        <w:trPr>
          <w:cantSplit w:val="0"/>
          <w:tblHeader w:val="0"/>
        </w:trPr>
        <w:tc>
          <w:tcPr/>
          <w:p w:rsidR="00000000" w:rsidDel="00000000" w:rsidP="00000000" w:rsidRDefault="00000000" w:rsidRPr="00000000" w14:paraId="0000008C">
            <w:pPr>
              <w:rPr>
                <w:sz w:val="22"/>
                <w:szCs w:val="22"/>
              </w:rPr>
            </w:pPr>
            <w:r w:rsidDel="00000000" w:rsidR="00000000" w:rsidRPr="00000000">
              <w:rPr>
                <w:sz w:val="22"/>
                <w:szCs w:val="22"/>
                <w:rtl w:val="0"/>
              </w:rPr>
              <w:t xml:space="preserve">Reconocimiento de daño de órgano blanco</w:t>
            </w:r>
          </w:p>
        </w:tc>
        <w:tc>
          <w:tcPr/>
          <w:p w:rsidR="00000000" w:rsidDel="00000000" w:rsidP="00000000" w:rsidRDefault="00000000" w:rsidRPr="00000000" w14:paraId="0000008D">
            <w:pPr>
              <w:rPr>
                <w:sz w:val="22"/>
                <w:szCs w:val="22"/>
              </w:rPr>
            </w:pPr>
            <w:r w:rsidDel="00000000" w:rsidR="00000000" w:rsidRPr="00000000">
              <w:rPr>
                <w:sz w:val="22"/>
                <w:szCs w:val="22"/>
                <w:rtl w:val="0"/>
              </w:rPr>
              <w:t xml:space="preserve">% de casos con valoración documentada de signos y síntomas de daño agudo de órgano blanco.</w:t>
            </w:r>
          </w:p>
        </w:tc>
        <w:tc>
          <w:tcPr/>
          <w:p w:rsidR="00000000" w:rsidDel="00000000" w:rsidP="00000000" w:rsidRDefault="00000000" w:rsidRPr="00000000" w14:paraId="0000008E">
            <w:pPr>
              <w:rPr>
                <w:sz w:val="22"/>
                <w:szCs w:val="22"/>
              </w:rPr>
            </w:pPr>
            <w:sdt>
              <w:sdtPr>
                <w:id w:val="309658680"/>
                <w:tag w:val="goog_rdk_3"/>
              </w:sdtPr>
              <w:sdtContent>
                <w:r w:rsidDel="00000000" w:rsidR="00000000" w:rsidRPr="00000000">
                  <w:rPr>
                    <w:rFonts w:ascii="Arial Unicode MS" w:cs="Arial Unicode MS" w:eastAsia="Arial Unicode MS" w:hAnsi="Arial Unicode MS"/>
                    <w:sz w:val="22"/>
                    <w:szCs w:val="22"/>
                    <w:rtl w:val="0"/>
                  </w:rPr>
                  <w:t xml:space="preserve">≥ 95 %</w:t>
                </w:r>
              </w:sdtContent>
            </w:sdt>
          </w:p>
        </w:tc>
      </w:tr>
      <w:tr>
        <w:trPr>
          <w:cantSplit w:val="0"/>
          <w:tblHeader w:val="0"/>
        </w:trPr>
        <w:tc>
          <w:tcPr/>
          <w:p w:rsidR="00000000" w:rsidDel="00000000" w:rsidP="00000000" w:rsidRDefault="00000000" w:rsidRPr="00000000" w14:paraId="0000008F">
            <w:pPr>
              <w:rPr>
                <w:sz w:val="22"/>
                <w:szCs w:val="22"/>
              </w:rPr>
            </w:pPr>
            <w:r w:rsidDel="00000000" w:rsidR="00000000" w:rsidRPr="00000000">
              <w:rPr>
                <w:sz w:val="22"/>
                <w:szCs w:val="22"/>
                <w:rtl w:val="0"/>
              </w:rPr>
              <w:t xml:space="preserve">Remisión prioritaria oportuna</w:t>
            </w:r>
          </w:p>
        </w:tc>
        <w:tc>
          <w:tcPr/>
          <w:p w:rsidR="00000000" w:rsidDel="00000000" w:rsidP="00000000" w:rsidRDefault="00000000" w:rsidRPr="00000000" w14:paraId="00000090">
            <w:pPr>
              <w:rPr>
                <w:sz w:val="22"/>
                <w:szCs w:val="22"/>
              </w:rPr>
            </w:pPr>
            <w:r w:rsidDel="00000000" w:rsidR="00000000" w:rsidRPr="00000000">
              <w:rPr>
                <w:sz w:val="22"/>
                <w:szCs w:val="22"/>
                <w:rtl w:val="0"/>
              </w:rPr>
              <w:t xml:space="preserve">% de pacientes con emergencia hipertensiva remitidos de forma prioritaria.</w:t>
            </w:r>
          </w:p>
        </w:tc>
        <w:tc>
          <w:tcPr/>
          <w:p w:rsidR="00000000" w:rsidDel="00000000" w:rsidP="00000000" w:rsidRDefault="00000000" w:rsidRPr="00000000" w14:paraId="00000091">
            <w:pPr>
              <w:rPr>
                <w:sz w:val="22"/>
                <w:szCs w:val="22"/>
              </w:rPr>
            </w:pPr>
            <w:sdt>
              <w:sdtPr>
                <w:id w:val="426265897"/>
                <w:tag w:val="goog_rdk_4"/>
              </w:sdtPr>
              <w:sdtContent>
                <w:r w:rsidDel="00000000" w:rsidR="00000000" w:rsidRPr="00000000">
                  <w:rPr>
                    <w:rFonts w:ascii="Arial Unicode MS" w:cs="Arial Unicode MS" w:eastAsia="Arial Unicode MS" w:hAnsi="Arial Unicode MS"/>
                    <w:sz w:val="22"/>
                    <w:szCs w:val="22"/>
                    <w:rtl w:val="0"/>
                  </w:rPr>
                  <w:t xml:space="preserve">≥ 95 %</w:t>
                </w:r>
              </w:sdtContent>
            </w:sdt>
          </w:p>
        </w:tc>
      </w:tr>
      <w:tr>
        <w:trPr>
          <w:cantSplit w:val="0"/>
          <w:tblHeader w:val="0"/>
        </w:trPr>
        <w:tc>
          <w:tcPr/>
          <w:p w:rsidR="00000000" w:rsidDel="00000000" w:rsidP="00000000" w:rsidRDefault="00000000" w:rsidRPr="00000000" w14:paraId="00000092">
            <w:pPr>
              <w:rPr>
                <w:sz w:val="22"/>
                <w:szCs w:val="22"/>
              </w:rPr>
            </w:pPr>
            <w:r w:rsidDel="00000000" w:rsidR="00000000" w:rsidRPr="00000000">
              <w:rPr>
                <w:sz w:val="22"/>
                <w:szCs w:val="22"/>
                <w:rtl w:val="0"/>
              </w:rPr>
              <w:t xml:space="preserve">Adecuación del manejo</w:t>
            </w:r>
          </w:p>
        </w:tc>
        <w:tc>
          <w:tcPr/>
          <w:p w:rsidR="00000000" w:rsidDel="00000000" w:rsidP="00000000" w:rsidRDefault="00000000" w:rsidRPr="00000000" w14:paraId="00000093">
            <w:pPr>
              <w:rPr>
                <w:sz w:val="22"/>
                <w:szCs w:val="22"/>
              </w:rPr>
            </w:pPr>
            <w:r w:rsidDel="00000000" w:rsidR="00000000" w:rsidRPr="00000000">
              <w:rPr>
                <w:sz w:val="22"/>
                <w:szCs w:val="22"/>
                <w:rtl w:val="0"/>
              </w:rPr>
              <w:t xml:space="preserve">% de casos en que el manejo (oral ambulatorio o remisión para IV) es concordante con la clasificación.</w:t>
            </w:r>
          </w:p>
        </w:tc>
        <w:tc>
          <w:tcPr/>
          <w:p w:rsidR="00000000" w:rsidDel="00000000" w:rsidP="00000000" w:rsidRDefault="00000000" w:rsidRPr="00000000" w14:paraId="00000094">
            <w:pPr>
              <w:rPr>
                <w:sz w:val="22"/>
                <w:szCs w:val="22"/>
              </w:rPr>
            </w:pPr>
            <w:sdt>
              <w:sdtPr>
                <w:id w:val="-2046711289"/>
                <w:tag w:val="goog_rdk_5"/>
              </w:sdtPr>
              <w:sdtContent>
                <w:r w:rsidDel="00000000" w:rsidR="00000000" w:rsidRPr="00000000">
                  <w:rPr>
                    <w:rFonts w:ascii="Arial Unicode MS" w:cs="Arial Unicode MS" w:eastAsia="Arial Unicode MS" w:hAnsi="Arial Unicode MS"/>
                    <w:sz w:val="22"/>
                    <w:szCs w:val="22"/>
                    <w:rtl w:val="0"/>
                  </w:rPr>
                  <w:t xml:space="preserve">≥ 90 %</w:t>
                </w:r>
              </w:sdtContent>
            </w:sdt>
          </w:p>
        </w:tc>
      </w:tr>
      <w:tr>
        <w:trPr>
          <w:cantSplit w:val="0"/>
          <w:tblHeader w:val="0"/>
        </w:trPr>
        <w:tc>
          <w:tcPr/>
          <w:p w:rsidR="00000000" w:rsidDel="00000000" w:rsidP="00000000" w:rsidRDefault="00000000" w:rsidRPr="00000000" w14:paraId="00000095">
            <w:pPr>
              <w:rPr>
                <w:sz w:val="22"/>
                <w:szCs w:val="22"/>
              </w:rPr>
            </w:pPr>
            <w:r w:rsidDel="00000000" w:rsidR="00000000" w:rsidRPr="00000000">
              <w:rPr>
                <w:sz w:val="22"/>
                <w:szCs w:val="22"/>
                <w:rtl w:val="0"/>
              </w:rPr>
              <w:t xml:space="preserve">Registro de consentimiento</w:t>
            </w:r>
          </w:p>
        </w:tc>
        <w:tc>
          <w:tcPr/>
          <w:p w:rsidR="00000000" w:rsidDel="00000000" w:rsidP="00000000" w:rsidRDefault="00000000" w:rsidRPr="00000000" w14:paraId="00000096">
            <w:pPr>
              <w:rPr>
                <w:sz w:val="22"/>
                <w:szCs w:val="22"/>
              </w:rPr>
            </w:pPr>
            <w:r w:rsidDel="00000000" w:rsidR="00000000" w:rsidRPr="00000000">
              <w:rPr>
                <w:sz w:val="22"/>
                <w:szCs w:val="22"/>
                <w:rtl w:val="0"/>
              </w:rPr>
              <w:t xml:space="preserve">% de atenciones por telesalud con consentimiento informado registrado.</w:t>
            </w:r>
          </w:p>
        </w:tc>
        <w:tc>
          <w:tcPr/>
          <w:p w:rsidR="00000000" w:rsidDel="00000000" w:rsidP="00000000" w:rsidRDefault="00000000" w:rsidRPr="00000000" w14:paraId="00000097">
            <w:pPr>
              <w:rPr>
                <w:sz w:val="22"/>
                <w:szCs w:val="22"/>
              </w:rPr>
            </w:pPr>
            <w:r w:rsidDel="00000000" w:rsidR="00000000" w:rsidRPr="00000000">
              <w:rPr>
                <w:sz w:val="22"/>
                <w:szCs w:val="22"/>
                <w:rtl w:val="0"/>
              </w:rPr>
              <w:t xml:space="preserve">100 %</w:t>
            </w:r>
          </w:p>
        </w:tc>
      </w:tr>
      <w:tr>
        <w:trPr>
          <w:cantSplit w:val="0"/>
          <w:tblHeader w:val="0"/>
        </w:trPr>
        <w:tc>
          <w:tcPr/>
          <w:p w:rsidR="00000000" w:rsidDel="00000000" w:rsidP="00000000" w:rsidRDefault="00000000" w:rsidRPr="00000000" w14:paraId="00000098">
            <w:pPr>
              <w:rPr>
                <w:sz w:val="22"/>
                <w:szCs w:val="22"/>
              </w:rPr>
            </w:pPr>
            <w:r w:rsidDel="00000000" w:rsidR="00000000" w:rsidRPr="00000000">
              <w:rPr>
                <w:sz w:val="22"/>
                <w:szCs w:val="22"/>
                <w:rtl w:val="0"/>
              </w:rPr>
              <w:t xml:space="preserve">Seguimiento programado</w:t>
            </w:r>
          </w:p>
        </w:tc>
        <w:tc>
          <w:tcPr/>
          <w:p w:rsidR="00000000" w:rsidDel="00000000" w:rsidP="00000000" w:rsidRDefault="00000000" w:rsidRPr="00000000" w14:paraId="00000099">
            <w:pPr>
              <w:rPr>
                <w:sz w:val="22"/>
                <w:szCs w:val="22"/>
              </w:rPr>
            </w:pPr>
            <w:r w:rsidDel="00000000" w:rsidR="00000000" w:rsidRPr="00000000">
              <w:rPr>
                <w:sz w:val="22"/>
                <w:szCs w:val="22"/>
                <w:rtl w:val="0"/>
              </w:rPr>
              <w:t xml:space="preserve">% de pacientes con seguimiento o contrarreferencia documentada.</w:t>
            </w:r>
          </w:p>
        </w:tc>
        <w:tc>
          <w:tcPr/>
          <w:p w:rsidR="00000000" w:rsidDel="00000000" w:rsidP="00000000" w:rsidRDefault="00000000" w:rsidRPr="00000000" w14:paraId="0000009A">
            <w:pPr>
              <w:rPr>
                <w:sz w:val="22"/>
                <w:szCs w:val="22"/>
              </w:rPr>
            </w:pPr>
            <w:sdt>
              <w:sdtPr>
                <w:id w:val="1109868874"/>
                <w:tag w:val="goog_rdk_6"/>
              </w:sdtPr>
              <w:sdtContent>
                <w:r w:rsidDel="00000000" w:rsidR="00000000" w:rsidRPr="00000000">
                  <w:rPr>
                    <w:rFonts w:ascii="Arial Unicode MS" w:cs="Arial Unicode MS" w:eastAsia="Arial Unicode MS" w:hAnsi="Arial Unicode MS"/>
                    <w:sz w:val="22"/>
                    <w:szCs w:val="22"/>
                    <w:rtl w:val="0"/>
                  </w:rPr>
                  <w:t xml:space="preserve">≥ 90 %</w:t>
                </w:r>
              </w:sdtContent>
            </w:sdt>
          </w:p>
        </w:tc>
      </w:tr>
    </w:tbl>
    <w:p w:rsidR="00000000" w:rsidDel="00000000" w:rsidP="00000000" w:rsidRDefault="00000000" w:rsidRPr="00000000" w14:paraId="0000009B">
      <w:pPr>
        <w:pStyle w:val="Heading1"/>
        <w:rPr>
          <w:sz w:val="22"/>
          <w:szCs w:val="22"/>
        </w:rPr>
      </w:pPr>
      <w:r w:rsidDel="00000000" w:rsidR="00000000" w:rsidRPr="00000000">
        <w:rPr>
          <w:sz w:val="22"/>
          <w:szCs w:val="22"/>
          <w:rtl w:val="0"/>
        </w:rPr>
        <w:t xml:space="preserve">17. Bibliografía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Jones DW, Ferdinand KC, Taler SJ, et al. 2025 AHA/ACC/AANP/AAPA/ABC/ACCP/ACPM/AGS/AMA/ASPC/NMA/PCNA/SGIM Guideline for the Prevention, Detection, Evaluation, and Management of High Blood Pressure in Adults: A Report of the American College of Cardiology/American Heart Association Joint Committee on Clinical Practice Guidelines. J Am Coll Cardiol. 2025.</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Ona DID, Punzalan FE, Oliva RV, et al. Executive Summary of the 2024 Philippine Clinical Practice Guidelines on the Diagnosis and Management of Acute Severe Blood Pressure Elevation. J Clin Hypertens. 2026.</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Peixoto AJ. Acute Severe Hypertension. N Engl J Med. 2019.</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A1">
      <w:pPr>
        <w:pStyle w:val="Heading1"/>
        <w:rPr>
          <w:sz w:val="22"/>
          <w:szCs w:val="22"/>
        </w:rPr>
      </w:pPr>
      <w:r w:rsidDel="00000000" w:rsidR="00000000" w:rsidRPr="00000000">
        <w:rPr>
          <w:sz w:val="22"/>
          <w:szCs w:val="22"/>
          <w:rtl w:val="0"/>
        </w:rPr>
        <w:t xml:space="preserve">18. Responsables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b w:val="1"/>
          <w:bCs w:val="1"/>
          <w:sz w:val="22"/>
          <w:szCs w:val="22"/>
          <w:rtl w:val="0"/>
        </w:rPr>
        <w:t xml:space="preserve">REALIZA: Álvaro Javier Burgos Cárdenas </w:t>
      </w: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7">
          <w:pPr>
            <w:jc w:val="center"/>
            <w:rPr>
              <w:sz w:val="28"/>
              <w:szCs w:val="28"/>
            </w:rPr>
          </w:pPr>
          <w:r w:rsidDel="00000000" w:rsidR="00000000" w:rsidRPr="00000000">
            <w:rPr>
              <w:b w:val="1"/>
              <w:bCs w:val="1"/>
              <w:sz w:val="28"/>
              <w:szCs w:val="28"/>
              <w:rtl w:val="0"/>
            </w:rPr>
            <w:t xml:space="preserve">PROTOCOLO DE TELE-EXPERTICIA PARA EL MANEJO DE LAS CRISIS HIPERTENSIVAS</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f4LqKPQTWuoLe/KIiYUm7Q0Q==">CgMxLjAaHQoBMBIYChYIB0ISEhBBcmlhbCBVbmljb2RlIE1TGiQKATESHwodCAdCGQoFQXJpYWwSEEFyaWFsIFVuaWNvZGUgTVMaHQoBMhIYChYIB0ISEhBBcmlhbCBVbmljb2RlIE1TGh0KATMSGAoWCAdCEhIQQXJpYWwgVW5pY29kZSBNUxodCgE0EhgKFggHQhISEEFyaWFsIFVuaWNvZGUgTVMaHQoBNRIYChYIB0ISEhBBcmlhbCBVbmljb2RlIE1TGh0KATYSGAoWCAdCEhIQQXJpYWwgVW5pY29kZSBNUzgAciExR1pEbmY4QW5fbW9DRDBXMU02SThzOXJaOWJZOGpEM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