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85D85" w14:textId="77777777" w:rsidR="00E067CB" w:rsidRPr="002F0D61" w:rsidRDefault="00CF278A">
      <w:pPr>
        <w:pStyle w:val="Ttulo1"/>
        <w:rPr>
          <w:sz w:val="24"/>
          <w:szCs w:val="24"/>
        </w:rPr>
      </w:pPr>
      <w:r w:rsidRPr="002F0D61">
        <w:rPr>
          <w:sz w:val="24"/>
          <w:szCs w:val="24"/>
        </w:rPr>
        <w:t>1. Introducción</w:t>
      </w:r>
    </w:p>
    <w:p w14:paraId="04C8773C" w14:textId="77777777" w:rsidR="00E067CB" w:rsidRPr="002F0D61" w:rsidRDefault="00CF278A">
      <w:pPr>
        <w:jc w:val="both"/>
      </w:pPr>
      <w:r w:rsidRPr="002F0D61">
        <w:t>La hemorragia subaracnoidea (HSA) aneurismática espontánea es una emergencia neurológica de elevada morbimortalidad, en la que el reconocimiento temprano y el manejo oportuno son determinantes del pronóstico. El sangrado hacia el espacio subaracnoideo, habitualmente por la ruptura de un aneurisma cerebral, expone al paciente a complicaciones graves como el resangrado, el vasoespasmo y la isquemia cerebral tardía.</w:t>
      </w:r>
    </w:p>
    <w:p w14:paraId="1992E9F4" w14:textId="77777777" w:rsidR="00E067CB" w:rsidRPr="002F0D61" w:rsidRDefault="00CF278A">
      <w:pPr>
        <w:jc w:val="both"/>
      </w:pPr>
      <w:r w:rsidRPr="002F0D61">
        <w:t>El diagnóstico se fundamenta en un alto índice de sospecha clínica y en una evaluación por imagen rápida, mientras que el manejo definitivo requiere la atención en una unidad de cuidados intensivos (UCI) y la valoración urgente por neurocirugía o neurointervencionismo. La oportunidad en cada uno de estos pasos influye directamente en la supervivencia y en los resultados funcionales.</w:t>
      </w:r>
    </w:p>
    <w:p w14:paraId="3425EF1D" w14:textId="77777777" w:rsidR="00E067CB" w:rsidRPr="002F0D61" w:rsidRDefault="00CF278A">
      <w:pPr>
        <w:jc w:val="both"/>
      </w:pPr>
      <w:r w:rsidRPr="002F0D61">
        <w:t>En un país con marcadas brechas geográficas en el acceso a la atención neurológica y neuroquirúrgica especializada, la teleexperticia permite acercar el criterio del experto al sitio donde se encuentra el paciente, apoyar el reconocimiento y la remisión urgente desde el primer nivel, y orientar el manejo en la UCI, sin diferir la atención de una emergencia.</w:t>
      </w:r>
    </w:p>
    <w:p w14:paraId="2E52EB3A" w14:textId="77777777" w:rsidR="00E067CB" w:rsidRPr="002F0D61" w:rsidRDefault="00CF278A">
      <w:pPr>
        <w:jc w:val="both"/>
      </w:pPr>
      <w:r w:rsidRPr="002F0D61">
        <w:t>Este protocolo orienta la atención por telesalud de la HSA aneurismática espontánea en sus dos fases —reconocimiento y remisión, y apoyo al manejo en UCI— y no sustituye el juicio clínico individual ni las guías vigentes, que prevalecen en caso de discrepancia.</w:t>
      </w:r>
    </w:p>
    <w:p w14:paraId="3E16D2AF" w14:textId="77777777" w:rsidR="00E067CB" w:rsidRPr="002F0D61" w:rsidRDefault="00CF278A">
      <w:pPr>
        <w:pStyle w:val="Ttulo1"/>
        <w:rPr>
          <w:sz w:val="24"/>
          <w:szCs w:val="24"/>
        </w:rPr>
      </w:pPr>
      <w:r w:rsidRPr="002F0D61">
        <w:rPr>
          <w:sz w:val="24"/>
          <w:szCs w:val="24"/>
        </w:rPr>
        <w:t>2. Objetivo General</w:t>
      </w:r>
    </w:p>
    <w:p w14:paraId="0C9D4969" w14:textId="77777777" w:rsidR="00E067CB" w:rsidRPr="002F0D61" w:rsidRDefault="00CF278A">
      <w:pPr>
        <w:jc w:val="both"/>
      </w:pPr>
      <w:r w:rsidRPr="002F0D61">
        <w:t>Estandarizar la atención por teleexperticia de los pacientes con HSA aneurismática espontánea, articulando al centro remisor con el profesional experto para favorecer el reconocimiento temprano, el diagnóstico, la remisión urgente y el apoyo al manejo en la unidad de cuidados intensivos, con el fin de reducir la morbimortalidad prevenible.</w:t>
      </w:r>
    </w:p>
    <w:p w14:paraId="0915FFB7" w14:textId="77777777" w:rsidR="00E067CB" w:rsidRPr="002F0D61" w:rsidRDefault="00CF278A">
      <w:pPr>
        <w:pStyle w:val="Ttulo1"/>
        <w:rPr>
          <w:sz w:val="24"/>
          <w:szCs w:val="24"/>
        </w:rPr>
      </w:pPr>
      <w:r w:rsidRPr="002F0D61">
        <w:rPr>
          <w:sz w:val="24"/>
          <w:szCs w:val="24"/>
        </w:rPr>
        <w:t>3. Objetivos Específicos</w:t>
      </w:r>
    </w:p>
    <w:p w14:paraId="2BFFB64B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Apoyar el reconocimiento temprano de la HSA a partir de la sospecha clínica y la valoración por imagen.</w:t>
      </w:r>
    </w:p>
    <w:p w14:paraId="0C013889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Orientar la confirmación diagnóstica y la búsqueda de la etiología aneurismática.</w:t>
      </w:r>
    </w:p>
    <w:p w14:paraId="25E298B8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 xml:space="preserve">Definir la remisión urgente a un centro con UCI y disponibilidad de neurocirugía o </w:t>
      </w:r>
      <w:proofErr w:type="spellStart"/>
      <w:r w:rsidRPr="002F0D61">
        <w:rPr>
          <w:lang w:val="es-CO"/>
        </w:rPr>
        <w:t>neurointervencionismo</w:t>
      </w:r>
      <w:proofErr w:type="spellEnd"/>
      <w:r w:rsidRPr="002F0D61">
        <w:rPr>
          <w:lang w:val="es-CO"/>
        </w:rPr>
        <w:t>.</w:t>
      </w:r>
    </w:p>
    <w:p w14:paraId="0109801F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 xml:space="preserve">Apoyar el manejo en la UCI orientado a prevenir el </w:t>
      </w:r>
      <w:proofErr w:type="spellStart"/>
      <w:r w:rsidRPr="002F0D61">
        <w:rPr>
          <w:lang w:val="es-CO"/>
        </w:rPr>
        <w:t>resangrado</w:t>
      </w:r>
      <w:proofErr w:type="spellEnd"/>
      <w:r w:rsidRPr="002F0D61">
        <w:rPr>
          <w:lang w:val="es-CO"/>
        </w:rPr>
        <w:t>, el vasoespasmo y la isquemia cerebral tardía.</w:t>
      </w:r>
    </w:p>
    <w:p w14:paraId="6484DE5B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lastRenderedPageBreak/>
        <w:t>Orientar el tratamiento definitivo del aneurisma de forma oportuna.</w:t>
      </w:r>
    </w:p>
    <w:p w14:paraId="585332A2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Disponer de indicadores que permitan monitorizar la oportunidad, la adecuación clínica y la seguridad de la atención.</w:t>
      </w:r>
    </w:p>
    <w:p w14:paraId="0ACA5389" w14:textId="77777777" w:rsidR="00E067CB" w:rsidRPr="002F0D61" w:rsidRDefault="00CF278A">
      <w:pPr>
        <w:pStyle w:val="Ttulo1"/>
        <w:rPr>
          <w:sz w:val="24"/>
          <w:szCs w:val="24"/>
        </w:rPr>
      </w:pPr>
      <w:r w:rsidRPr="002F0D61">
        <w:rPr>
          <w:sz w:val="24"/>
          <w:szCs w:val="24"/>
        </w:rPr>
        <w:t>4. Alcance</w:t>
      </w:r>
    </w:p>
    <w:p w14:paraId="0EF36AB7" w14:textId="77777777" w:rsidR="00E067CB" w:rsidRPr="002F0D61" w:rsidRDefault="00CF278A">
      <w:pPr>
        <w:jc w:val="both"/>
      </w:pPr>
      <w:r w:rsidRPr="002F0D61">
        <w:t>Este protocolo aplica a la atención por teleexperticia de pacientes adultos con sospecha o diagnóstico de HSA aneurismática espontánea atendidos en los centros remisores de la red institucional. Cubre la interacción entre el profesional solicitante del centro remisor y el profesional experto del centro referente, en modalidad sincrónica, desde la sospecha y el diagnóstico hasta el apoyo al manejo en la UCI y la coordinación del tratamiento definitivo. Por tratarse de una emergencia, no reemplaza la atención</w:t>
      </w:r>
      <w:r w:rsidRPr="002F0D61">
        <w:t xml:space="preserve"> presencial ni el traslado, y la activación de la ruta de urgencias es siempre prioritaria.</w:t>
      </w:r>
    </w:p>
    <w:p w14:paraId="2B51ADF2" w14:textId="77777777" w:rsidR="00E067CB" w:rsidRPr="002F0D61" w:rsidRDefault="00CF278A">
      <w:pPr>
        <w:pStyle w:val="Ttulo1"/>
        <w:rPr>
          <w:sz w:val="24"/>
          <w:szCs w:val="24"/>
        </w:rPr>
      </w:pPr>
      <w:r w:rsidRPr="002F0D61">
        <w:rPr>
          <w:sz w:val="24"/>
          <w:szCs w:val="24"/>
        </w:rPr>
        <w:t>5. Marco Normativo</w:t>
      </w:r>
    </w:p>
    <w:p w14:paraId="778AF0FB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Resolución 2654 de 2019 (Ministerio de Salud y Protección Social): regula la telesalud y la telemedicina en Colombia.</w:t>
      </w:r>
    </w:p>
    <w:p w14:paraId="284BC5BF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Resolución 3100 de 2019 (Ministerio de Salud y Protección Social): define los estándares y procedimientos de habilitación de servicios de salud.</w:t>
      </w:r>
    </w:p>
    <w:p w14:paraId="7DEDEDE6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Ley 1419 de 2010: establece los lineamientos de la Política Nacional de Telesalud.</w:t>
      </w:r>
    </w:p>
    <w:p w14:paraId="2BCC95A1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Ley 1581 de 2012: régimen de protección de datos personales (Habeas Data).</w:t>
      </w:r>
    </w:p>
    <w:p w14:paraId="62950BBE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Decreto 538 de 2020: medidas sobre telemedicina en el marco de emergencias sanitarias.</w:t>
      </w:r>
    </w:p>
    <w:p w14:paraId="0AF05217" w14:textId="77777777" w:rsidR="00E067CB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Guías y lineamientos del Ministerio de Salud y Protección Social en materia de Telesalud.</w:t>
      </w:r>
    </w:p>
    <w:p w14:paraId="4F0FA20B" w14:textId="3C60FF26" w:rsidR="005930BE" w:rsidRPr="002F0D61" w:rsidRDefault="005930BE">
      <w:pPr>
        <w:pStyle w:val="Listaconvietas"/>
        <w:rPr>
          <w:lang w:val="es-CO"/>
        </w:rPr>
      </w:pPr>
      <w:r w:rsidRPr="005930BE">
        <w:rPr>
          <w:lang w:val="es-CO"/>
        </w:rPr>
        <w:t xml:space="preserve">Diagnóstico, tratamiento y rehabilitación del paciente adulto con hemorragia subaracnoidea aneurismática espontánea en el </w:t>
      </w:r>
      <w:r>
        <w:rPr>
          <w:lang w:val="es-CO"/>
        </w:rPr>
        <w:t>H</w:t>
      </w:r>
      <w:r w:rsidRPr="005930BE">
        <w:rPr>
          <w:lang w:val="es-CO"/>
        </w:rPr>
        <w:t xml:space="preserve">ospital </w:t>
      </w:r>
      <w:r>
        <w:rPr>
          <w:lang w:val="es-CO"/>
        </w:rPr>
        <w:t>U</w:t>
      </w:r>
      <w:r w:rsidRPr="005930BE">
        <w:rPr>
          <w:lang w:val="es-CO"/>
        </w:rPr>
        <w:t xml:space="preserve">niversitario </w:t>
      </w:r>
      <w:r>
        <w:rPr>
          <w:lang w:val="es-CO"/>
        </w:rPr>
        <w:t>N</w:t>
      </w:r>
      <w:r w:rsidRPr="005930BE">
        <w:rPr>
          <w:lang w:val="es-CO"/>
        </w:rPr>
        <w:t xml:space="preserve">acional de </w:t>
      </w:r>
      <w:r>
        <w:rPr>
          <w:lang w:val="es-CO"/>
        </w:rPr>
        <w:t>C</w:t>
      </w:r>
      <w:r w:rsidRPr="005930BE">
        <w:rPr>
          <w:lang w:val="es-CO"/>
        </w:rPr>
        <w:t>olombia  estándar clínico basado en la evidencia</w:t>
      </w:r>
    </w:p>
    <w:p w14:paraId="08AB3A12" w14:textId="77777777" w:rsidR="00E067CB" w:rsidRPr="002F0D61" w:rsidRDefault="00CF278A">
      <w:pPr>
        <w:pStyle w:val="Ttulo1"/>
        <w:rPr>
          <w:sz w:val="24"/>
          <w:szCs w:val="24"/>
        </w:rPr>
      </w:pPr>
      <w:r w:rsidRPr="002F0D61">
        <w:rPr>
          <w:sz w:val="24"/>
          <w:szCs w:val="24"/>
        </w:rPr>
        <w:t>6. Definiciones</w:t>
      </w:r>
    </w:p>
    <w:p w14:paraId="2BDF6D87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Telesalud: conjunto de actividades relacionadas con la salud prestadas a distancia con el apoyo de las tecnologías de la información y las comunicaciones (TIC).</w:t>
      </w:r>
    </w:p>
    <w:p w14:paraId="3579953B" w14:textId="77777777" w:rsidR="00E067CB" w:rsidRPr="002F0D61" w:rsidRDefault="00CF278A">
      <w:pPr>
        <w:pStyle w:val="Listaconvietas"/>
        <w:rPr>
          <w:lang w:val="es-CO"/>
        </w:rPr>
      </w:pPr>
      <w:proofErr w:type="spellStart"/>
      <w:r w:rsidRPr="002F0D61">
        <w:rPr>
          <w:lang w:val="es-CO"/>
        </w:rPr>
        <w:t>Teleexperticia</w:t>
      </w:r>
      <w:proofErr w:type="spellEnd"/>
      <w:r w:rsidRPr="002F0D61">
        <w:rPr>
          <w:lang w:val="es-CO"/>
        </w:rPr>
        <w:t>: relación a distancia, sincrónica o asincrónica, entre dos profesionales de la salud —uno presencial responsable del paciente y otro a distancia que asesora—.</w:t>
      </w:r>
    </w:p>
    <w:p w14:paraId="145ED353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lastRenderedPageBreak/>
        <w:t>Hemorragia subaracnoidea (HSA): sangrado hacia el espacio subaracnoideo; en su forma aneurismática espontánea se debe a la ruptura de un aneurisma cerebral.</w:t>
      </w:r>
    </w:p>
    <w:p w14:paraId="14DDD74B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Cefalea en trueno: cefalea aguda, intensa e inexplicable de instauración súbita, que alcanza su máxima intensidad en segundos.</w:t>
      </w:r>
    </w:p>
    <w:p w14:paraId="1D991E4E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Isquemia cerebral tardía (ICT): deterioro neurológico isquémico que aparece días después de la HSA, frecuentemente asociado a vasoespasmo.</w:t>
      </w:r>
    </w:p>
    <w:p w14:paraId="162C69CF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Xantocromía: coloración amarillenta del líquido cefalorraquídeo por degradación de la hemoglobina, útil para confirmar la HSA.</w:t>
      </w:r>
    </w:p>
    <w:p w14:paraId="40E3EB03" w14:textId="77777777" w:rsidR="00E067CB" w:rsidRPr="002F0D61" w:rsidRDefault="00CF278A">
      <w:pPr>
        <w:pStyle w:val="Ttulo1"/>
        <w:rPr>
          <w:sz w:val="24"/>
          <w:szCs w:val="24"/>
        </w:rPr>
      </w:pPr>
      <w:r w:rsidRPr="002F0D61">
        <w:rPr>
          <w:sz w:val="24"/>
          <w:szCs w:val="24"/>
        </w:rPr>
        <w:t>7. Diagnóstico</w:t>
      </w:r>
    </w:p>
    <w:p w14:paraId="02BBB081" w14:textId="77777777" w:rsidR="00E067CB" w:rsidRPr="002F0D61" w:rsidRDefault="00CF278A">
      <w:pPr>
        <w:jc w:val="both"/>
      </w:pPr>
      <w:r w:rsidRPr="002F0D61">
        <w:rPr>
          <w:b/>
          <w:bCs/>
        </w:rPr>
        <w:t>Sospecha clínica</w:t>
      </w:r>
    </w:p>
    <w:p w14:paraId="756EF33E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Mantener un alto índice de sospecha ante una cefalea aguda, intensa e inexplicable de instauración súbita ("cefalea en trueno"), que puede acompañarse de rigidez nucal, fotofobia, vómito o alteración del estado de conciencia.</w:t>
      </w:r>
    </w:p>
    <w:p w14:paraId="3C767C13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Para identificar pacientes de alto riesgo, se puede aplicar la Regla de Ottawa.</w:t>
      </w:r>
    </w:p>
    <w:p w14:paraId="2882BAB2" w14:textId="77777777" w:rsidR="00E067CB" w:rsidRPr="002F0D61" w:rsidRDefault="00CF278A">
      <w:pPr>
        <w:jc w:val="both"/>
      </w:pPr>
      <w:r w:rsidRPr="002F0D61">
        <w:rPr>
          <w:b/>
          <w:bCs/>
        </w:rPr>
        <w:t>Imagen inicial</w:t>
      </w:r>
    </w:p>
    <w:p w14:paraId="3A4117AE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El estudio de primera línea es la tomografía axial computarizada (TAC) de cráneo simple, con sensibilidad superior al 95 % si se realiza en las primeras 6 horas desde el inicio de los síntomas.</w:t>
      </w:r>
    </w:p>
    <w:p w14:paraId="6E363FF5" w14:textId="77777777" w:rsidR="00E067CB" w:rsidRPr="002F0D61" w:rsidRDefault="00CF278A">
      <w:pPr>
        <w:jc w:val="both"/>
      </w:pPr>
      <w:r w:rsidRPr="002F0D61">
        <w:rPr>
          <w:b/>
          <w:bCs/>
        </w:rPr>
        <w:t>Punción lumbar</w:t>
      </w:r>
    </w:p>
    <w:p w14:paraId="32407A5D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Si la TAC es negativa pero han pasado más de 6 horas desde el inicio de los síntomas, o persisten fuertes dudas clínicas, se recomienda punción lumbar para confirmar el diagnóstico mediante la búsqueda de xantocromía o un conteo elevado de glóbulos rojos.</w:t>
      </w:r>
    </w:p>
    <w:p w14:paraId="6EA30C09" w14:textId="77777777" w:rsidR="00E067CB" w:rsidRPr="002F0D61" w:rsidRDefault="00CF278A">
      <w:pPr>
        <w:jc w:val="both"/>
      </w:pPr>
      <w:r w:rsidRPr="002F0D61">
        <w:rPr>
          <w:b/>
          <w:bCs/>
        </w:rPr>
        <w:t>Búsqueda de la etiología (aneurisma)</w:t>
      </w:r>
    </w:p>
    <w:p w14:paraId="0011B5B3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 xml:space="preserve">Una vez confirmada la HSA, se realiza urgentemente una </w:t>
      </w:r>
      <w:proofErr w:type="spellStart"/>
      <w:r w:rsidRPr="002F0D61">
        <w:rPr>
          <w:lang w:val="es-CO"/>
        </w:rPr>
        <w:t>panangiografía</w:t>
      </w:r>
      <w:proofErr w:type="spellEnd"/>
      <w:r w:rsidRPr="002F0D61">
        <w:rPr>
          <w:lang w:val="es-CO"/>
        </w:rPr>
        <w:t xml:space="preserve"> cerebral de 6 vasos (estándar de referencia) para identificar la causa del sangrado. Si está contraindicada, se puede usar </w:t>
      </w:r>
      <w:proofErr w:type="spellStart"/>
      <w:r w:rsidRPr="002F0D61">
        <w:rPr>
          <w:lang w:val="es-CO"/>
        </w:rPr>
        <w:t>AngioTAC</w:t>
      </w:r>
      <w:proofErr w:type="spellEnd"/>
      <w:r w:rsidRPr="002F0D61">
        <w:rPr>
          <w:lang w:val="es-CO"/>
        </w:rPr>
        <w:t xml:space="preserve"> cerebral o </w:t>
      </w:r>
      <w:proofErr w:type="spellStart"/>
      <w:r w:rsidRPr="002F0D61">
        <w:rPr>
          <w:lang w:val="es-CO"/>
        </w:rPr>
        <w:t>angiorresonancia</w:t>
      </w:r>
      <w:proofErr w:type="spellEnd"/>
      <w:r w:rsidRPr="002F0D61">
        <w:rPr>
          <w:lang w:val="es-CO"/>
        </w:rPr>
        <w:t>.</w:t>
      </w:r>
    </w:p>
    <w:p w14:paraId="42745464" w14:textId="77777777" w:rsidR="00E067CB" w:rsidRPr="002F0D61" w:rsidRDefault="00CF278A">
      <w:pPr>
        <w:pStyle w:val="Ttulo1"/>
        <w:rPr>
          <w:sz w:val="24"/>
          <w:szCs w:val="24"/>
        </w:rPr>
      </w:pPr>
      <w:r w:rsidRPr="002F0D61">
        <w:rPr>
          <w:sz w:val="24"/>
          <w:szCs w:val="24"/>
        </w:rPr>
        <w:t>8. Tratamiento y Manejo en la UCI</w:t>
      </w:r>
    </w:p>
    <w:p w14:paraId="03D65B4C" w14:textId="77777777" w:rsidR="00E067CB" w:rsidRPr="002F0D61" w:rsidRDefault="00CF278A">
      <w:pPr>
        <w:jc w:val="both"/>
      </w:pPr>
      <w:r w:rsidRPr="002F0D61">
        <w:t>El ingreso a la UCI busca prevenir daños secundarios como la isquemia cerebral tardía (ICT), el vasoespasmo y el resangrado.</w:t>
      </w:r>
    </w:p>
    <w:p w14:paraId="517920FD" w14:textId="77777777" w:rsidR="00E067CB" w:rsidRPr="002F0D61" w:rsidRDefault="00CF278A">
      <w:pPr>
        <w:jc w:val="both"/>
      </w:pPr>
      <w:r w:rsidRPr="002F0D61">
        <w:rPr>
          <w:b/>
          <w:bCs/>
        </w:rPr>
        <w:lastRenderedPageBreak/>
        <w:t>Medidas médicas avanzadas y generales</w:t>
      </w:r>
    </w:p>
    <w:p w14:paraId="2EF37476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Reposo en cama con la cabecera elevada a 30°, bajo monitorización continua de signos vitales.</w:t>
      </w:r>
    </w:p>
    <w:p w14:paraId="4CC79195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Control estricto de la glucemia, evitando tanto la hiperglucemia como la hipoglucemia.</w:t>
      </w:r>
    </w:p>
    <w:p w14:paraId="1F28DC3E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Manejo del dolor de manera multimodal.</w:t>
      </w:r>
    </w:p>
    <w:p w14:paraId="7D960B90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Evaluación del estado neurológico y de la dinámica pupilar cada hora.</w:t>
      </w:r>
    </w:p>
    <w:p w14:paraId="004699BD" w14:textId="77777777" w:rsidR="00E067CB" w:rsidRPr="002F0D61" w:rsidRDefault="00CF278A">
      <w:pPr>
        <w:jc w:val="both"/>
      </w:pPr>
      <w:r w:rsidRPr="002F0D61">
        <w:rPr>
          <w:b/>
          <w:bCs/>
        </w:rPr>
        <w:t>Prevención de isquemia cerebral y vasoespasmo</w:t>
      </w:r>
    </w:p>
    <w:p w14:paraId="2F84960B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 xml:space="preserve">Iniciar de forma precoz </w:t>
      </w:r>
      <w:proofErr w:type="spellStart"/>
      <w:r w:rsidRPr="002F0D61">
        <w:rPr>
          <w:lang w:val="es-CO"/>
        </w:rPr>
        <w:t>nimodipino</w:t>
      </w:r>
      <w:proofErr w:type="spellEnd"/>
      <w:r w:rsidRPr="002F0D61">
        <w:rPr>
          <w:lang w:val="es-CO"/>
        </w:rPr>
        <w:t xml:space="preserve"> enteral (60 mg, equivalente a 2 tabletas, cada 4 horas hasta el día 21), por su beneficio en la prevención de la isquemia cerebral tardía y la mejora de los resultados funcionales.</w:t>
      </w:r>
    </w:p>
    <w:p w14:paraId="0C7CE830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 xml:space="preserve">Realizar seguimiento con </w:t>
      </w:r>
      <w:proofErr w:type="spellStart"/>
      <w:r w:rsidRPr="002F0D61">
        <w:rPr>
          <w:lang w:val="es-CO"/>
        </w:rPr>
        <w:t>doppler</w:t>
      </w:r>
      <w:proofErr w:type="spellEnd"/>
      <w:r w:rsidRPr="002F0D61">
        <w:rPr>
          <w:lang w:val="es-CO"/>
        </w:rPr>
        <w:t xml:space="preserve"> transcraneal cada 12 horas para la detección temprana de vasoespasmo.</w:t>
      </w:r>
    </w:p>
    <w:p w14:paraId="2EE4202D" w14:textId="77777777" w:rsidR="00E067CB" w:rsidRPr="002F0D61" w:rsidRDefault="00CF278A">
      <w:pPr>
        <w:jc w:val="both"/>
      </w:pPr>
      <w:r w:rsidRPr="002F0D61">
        <w:rPr>
          <w:b/>
          <w:bCs/>
        </w:rPr>
        <w:t>Control de presión arterial y volemia</w:t>
      </w:r>
    </w:p>
    <w:p w14:paraId="00B334AB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Mantener la presión arterial sistólica entre 140 y 160 mmHg, y la presión arterial media por encima de 90 mmHg.</w:t>
      </w:r>
    </w:p>
    <w:p w14:paraId="75F8412F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Evitar la hipotensión grave y la variabilidad en la presión arterial.</w:t>
      </w:r>
    </w:p>
    <w:p w14:paraId="4FE9A9B3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 xml:space="preserve">Asegurar la </w:t>
      </w:r>
      <w:proofErr w:type="spellStart"/>
      <w:r w:rsidRPr="002F0D61">
        <w:rPr>
          <w:lang w:val="es-CO"/>
        </w:rPr>
        <w:t>euvolemia</w:t>
      </w:r>
      <w:proofErr w:type="spellEnd"/>
      <w:r w:rsidRPr="002F0D61">
        <w:rPr>
          <w:lang w:val="es-CO"/>
        </w:rPr>
        <w:t>; la hipervolemia profiláctica inducida se asocia con mayor morbilidad.</w:t>
      </w:r>
    </w:p>
    <w:p w14:paraId="5220268C" w14:textId="77777777" w:rsidR="00E067CB" w:rsidRPr="002F0D61" w:rsidRDefault="00CF278A">
      <w:pPr>
        <w:jc w:val="both"/>
      </w:pPr>
      <w:r w:rsidRPr="002F0D61">
        <w:rPr>
          <w:b/>
          <w:bCs/>
        </w:rPr>
        <w:t>Profilaxis</w:t>
      </w:r>
    </w:p>
    <w:p w14:paraId="36739FA1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Anticonvulsivantes: solo se recomienda profilaxis (como levetiracetam por 7 días) en pacientes con alto riesgo de crisis epilépticas, tales como aneurismas de la arteria cerebral media, hemorragia intraparenquimatosa, hidrocefalia o HSA de alto grado.</w:t>
      </w:r>
    </w:p>
    <w:p w14:paraId="0CBFA401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 xml:space="preserve">Tromboembolismo: iniciar </w:t>
      </w:r>
      <w:proofErr w:type="spellStart"/>
      <w:r w:rsidRPr="002F0D61">
        <w:rPr>
          <w:lang w:val="es-CO"/>
        </w:rPr>
        <w:t>tromboprofilaxis</w:t>
      </w:r>
      <w:proofErr w:type="spellEnd"/>
      <w:r w:rsidRPr="002F0D61">
        <w:rPr>
          <w:lang w:val="es-CO"/>
        </w:rPr>
        <w:t xml:space="preserve"> mecánica (sistemas de compresión intermitente) desde la admisión para reducir el riesgo de trombosis venosa profunda.</w:t>
      </w:r>
    </w:p>
    <w:p w14:paraId="2F037CE7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 xml:space="preserve">Laxantes: utilizados según necesidad para evitar la constipación y las maniobras de Valsalva que aumenten el riesgo de </w:t>
      </w:r>
      <w:proofErr w:type="spellStart"/>
      <w:r w:rsidRPr="002F0D61">
        <w:rPr>
          <w:lang w:val="es-CO"/>
        </w:rPr>
        <w:t>resangrado</w:t>
      </w:r>
      <w:proofErr w:type="spellEnd"/>
      <w:r w:rsidRPr="002F0D61">
        <w:rPr>
          <w:lang w:val="es-CO"/>
        </w:rPr>
        <w:t>.</w:t>
      </w:r>
    </w:p>
    <w:p w14:paraId="33DB68C9" w14:textId="77777777" w:rsidR="00E067CB" w:rsidRPr="002F0D61" w:rsidRDefault="00CF278A">
      <w:pPr>
        <w:jc w:val="both"/>
      </w:pPr>
      <w:r w:rsidRPr="002F0D61">
        <w:rPr>
          <w:b/>
          <w:bCs/>
        </w:rPr>
        <w:t>Neuroprotección</w:t>
      </w:r>
    </w:p>
    <w:p w14:paraId="034FA9B6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 xml:space="preserve">En pacientes con deterioro neurológico grave o hipertensión intracraneal severa, se requiere intubación orotraqueal y </w:t>
      </w:r>
      <w:proofErr w:type="spellStart"/>
      <w:r w:rsidRPr="002F0D61">
        <w:rPr>
          <w:lang w:val="es-CO"/>
        </w:rPr>
        <w:t>sedoanalgesia</w:t>
      </w:r>
      <w:proofErr w:type="spellEnd"/>
      <w:r w:rsidRPr="002F0D61">
        <w:rPr>
          <w:lang w:val="es-CO"/>
        </w:rPr>
        <w:t xml:space="preserve"> profunda (preferiblemente </w:t>
      </w:r>
      <w:proofErr w:type="spellStart"/>
      <w:r w:rsidRPr="002F0D61">
        <w:rPr>
          <w:lang w:val="es-CO"/>
        </w:rPr>
        <w:t>propofol</w:t>
      </w:r>
      <w:proofErr w:type="spellEnd"/>
      <w:r w:rsidRPr="002F0D61">
        <w:rPr>
          <w:lang w:val="es-CO"/>
        </w:rPr>
        <w:t xml:space="preserve"> como sedante y remifentanilo como analgésico), con metas de sedación medidas por la escala RASS (meta -5).</w:t>
      </w:r>
    </w:p>
    <w:p w14:paraId="222E518F" w14:textId="77777777" w:rsidR="00E067CB" w:rsidRPr="002F0D61" w:rsidRDefault="00CF278A">
      <w:pPr>
        <w:jc w:val="both"/>
      </w:pPr>
      <w:r w:rsidRPr="002F0D61">
        <w:rPr>
          <w:b/>
          <w:bCs/>
        </w:rPr>
        <w:lastRenderedPageBreak/>
        <w:t>Tratamiento definitivo del aneurisma</w:t>
      </w:r>
    </w:p>
    <w:p w14:paraId="65FB9565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El paciente debe ser valorado de emergencia por neurocirugía/</w:t>
      </w:r>
      <w:proofErr w:type="spellStart"/>
      <w:r w:rsidRPr="002F0D61">
        <w:rPr>
          <w:lang w:val="es-CO"/>
        </w:rPr>
        <w:t>neurointervencionismo</w:t>
      </w:r>
      <w:proofErr w:type="spellEnd"/>
      <w:r w:rsidRPr="002F0D61">
        <w:rPr>
          <w:lang w:val="es-CO"/>
        </w:rPr>
        <w:t>. El tratamiento, mediante oclusión endovascular (</w:t>
      </w:r>
      <w:proofErr w:type="spellStart"/>
      <w:r w:rsidRPr="002F0D61">
        <w:rPr>
          <w:lang w:val="es-CO"/>
        </w:rPr>
        <w:t>coiling</w:t>
      </w:r>
      <w:proofErr w:type="spellEnd"/>
      <w:r w:rsidRPr="002F0D61">
        <w:rPr>
          <w:lang w:val="es-CO"/>
        </w:rPr>
        <w:t xml:space="preserve">) o </w:t>
      </w:r>
      <w:proofErr w:type="spellStart"/>
      <w:r w:rsidRPr="002F0D61">
        <w:rPr>
          <w:lang w:val="es-CO"/>
        </w:rPr>
        <w:t>clipaje</w:t>
      </w:r>
      <w:proofErr w:type="spellEnd"/>
      <w:r w:rsidRPr="002F0D61">
        <w:rPr>
          <w:lang w:val="es-CO"/>
        </w:rPr>
        <w:t xml:space="preserve"> neuroquirúrgico, debe realizarse tan pronto como sea posible, preferiblemente en las primeras 24 horas.</w:t>
      </w:r>
    </w:p>
    <w:p w14:paraId="7F9F283E" w14:textId="77777777" w:rsidR="00E067CB" w:rsidRPr="002F0D61" w:rsidRDefault="00CF278A">
      <w:pPr>
        <w:pStyle w:val="Ttulo1"/>
        <w:rPr>
          <w:sz w:val="24"/>
          <w:szCs w:val="24"/>
        </w:rPr>
      </w:pPr>
      <w:r w:rsidRPr="002F0D61">
        <w:rPr>
          <w:sz w:val="24"/>
          <w:szCs w:val="24"/>
        </w:rPr>
        <w:t>9. Flujo Operativo y Clínico en Telesalud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9"/>
        <w:gridCol w:w="3749"/>
        <w:gridCol w:w="1575"/>
        <w:gridCol w:w="1685"/>
      </w:tblGrid>
      <w:tr w:rsidR="00E067CB" w:rsidRPr="002F0D61" w14:paraId="6C35DBBB" w14:textId="77777777">
        <w:tc>
          <w:tcPr>
            <w:tcW w:w="2209" w:type="dxa"/>
          </w:tcPr>
          <w:p w14:paraId="17D7C996" w14:textId="77777777" w:rsidR="00E067CB" w:rsidRPr="002F0D61" w:rsidRDefault="00CF278A">
            <w:r w:rsidRPr="002F0D61">
              <w:rPr>
                <w:b/>
              </w:rPr>
              <w:t>Etapa</w:t>
            </w:r>
          </w:p>
        </w:tc>
        <w:tc>
          <w:tcPr>
            <w:tcW w:w="2209" w:type="dxa"/>
          </w:tcPr>
          <w:p w14:paraId="4C5D4B18" w14:textId="77777777" w:rsidR="00E067CB" w:rsidRPr="002F0D61" w:rsidRDefault="00CF278A">
            <w:r w:rsidRPr="002F0D61">
              <w:rPr>
                <w:b/>
              </w:rPr>
              <w:t>Actividad</w:t>
            </w:r>
          </w:p>
        </w:tc>
        <w:tc>
          <w:tcPr>
            <w:tcW w:w="2209" w:type="dxa"/>
          </w:tcPr>
          <w:p w14:paraId="3216BC20" w14:textId="77777777" w:rsidR="00E067CB" w:rsidRPr="002F0D61" w:rsidRDefault="00CF278A">
            <w:r w:rsidRPr="002F0D61">
              <w:rPr>
                <w:b/>
              </w:rPr>
              <w:t>Responsable</w:t>
            </w:r>
          </w:p>
        </w:tc>
        <w:tc>
          <w:tcPr>
            <w:tcW w:w="2209" w:type="dxa"/>
          </w:tcPr>
          <w:p w14:paraId="2D3BDA63" w14:textId="77777777" w:rsidR="00E067CB" w:rsidRPr="002F0D61" w:rsidRDefault="00CF278A">
            <w:r w:rsidRPr="002F0D61">
              <w:rPr>
                <w:b/>
              </w:rPr>
              <w:t>Acción / Canales</w:t>
            </w:r>
          </w:p>
        </w:tc>
      </w:tr>
      <w:tr w:rsidR="00E067CB" w:rsidRPr="002F0D61" w14:paraId="00066D80" w14:textId="77777777">
        <w:tc>
          <w:tcPr>
            <w:tcW w:w="2209" w:type="dxa"/>
          </w:tcPr>
          <w:p w14:paraId="693B97FB" w14:textId="77777777" w:rsidR="00E067CB" w:rsidRPr="002F0D61" w:rsidRDefault="00CF278A">
            <w:r w:rsidRPr="002F0D61">
              <w:t>1. Identificación y sospecha</w:t>
            </w:r>
          </w:p>
        </w:tc>
        <w:tc>
          <w:tcPr>
            <w:tcW w:w="2209" w:type="dxa"/>
          </w:tcPr>
          <w:p w14:paraId="2E426C8C" w14:textId="77777777" w:rsidR="00E067CB" w:rsidRPr="002F0D61" w:rsidRDefault="00CF278A">
            <w:r w:rsidRPr="002F0D61">
              <w:t>Reconocimiento de la sospecha de HSA (cefalea en trueno y signos asociados) e inicio de las medidas iniciales; ante deterioro neurológico, soporte y activación de la ruta de urgencias.</w:t>
            </w:r>
          </w:p>
        </w:tc>
        <w:tc>
          <w:tcPr>
            <w:tcW w:w="2209" w:type="dxa"/>
          </w:tcPr>
          <w:p w14:paraId="454B1412" w14:textId="77777777" w:rsidR="00E067CB" w:rsidRPr="002F0D61" w:rsidRDefault="00CF278A">
            <w:r w:rsidRPr="002F0D61">
              <w:t>Profesional asistencial presencial / Centro Remisor</w:t>
            </w:r>
          </w:p>
        </w:tc>
        <w:tc>
          <w:tcPr>
            <w:tcW w:w="2209" w:type="dxa"/>
          </w:tcPr>
          <w:p w14:paraId="6C4DCEE1" w14:textId="77777777" w:rsidR="00E067CB" w:rsidRPr="002F0D61" w:rsidRDefault="00CF278A">
            <w:r w:rsidRPr="002F0D61">
              <w:t>Atención presencial; estabilización inicial antes de o durante la solicitud del concepto.</w:t>
            </w:r>
          </w:p>
        </w:tc>
      </w:tr>
      <w:tr w:rsidR="00E067CB" w:rsidRPr="002F0D61" w14:paraId="786307F8" w14:textId="77777777">
        <w:tc>
          <w:tcPr>
            <w:tcW w:w="2209" w:type="dxa"/>
          </w:tcPr>
          <w:p w14:paraId="11A38060" w14:textId="77777777" w:rsidR="00E067CB" w:rsidRPr="002F0D61" w:rsidRDefault="00CF278A">
            <w:r w:rsidRPr="002F0D61">
              <w:t>2. Verificación y consentimiento</w:t>
            </w:r>
          </w:p>
        </w:tc>
        <w:tc>
          <w:tcPr>
            <w:tcW w:w="2209" w:type="dxa"/>
          </w:tcPr>
          <w:p w14:paraId="4880912F" w14:textId="77777777" w:rsidR="00E067CB" w:rsidRPr="002F0D61" w:rsidRDefault="00CF278A">
            <w:r w:rsidRPr="002F0D61">
              <w:t>Verificación de identidad del paciente y del profesional solicitante; registro del consentimiento informado.</w:t>
            </w:r>
          </w:p>
        </w:tc>
        <w:tc>
          <w:tcPr>
            <w:tcW w:w="2209" w:type="dxa"/>
          </w:tcPr>
          <w:p w14:paraId="074E82F3" w14:textId="77777777" w:rsidR="00E067CB" w:rsidRPr="002F0D61" w:rsidRDefault="00CF278A">
            <w:r w:rsidRPr="002F0D61">
              <w:t>Profesional solicitante / Centro Remisor</w:t>
            </w:r>
          </w:p>
        </w:tc>
        <w:tc>
          <w:tcPr>
            <w:tcW w:w="2209" w:type="dxa"/>
          </w:tcPr>
          <w:p w14:paraId="6A02617E" w14:textId="77777777" w:rsidR="00E067CB" w:rsidRPr="002F0D61" w:rsidRDefault="00CF278A">
            <w:r w:rsidRPr="002F0D61">
              <w:t>Registro del consentimiento en la historia clínica institucional.</w:t>
            </w:r>
          </w:p>
        </w:tc>
      </w:tr>
      <w:tr w:rsidR="00E067CB" w:rsidRPr="002F0D61" w14:paraId="54754E73" w14:textId="77777777">
        <w:tc>
          <w:tcPr>
            <w:tcW w:w="2209" w:type="dxa"/>
          </w:tcPr>
          <w:p w14:paraId="0A35B633" w14:textId="77777777" w:rsidR="00E067CB" w:rsidRPr="002F0D61" w:rsidRDefault="00CF278A">
            <w:r w:rsidRPr="002F0D61">
              <w:t>3. Diligenciamiento y envío de datos</w:t>
            </w:r>
          </w:p>
        </w:tc>
        <w:tc>
          <w:tcPr>
            <w:tcW w:w="2209" w:type="dxa"/>
          </w:tcPr>
          <w:p w14:paraId="499B74CE" w14:textId="77777777" w:rsidR="00E067CB" w:rsidRPr="002F0D61" w:rsidRDefault="00CF278A">
            <w:r w:rsidRPr="002F0D61">
              <w:t>Consolidación de la valoración clínica, los signos vitales, el estado neurológico y los paraclínicos e imágenes disponibles (TAC de cráneo).</w:t>
            </w:r>
          </w:p>
        </w:tc>
        <w:tc>
          <w:tcPr>
            <w:tcW w:w="2209" w:type="dxa"/>
          </w:tcPr>
          <w:p w14:paraId="6BDCD81A" w14:textId="77777777" w:rsidR="00E067CB" w:rsidRPr="002F0D61" w:rsidRDefault="00CF278A">
            <w:r w:rsidRPr="002F0D61">
              <w:t>Profesional solicitante / Centro Remisor</w:t>
            </w:r>
          </w:p>
        </w:tc>
        <w:tc>
          <w:tcPr>
            <w:tcW w:w="2209" w:type="dxa"/>
          </w:tcPr>
          <w:p w14:paraId="125B5269" w14:textId="77777777" w:rsidR="00E067CB" w:rsidRPr="002F0D61" w:rsidRDefault="00CF278A">
            <w:r w:rsidRPr="002F0D61">
              <w:t>Envío por la plataforma institucional de telesalud / sistema de historia clínica electrónica.</w:t>
            </w:r>
          </w:p>
        </w:tc>
      </w:tr>
      <w:tr w:rsidR="00E067CB" w:rsidRPr="002F0D61" w14:paraId="4C51B932" w14:textId="77777777">
        <w:tc>
          <w:tcPr>
            <w:tcW w:w="2209" w:type="dxa"/>
          </w:tcPr>
          <w:p w14:paraId="334F767B" w14:textId="77777777" w:rsidR="00E067CB" w:rsidRPr="002F0D61" w:rsidRDefault="00CF278A">
            <w:r w:rsidRPr="002F0D61">
              <w:t>4. Análisis y concepto clínico</w:t>
            </w:r>
          </w:p>
        </w:tc>
        <w:tc>
          <w:tcPr>
            <w:tcW w:w="2209" w:type="dxa"/>
          </w:tcPr>
          <w:p w14:paraId="0A812B52" w14:textId="77777777" w:rsidR="00E067CB" w:rsidRPr="002F0D61" w:rsidRDefault="00CF278A">
            <w:r w:rsidRPr="002F0D61">
              <w:t>Apoyo al diagnóstico, definición de la remisión urgente a un centro con UCI y neurocirugía/neurointervencionismo, y orientación del manejo inicial.</w:t>
            </w:r>
          </w:p>
        </w:tc>
        <w:tc>
          <w:tcPr>
            <w:tcW w:w="2209" w:type="dxa"/>
          </w:tcPr>
          <w:p w14:paraId="1867AC14" w14:textId="77777777" w:rsidR="00E067CB" w:rsidRPr="002F0D61" w:rsidRDefault="00CF278A">
            <w:r w:rsidRPr="002F0D61">
              <w:t>Profesional experto</w:t>
            </w:r>
          </w:p>
        </w:tc>
        <w:tc>
          <w:tcPr>
            <w:tcW w:w="2209" w:type="dxa"/>
          </w:tcPr>
          <w:p w14:paraId="5C413316" w14:textId="77777777" w:rsidR="00E067CB" w:rsidRPr="002F0D61" w:rsidRDefault="00CF278A">
            <w:r w:rsidRPr="002F0D61">
              <w:t>Registro del concepto en el sistema de historia clínica.</w:t>
            </w:r>
          </w:p>
        </w:tc>
      </w:tr>
      <w:tr w:rsidR="00E067CB" w:rsidRPr="002F0D61" w14:paraId="1421558B" w14:textId="77777777">
        <w:tc>
          <w:tcPr>
            <w:tcW w:w="2209" w:type="dxa"/>
          </w:tcPr>
          <w:p w14:paraId="763A83B6" w14:textId="77777777" w:rsidR="00E067CB" w:rsidRPr="002F0D61" w:rsidRDefault="00CF278A">
            <w:r w:rsidRPr="002F0D61">
              <w:t>5. Apoyo al manejo en UCI</w:t>
            </w:r>
          </w:p>
        </w:tc>
        <w:tc>
          <w:tcPr>
            <w:tcW w:w="2209" w:type="dxa"/>
          </w:tcPr>
          <w:p w14:paraId="3DDBC112" w14:textId="77777777" w:rsidR="00E067CB" w:rsidRPr="002F0D61" w:rsidRDefault="00CF278A">
            <w:r w:rsidRPr="002F0D61">
              <w:t>Orientación del manejo en la UCI (prevención de vasoespasmo, control de presión arterial, profilaxis, neuroprotección) y coordinación del tratamiento definitivo.</w:t>
            </w:r>
          </w:p>
        </w:tc>
        <w:tc>
          <w:tcPr>
            <w:tcW w:w="2209" w:type="dxa"/>
          </w:tcPr>
          <w:p w14:paraId="328AB55E" w14:textId="77777777" w:rsidR="00E067CB" w:rsidRPr="002F0D61" w:rsidRDefault="00CF278A">
            <w:r w:rsidRPr="002F0D61">
              <w:t>Profesional experto</w:t>
            </w:r>
          </w:p>
        </w:tc>
        <w:tc>
          <w:tcPr>
            <w:tcW w:w="2209" w:type="dxa"/>
          </w:tcPr>
          <w:p w14:paraId="0E5CAB39" w14:textId="77777777" w:rsidR="00E067CB" w:rsidRPr="002F0D61" w:rsidRDefault="00CF278A">
            <w:r w:rsidRPr="002F0D61">
              <w:t>Comunicación continua; coordinación con el centro de referencia.</w:t>
            </w:r>
          </w:p>
        </w:tc>
      </w:tr>
    </w:tbl>
    <w:p w14:paraId="5DDB72F0" w14:textId="77777777" w:rsidR="00E067CB" w:rsidRPr="002F0D61" w:rsidRDefault="00CF278A">
      <w:pPr>
        <w:pStyle w:val="Ttulo1"/>
        <w:rPr>
          <w:sz w:val="24"/>
          <w:szCs w:val="24"/>
        </w:rPr>
      </w:pPr>
      <w:r w:rsidRPr="002F0D61">
        <w:rPr>
          <w:sz w:val="24"/>
          <w:szCs w:val="24"/>
        </w:rPr>
        <w:lastRenderedPageBreak/>
        <w:t>10. Criterios de Inclusión / Exclusión en Telesalud</w:t>
      </w:r>
    </w:p>
    <w:p w14:paraId="46D538EE" w14:textId="77777777" w:rsidR="00E067CB" w:rsidRPr="002F0D61" w:rsidRDefault="00CF278A">
      <w:pPr>
        <w:jc w:val="both"/>
      </w:pPr>
      <w:r w:rsidRPr="002F0D61">
        <w:rPr>
          <w:b/>
          <w:bCs/>
        </w:rPr>
        <w:t>Criterios de Inclusión</w:t>
      </w:r>
    </w:p>
    <w:p w14:paraId="7CF5D0D5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Paciente adulto con sospecha o diagnóstico de HSA aneurismática espontánea atendido en un centro remisor de la red.</w:t>
      </w:r>
    </w:p>
    <w:p w14:paraId="7D597B6E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Disponibilidad de la valoración clínica, el estado neurológico y los paraclínicos o imágenes pertinentes.</w:t>
      </w:r>
    </w:p>
    <w:p w14:paraId="6CE11522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Posibilidad de iniciar medidas de soporte mientras se define la conducta.</w:t>
      </w:r>
    </w:p>
    <w:p w14:paraId="11F4A208" w14:textId="77777777" w:rsidR="00E067CB" w:rsidRPr="002F0D61" w:rsidRDefault="00CF278A">
      <w:pPr>
        <w:jc w:val="both"/>
      </w:pPr>
      <w:r w:rsidRPr="002F0D61">
        <w:rPr>
          <w:b/>
          <w:bCs/>
        </w:rPr>
        <w:t>Criterios de Exclusión (Remisión Urgente Presencial)</w:t>
      </w:r>
    </w:p>
    <w:p w14:paraId="70F8B6F0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Deterioro neurológico grave, hipertensión intracraneal severa o inestabilidad que requiera intervención presencial inmediata.</w:t>
      </w:r>
    </w:p>
    <w:p w14:paraId="108F1192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Necesidad de manejo en UCI o de tratamiento definitivo del aneurisma no disponible en el centro remisor.</w:t>
      </w:r>
    </w:p>
    <w:p w14:paraId="5BA1D598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Cualquier condición que requiera intervención presencial inmediata; en estos casos se activa la ruta de urgencias y la remisión sin diferir la atención.</w:t>
      </w:r>
    </w:p>
    <w:p w14:paraId="6A8C13F7" w14:textId="77777777" w:rsidR="00E067CB" w:rsidRPr="002F0D61" w:rsidRDefault="00CF278A">
      <w:pPr>
        <w:pStyle w:val="Ttulo1"/>
        <w:rPr>
          <w:sz w:val="24"/>
          <w:szCs w:val="24"/>
        </w:rPr>
      </w:pPr>
      <w:r w:rsidRPr="002F0D61">
        <w:rPr>
          <w:sz w:val="24"/>
          <w:szCs w:val="24"/>
        </w:rPr>
        <w:t>11. Roles y Responsabilidades en Telesalud</w:t>
      </w:r>
    </w:p>
    <w:p w14:paraId="1AE6CC37" w14:textId="77777777" w:rsidR="00E067CB" w:rsidRPr="002F0D61" w:rsidRDefault="00CF278A">
      <w:pPr>
        <w:jc w:val="both"/>
      </w:pPr>
      <w:r w:rsidRPr="002F0D61">
        <w:rPr>
          <w:b/>
          <w:bCs/>
        </w:rPr>
        <w:t>Profesional solicitante (Centro Remisor)</w:t>
      </w:r>
    </w:p>
    <w:p w14:paraId="23351986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Reconoce la sospecha de HSA, inicia las medidas iniciales y estabiliza al paciente.</w:t>
      </w:r>
    </w:p>
    <w:p w14:paraId="4720DE5B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Documenta la valoración clínica, el estado neurológico y los paraclínicos e imágenes disponibles, y registra el consentimiento informado.</w:t>
      </w:r>
    </w:p>
    <w:p w14:paraId="52FF1722" w14:textId="77777777" w:rsidR="00E067CB" w:rsidRPr="002F0D61" w:rsidRDefault="00CF278A">
      <w:pPr>
        <w:jc w:val="both"/>
      </w:pPr>
      <w:r w:rsidRPr="002F0D61">
        <w:rPr>
          <w:b/>
          <w:bCs/>
        </w:rPr>
        <w:t>Profesional experto (Centro Referente)</w:t>
      </w:r>
    </w:p>
    <w:p w14:paraId="1F275788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Evalúa la información, apoya el diagnóstico y emite el concepto y el plan de manejo.</w:t>
      </w:r>
    </w:p>
    <w:p w14:paraId="4355D0A0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Define la remisión, orienta el manejo en la UCI y coordina el tratamiento definitivo.</w:t>
      </w:r>
    </w:p>
    <w:p w14:paraId="4E316A42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Actores de soporte: personal administrativo y tecnológico que garantiza la operación de la plataforma, la trazabilidad y la seguridad de la información.</w:t>
      </w:r>
    </w:p>
    <w:p w14:paraId="58C6418A" w14:textId="77777777" w:rsidR="00E067CB" w:rsidRPr="002F0D61" w:rsidRDefault="00CF278A">
      <w:pPr>
        <w:pStyle w:val="Ttulo1"/>
        <w:rPr>
          <w:sz w:val="24"/>
          <w:szCs w:val="24"/>
        </w:rPr>
      </w:pPr>
      <w:r w:rsidRPr="002F0D61">
        <w:rPr>
          <w:sz w:val="24"/>
          <w:szCs w:val="24"/>
        </w:rPr>
        <w:t>12. Tiempos de Respuesta</w:t>
      </w:r>
    </w:p>
    <w:p w14:paraId="48CD239F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 xml:space="preserve">HSA con deterioro neurológico, sospecha de </w:t>
      </w:r>
      <w:proofErr w:type="spellStart"/>
      <w:r w:rsidRPr="002F0D61">
        <w:rPr>
          <w:lang w:val="es-CO"/>
        </w:rPr>
        <w:t>resangrado</w:t>
      </w:r>
      <w:proofErr w:type="spellEnd"/>
      <w:r w:rsidRPr="002F0D61">
        <w:rPr>
          <w:lang w:val="es-CO"/>
        </w:rPr>
        <w:t xml:space="preserve"> o criterios de urgencia: respuesta inmediata; se activa la ruta de urgencias y la remisión sin esperar el concepto.</w:t>
      </w:r>
    </w:p>
    <w:p w14:paraId="00DC7876" w14:textId="77777777" w:rsidR="00E067CB" w:rsidRPr="002F0D61" w:rsidRDefault="00CF278A">
      <w:pPr>
        <w:pStyle w:val="Listaconvietas"/>
        <w:rPr>
          <w:lang w:val="es-CO"/>
        </w:rPr>
      </w:pPr>
      <w:r w:rsidRPr="002F0D61">
        <w:rPr>
          <w:lang w:val="es-CO"/>
        </w:rPr>
        <w:t>HSA estable o consulta de apoyo al manejo: respuesta dentro de las primeras 6 horas de recibida la solicitud.</w:t>
      </w:r>
    </w:p>
    <w:p w14:paraId="2505F759" w14:textId="77777777" w:rsidR="00E067CB" w:rsidRPr="002F0D61" w:rsidRDefault="00CF278A">
      <w:pPr>
        <w:pStyle w:val="Ttulo1"/>
        <w:rPr>
          <w:sz w:val="24"/>
          <w:szCs w:val="24"/>
        </w:rPr>
      </w:pPr>
      <w:r w:rsidRPr="002F0D61">
        <w:rPr>
          <w:sz w:val="24"/>
          <w:szCs w:val="24"/>
        </w:rPr>
        <w:lastRenderedPageBreak/>
        <w:t>13. Estrategias de Humanización Digital y Diálogo Intercultural</w:t>
      </w:r>
    </w:p>
    <w:p w14:paraId="70EED8D0" w14:textId="77777777" w:rsidR="00E067CB" w:rsidRPr="002F0D61" w:rsidRDefault="00CF278A">
      <w:pPr>
        <w:jc w:val="both"/>
      </w:pPr>
      <w:r w:rsidRPr="002F0D61">
        <w:t>La atención por telesalud debe preservar el trato digno, empático y centrado en la persona, con una comunicación clara y en lenguaje sencillo, el respeto por las particularidades culturales y lingüísticas de las comunidades atendidas y la garantía de la confidencialidad. Se brinda contención e información oportuna al paciente y a su familia ante una situación de alta complejidad y estrés.</w:t>
      </w:r>
    </w:p>
    <w:p w14:paraId="160093D8" w14:textId="77777777" w:rsidR="00E067CB" w:rsidRPr="002F0D61" w:rsidRDefault="00CF278A">
      <w:pPr>
        <w:pStyle w:val="Ttulo1"/>
        <w:rPr>
          <w:sz w:val="24"/>
          <w:szCs w:val="24"/>
        </w:rPr>
      </w:pPr>
      <w:r w:rsidRPr="002F0D61">
        <w:rPr>
          <w:sz w:val="24"/>
          <w:szCs w:val="24"/>
        </w:rPr>
        <w:t>14. Indicadores de Calidad y Seguimiento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3"/>
        <w:gridCol w:w="4099"/>
        <w:gridCol w:w="2216"/>
      </w:tblGrid>
      <w:tr w:rsidR="00E067CB" w:rsidRPr="002F0D61" w14:paraId="57AD901B" w14:textId="77777777">
        <w:tc>
          <w:tcPr>
            <w:tcW w:w="2946" w:type="dxa"/>
          </w:tcPr>
          <w:p w14:paraId="2F349378" w14:textId="77777777" w:rsidR="00E067CB" w:rsidRPr="002F0D61" w:rsidRDefault="00CF278A">
            <w:r w:rsidRPr="002F0D61">
              <w:rPr>
                <w:b/>
              </w:rPr>
              <w:t>Indicador</w:t>
            </w:r>
          </w:p>
        </w:tc>
        <w:tc>
          <w:tcPr>
            <w:tcW w:w="2946" w:type="dxa"/>
          </w:tcPr>
          <w:p w14:paraId="0F0A3FCF" w14:textId="77777777" w:rsidR="00E067CB" w:rsidRPr="002F0D61" w:rsidRDefault="00CF278A">
            <w:r w:rsidRPr="002F0D61">
              <w:rPr>
                <w:b/>
              </w:rPr>
              <w:t>Definición</w:t>
            </w:r>
          </w:p>
        </w:tc>
        <w:tc>
          <w:tcPr>
            <w:tcW w:w="2946" w:type="dxa"/>
          </w:tcPr>
          <w:p w14:paraId="173E9A2E" w14:textId="77777777" w:rsidR="00E067CB" w:rsidRPr="002F0D61" w:rsidRDefault="00CF278A">
            <w:r w:rsidRPr="002F0D61">
              <w:rPr>
                <w:b/>
              </w:rPr>
              <w:t>Meta Sugerida</w:t>
            </w:r>
          </w:p>
        </w:tc>
      </w:tr>
      <w:tr w:rsidR="00E067CB" w:rsidRPr="002F0D61" w14:paraId="713DE609" w14:textId="77777777">
        <w:tc>
          <w:tcPr>
            <w:tcW w:w="2946" w:type="dxa"/>
          </w:tcPr>
          <w:p w14:paraId="387E3AE5" w14:textId="77777777" w:rsidR="00E067CB" w:rsidRPr="002F0D61" w:rsidRDefault="00CF278A">
            <w:r w:rsidRPr="002F0D61">
              <w:t>Oportunidad de respuesta</w:t>
            </w:r>
          </w:p>
        </w:tc>
        <w:tc>
          <w:tcPr>
            <w:tcW w:w="2946" w:type="dxa"/>
          </w:tcPr>
          <w:p w14:paraId="5DA629EC" w14:textId="77777777" w:rsidR="00E067CB" w:rsidRPr="002F0D61" w:rsidRDefault="00CF278A">
            <w:r w:rsidRPr="002F0D61">
              <w:t>% de solicitudes de teleexperticia por HSA atendidas dentro del tiempo sugerido según la gravedad.</w:t>
            </w:r>
          </w:p>
        </w:tc>
        <w:tc>
          <w:tcPr>
            <w:tcW w:w="2946" w:type="dxa"/>
          </w:tcPr>
          <w:p w14:paraId="4AA32E8E" w14:textId="77777777" w:rsidR="00E067CB" w:rsidRPr="002F0D61" w:rsidRDefault="00CF278A">
            <w:r w:rsidRPr="002F0D61">
              <w:t>≥ 90 %</w:t>
            </w:r>
          </w:p>
        </w:tc>
      </w:tr>
      <w:tr w:rsidR="00E067CB" w:rsidRPr="002F0D61" w14:paraId="4C6B6067" w14:textId="77777777">
        <w:tc>
          <w:tcPr>
            <w:tcW w:w="2946" w:type="dxa"/>
          </w:tcPr>
          <w:p w14:paraId="6EAEC90C" w14:textId="77777777" w:rsidR="00E067CB" w:rsidRPr="002F0D61" w:rsidRDefault="00CF278A">
            <w:r w:rsidRPr="002F0D61">
              <w:t>Reconocimiento y diagnóstico</w:t>
            </w:r>
          </w:p>
        </w:tc>
        <w:tc>
          <w:tcPr>
            <w:tcW w:w="2946" w:type="dxa"/>
          </w:tcPr>
          <w:p w14:paraId="4263D336" w14:textId="77777777" w:rsidR="00E067CB" w:rsidRPr="002F0D61" w:rsidRDefault="00CF278A">
            <w:r w:rsidRPr="002F0D61">
              <w:t>% de casos con valoración documentada de la sospecha y el diagnóstico por imagen.</w:t>
            </w:r>
          </w:p>
        </w:tc>
        <w:tc>
          <w:tcPr>
            <w:tcW w:w="2946" w:type="dxa"/>
          </w:tcPr>
          <w:p w14:paraId="0AAA9038" w14:textId="77777777" w:rsidR="00E067CB" w:rsidRPr="002F0D61" w:rsidRDefault="00CF278A">
            <w:r w:rsidRPr="002F0D61">
              <w:t>≥ 90 %</w:t>
            </w:r>
          </w:p>
        </w:tc>
      </w:tr>
      <w:tr w:rsidR="00E067CB" w:rsidRPr="002F0D61" w14:paraId="3DD6459D" w14:textId="77777777">
        <w:tc>
          <w:tcPr>
            <w:tcW w:w="2946" w:type="dxa"/>
          </w:tcPr>
          <w:p w14:paraId="4E5E21C3" w14:textId="77777777" w:rsidR="00E067CB" w:rsidRPr="002F0D61" w:rsidRDefault="00CF278A">
            <w:r w:rsidRPr="002F0D61">
              <w:t>Remisión oportuna</w:t>
            </w:r>
          </w:p>
        </w:tc>
        <w:tc>
          <w:tcPr>
            <w:tcW w:w="2946" w:type="dxa"/>
          </w:tcPr>
          <w:p w14:paraId="0C422796" w14:textId="77777777" w:rsidR="00E067CB" w:rsidRPr="002F0D61" w:rsidRDefault="00CF278A">
            <w:r w:rsidRPr="002F0D61">
              <w:t>% de pacientes remitidos de forma oportuna a un centro con UCI y neurocirugía/neurointervencionismo.</w:t>
            </w:r>
          </w:p>
        </w:tc>
        <w:tc>
          <w:tcPr>
            <w:tcW w:w="2946" w:type="dxa"/>
          </w:tcPr>
          <w:p w14:paraId="60F54EA0" w14:textId="77777777" w:rsidR="00E067CB" w:rsidRPr="002F0D61" w:rsidRDefault="00CF278A">
            <w:r w:rsidRPr="002F0D61">
              <w:t>≥ 95 %</w:t>
            </w:r>
          </w:p>
        </w:tc>
      </w:tr>
      <w:tr w:rsidR="00E067CB" w:rsidRPr="002F0D61" w14:paraId="37456183" w14:textId="77777777">
        <w:tc>
          <w:tcPr>
            <w:tcW w:w="2946" w:type="dxa"/>
          </w:tcPr>
          <w:p w14:paraId="60396AAE" w14:textId="77777777" w:rsidR="00E067CB" w:rsidRPr="002F0D61" w:rsidRDefault="00CF278A">
            <w:r w:rsidRPr="002F0D61">
              <w:t>Inicio de nimodipino</w:t>
            </w:r>
          </w:p>
        </w:tc>
        <w:tc>
          <w:tcPr>
            <w:tcW w:w="2946" w:type="dxa"/>
          </w:tcPr>
          <w:p w14:paraId="15BE7C77" w14:textId="77777777" w:rsidR="00E067CB" w:rsidRPr="002F0D61" w:rsidRDefault="00CF278A">
            <w:r w:rsidRPr="002F0D61">
              <w:t>% de pacientes con HSA confirmada en quienes se documenta el inicio precoz de nimodipino.</w:t>
            </w:r>
          </w:p>
        </w:tc>
        <w:tc>
          <w:tcPr>
            <w:tcW w:w="2946" w:type="dxa"/>
          </w:tcPr>
          <w:p w14:paraId="47B9A03F" w14:textId="77777777" w:rsidR="00E067CB" w:rsidRPr="002F0D61" w:rsidRDefault="00CF278A">
            <w:r w:rsidRPr="002F0D61">
              <w:t>≥ 90 %</w:t>
            </w:r>
          </w:p>
        </w:tc>
      </w:tr>
      <w:tr w:rsidR="00E067CB" w:rsidRPr="002F0D61" w14:paraId="22EF8BE8" w14:textId="77777777">
        <w:tc>
          <w:tcPr>
            <w:tcW w:w="2946" w:type="dxa"/>
          </w:tcPr>
          <w:p w14:paraId="7BBAA325" w14:textId="77777777" w:rsidR="00E067CB" w:rsidRPr="002F0D61" w:rsidRDefault="00CF278A">
            <w:r w:rsidRPr="002F0D61">
              <w:t>Registro de consentimiento</w:t>
            </w:r>
          </w:p>
        </w:tc>
        <w:tc>
          <w:tcPr>
            <w:tcW w:w="2946" w:type="dxa"/>
          </w:tcPr>
          <w:p w14:paraId="4211CA5D" w14:textId="77777777" w:rsidR="00E067CB" w:rsidRPr="002F0D61" w:rsidRDefault="00CF278A">
            <w:r w:rsidRPr="002F0D61">
              <w:t>% de atenciones por telesalud con consentimiento informado registrado.</w:t>
            </w:r>
          </w:p>
        </w:tc>
        <w:tc>
          <w:tcPr>
            <w:tcW w:w="2946" w:type="dxa"/>
          </w:tcPr>
          <w:p w14:paraId="3F8D1871" w14:textId="77777777" w:rsidR="00E067CB" w:rsidRPr="002F0D61" w:rsidRDefault="00CF278A">
            <w:r w:rsidRPr="002F0D61">
              <w:t>100 %</w:t>
            </w:r>
          </w:p>
        </w:tc>
      </w:tr>
      <w:tr w:rsidR="00E067CB" w:rsidRPr="002F0D61" w14:paraId="3F93F015" w14:textId="77777777">
        <w:tc>
          <w:tcPr>
            <w:tcW w:w="2946" w:type="dxa"/>
          </w:tcPr>
          <w:p w14:paraId="5AD7097D" w14:textId="77777777" w:rsidR="00E067CB" w:rsidRPr="002F0D61" w:rsidRDefault="00CF278A">
            <w:r w:rsidRPr="002F0D61">
              <w:t>Tratamiento definitivo oportuno</w:t>
            </w:r>
          </w:p>
        </w:tc>
        <w:tc>
          <w:tcPr>
            <w:tcW w:w="2946" w:type="dxa"/>
          </w:tcPr>
          <w:p w14:paraId="0693E1D2" w14:textId="77777777" w:rsidR="00E067CB" w:rsidRPr="002F0D61" w:rsidRDefault="00CF278A">
            <w:r w:rsidRPr="002F0D61">
              <w:t>% de pacientes con tratamiento definitivo del aneurisma documentado de forma oportuna.</w:t>
            </w:r>
          </w:p>
        </w:tc>
        <w:tc>
          <w:tcPr>
            <w:tcW w:w="2946" w:type="dxa"/>
          </w:tcPr>
          <w:p w14:paraId="724AEDDB" w14:textId="77777777" w:rsidR="00E067CB" w:rsidRPr="002F0D61" w:rsidRDefault="00CF278A">
            <w:r w:rsidRPr="002F0D61">
              <w:t>≥ 85 %</w:t>
            </w:r>
          </w:p>
        </w:tc>
      </w:tr>
    </w:tbl>
    <w:p w14:paraId="296E237B" w14:textId="77777777" w:rsidR="00E067CB" w:rsidRPr="002F0D61" w:rsidRDefault="00CF278A">
      <w:pPr>
        <w:pStyle w:val="Ttulo1"/>
        <w:rPr>
          <w:sz w:val="24"/>
          <w:szCs w:val="24"/>
        </w:rPr>
      </w:pPr>
      <w:r w:rsidRPr="002F0D61">
        <w:rPr>
          <w:sz w:val="24"/>
          <w:szCs w:val="24"/>
        </w:rPr>
        <w:t>15. Bibliografía</w:t>
      </w:r>
    </w:p>
    <w:p w14:paraId="5897A179" w14:textId="1ED2A35A" w:rsidR="00D560E4" w:rsidRPr="002F0D61" w:rsidRDefault="00CF278A" w:rsidP="00D560E4">
      <w:pPr>
        <w:pStyle w:val="Listaconvietas"/>
        <w:rPr>
          <w:lang w:val="es-CO"/>
        </w:rPr>
      </w:pPr>
      <w:r w:rsidRPr="00D560E4">
        <w:rPr>
          <w:lang w:val="es-CO"/>
        </w:rPr>
        <w:t>G</w:t>
      </w:r>
      <w:r w:rsidR="00D560E4" w:rsidRPr="00D560E4">
        <w:rPr>
          <w:lang w:val="es-CO"/>
        </w:rPr>
        <w:t xml:space="preserve"> </w:t>
      </w:r>
      <w:r w:rsidR="00D560E4" w:rsidRPr="005930BE">
        <w:rPr>
          <w:lang w:val="es-CO"/>
        </w:rPr>
        <w:t xml:space="preserve">Diagnóstico, tratamiento y rehabilitación del paciente adulto con hemorragia subaracnoidea aneurismática espontánea en el </w:t>
      </w:r>
      <w:r w:rsidR="00D560E4">
        <w:rPr>
          <w:lang w:val="es-CO"/>
        </w:rPr>
        <w:t>H</w:t>
      </w:r>
      <w:r w:rsidR="00D560E4" w:rsidRPr="005930BE">
        <w:rPr>
          <w:lang w:val="es-CO"/>
        </w:rPr>
        <w:t xml:space="preserve">ospital </w:t>
      </w:r>
      <w:r w:rsidR="00D560E4">
        <w:rPr>
          <w:lang w:val="es-CO"/>
        </w:rPr>
        <w:t>U</w:t>
      </w:r>
      <w:r w:rsidR="00D560E4" w:rsidRPr="005930BE">
        <w:rPr>
          <w:lang w:val="es-CO"/>
        </w:rPr>
        <w:t xml:space="preserve">niversitario </w:t>
      </w:r>
      <w:r w:rsidR="00D560E4">
        <w:rPr>
          <w:lang w:val="es-CO"/>
        </w:rPr>
        <w:t>N</w:t>
      </w:r>
      <w:r w:rsidR="00D560E4" w:rsidRPr="005930BE">
        <w:rPr>
          <w:lang w:val="es-CO"/>
        </w:rPr>
        <w:t xml:space="preserve">acional de </w:t>
      </w:r>
      <w:r w:rsidR="00D560E4">
        <w:rPr>
          <w:lang w:val="es-CO"/>
        </w:rPr>
        <w:t>C</w:t>
      </w:r>
      <w:r w:rsidR="00D560E4" w:rsidRPr="005930BE">
        <w:rPr>
          <w:lang w:val="es-CO"/>
        </w:rPr>
        <w:t>olombia  estándar clínico basado en la evidencia</w:t>
      </w:r>
      <w:r w:rsidR="00D560E4">
        <w:rPr>
          <w:lang w:val="es-CO"/>
        </w:rPr>
        <w:t xml:space="preserve">. Disponible en: </w:t>
      </w:r>
      <w:hyperlink r:id="rId8" w:history="1">
        <w:r w:rsidR="00AF4F3D" w:rsidRPr="000B746C">
          <w:rPr>
            <w:rStyle w:val="Hipervnculo"/>
            <w:lang w:val="es-CO"/>
          </w:rPr>
          <w:t>https://www.hun.edu.co/sites/default/files/2025</w:t>
        </w:r>
      </w:hyperlink>
      <w:r w:rsidR="00AF4F3D">
        <w:rPr>
          <w:lang w:val="es-CO"/>
        </w:rPr>
        <w:t xml:space="preserve"> </w:t>
      </w:r>
      <w:r w:rsidR="00AF4F3D" w:rsidRPr="00AF4F3D">
        <w:rPr>
          <w:lang w:val="es-CO"/>
        </w:rPr>
        <w:t>03/02_20_ECBE_HemorragiaSubaracnoidea.pdf</w:t>
      </w:r>
    </w:p>
    <w:p w14:paraId="0CE93B97" w14:textId="4C1A71E7" w:rsidR="00E067CB" w:rsidRPr="002F0D61" w:rsidRDefault="00CF278A" w:rsidP="004922E6">
      <w:pPr>
        <w:pStyle w:val="Listaconvietas"/>
      </w:pPr>
      <w:r w:rsidRPr="00D560E4">
        <w:rPr>
          <w:lang w:val="es-CO"/>
        </w:rPr>
        <w:t xml:space="preserve">Colombia. Ministerio de Salud y Protección Social. </w:t>
      </w:r>
      <w:proofErr w:type="spellStart"/>
      <w:r w:rsidRPr="002F0D61">
        <w:t>Resolución</w:t>
      </w:r>
      <w:proofErr w:type="spellEnd"/>
      <w:r w:rsidRPr="002F0D61">
        <w:t xml:space="preserve"> 2654 de 2019. Bogotá: MinSalud; 2019.</w:t>
      </w:r>
    </w:p>
    <w:p w14:paraId="6A9FC880" w14:textId="77777777" w:rsidR="00E067CB" w:rsidRPr="002F0D61" w:rsidRDefault="00CF278A">
      <w:pPr>
        <w:pStyle w:val="Listaconvietas"/>
      </w:pPr>
      <w:r w:rsidRPr="002F0D61">
        <w:rPr>
          <w:lang w:val="es-CO"/>
        </w:rPr>
        <w:t xml:space="preserve">Colombia. Ministerio de Salud y Protección Social. </w:t>
      </w:r>
      <w:proofErr w:type="spellStart"/>
      <w:r w:rsidRPr="002F0D61">
        <w:t>Resolución</w:t>
      </w:r>
      <w:proofErr w:type="spellEnd"/>
      <w:r w:rsidRPr="002F0D61">
        <w:t xml:space="preserve"> 3100 de 2019. Bogotá: MinSalud; 2019.</w:t>
      </w:r>
    </w:p>
    <w:p w14:paraId="0EDBC822" w14:textId="77777777" w:rsidR="00E067CB" w:rsidRPr="002F0D61" w:rsidRDefault="00CF278A">
      <w:pPr>
        <w:pStyle w:val="Listaconvietas"/>
      </w:pPr>
      <w:r w:rsidRPr="002F0D61">
        <w:rPr>
          <w:lang w:val="es-CO"/>
        </w:rPr>
        <w:t xml:space="preserve">Colombia. Congreso de la República. </w:t>
      </w:r>
      <w:r w:rsidRPr="002F0D61">
        <w:t>Ley 1419 de 2010. Bogotá; 2010.</w:t>
      </w:r>
    </w:p>
    <w:p w14:paraId="20997242" w14:textId="77777777" w:rsidR="00E067CB" w:rsidRPr="002F0D61" w:rsidRDefault="00CF278A">
      <w:pPr>
        <w:pStyle w:val="Ttulo1"/>
        <w:rPr>
          <w:sz w:val="24"/>
          <w:szCs w:val="24"/>
        </w:rPr>
      </w:pPr>
      <w:r w:rsidRPr="002F0D61">
        <w:rPr>
          <w:sz w:val="24"/>
          <w:szCs w:val="24"/>
        </w:rPr>
        <w:lastRenderedPageBreak/>
        <w:t>16. Responsables</w:t>
      </w:r>
    </w:p>
    <w:p w14:paraId="39C10067" w14:textId="77777777" w:rsidR="00E067CB" w:rsidRPr="002F0D61" w:rsidRDefault="00CF278A">
      <w:r w:rsidRPr="002F0D61">
        <w:rPr>
          <w:b/>
        </w:rPr>
        <w:t>REALIZA:</w:t>
      </w:r>
    </w:p>
    <w:p w14:paraId="3C3952A0" w14:textId="77777777" w:rsidR="00E067CB" w:rsidRPr="002F0D61" w:rsidRDefault="00CF278A">
      <w:r w:rsidRPr="002F0D61">
        <w:rPr>
          <w:b/>
        </w:rPr>
        <w:t>REVISA:</w:t>
      </w:r>
    </w:p>
    <w:sectPr w:rsidR="00E067CB" w:rsidRPr="002F0D61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F04BE" w14:textId="77777777" w:rsidR="00CF278A" w:rsidRDefault="00CF278A" w:rsidP="009E2300">
      <w:pPr>
        <w:spacing w:after="0" w:line="240" w:lineRule="auto"/>
      </w:pPr>
      <w:r>
        <w:separator/>
      </w:r>
    </w:p>
  </w:endnote>
  <w:endnote w:type="continuationSeparator" w:id="0">
    <w:p w14:paraId="4C05C007" w14:textId="77777777" w:rsidR="00CF278A" w:rsidRDefault="00CF278A" w:rsidP="009E2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EC66A" w14:textId="1840D9EB" w:rsidR="006F31B2" w:rsidRPr="006F31B2" w:rsidRDefault="006F31B2" w:rsidP="006F31B2">
    <w:pPr>
      <w:pStyle w:val="Piedepgina"/>
      <w:jc w:val="right"/>
    </w:pPr>
    <w:r w:rsidRPr="006F31B2">
      <w:rPr>
        <w:lang w:val="es-ES"/>
      </w:rPr>
      <w:t xml:space="preserve">Página </w:t>
    </w:r>
    <w:r w:rsidRPr="006F31B2">
      <w:fldChar w:fldCharType="begin"/>
    </w:r>
    <w:r w:rsidRPr="006F31B2">
      <w:instrText>PAGE  \* Arabic  \* MERGEFORMAT</w:instrText>
    </w:r>
    <w:r w:rsidRPr="006F31B2">
      <w:fldChar w:fldCharType="separate"/>
    </w:r>
    <w:r w:rsidR="004B481C" w:rsidRPr="004B481C">
      <w:rPr>
        <w:noProof/>
        <w:lang w:val="es-ES"/>
      </w:rPr>
      <w:t>1</w:t>
    </w:r>
    <w:r w:rsidRPr="006F31B2">
      <w:fldChar w:fldCharType="end"/>
    </w:r>
    <w:r w:rsidRPr="006F31B2">
      <w:rPr>
        <w:lang w:val="es-ES"/>
      </w:rPr>
      <w:t xml:space="preserve"> de </w:t>
    </w:r>
    <w:fldSimple w:instr="NUMPAGES  \* Arabic  \* MERGEFORMAT">
      <w:r w:rsidR="004B481C" w:rsidRPr="004B481C">
        <w:rPr>
          <w:noProof/>
          <w:lang w:val="es-ES"/>
        </w:rPr>
        <w:t>1</w:t>
      </w:r>
    </w:fldSimple>
  </w:p>
  <w:p w14:paraId="3F6B4420" w14:textId="77777777" w:rsidR="00F72148" w:rsidRDefault="00F721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6F946" w14:textId="77777777" w:rsidR="00CF278A" w:rsidRDefault="00CF278A" w:rsidP="009E2300">
      <w:pPr>
        <w:spacing w:after="0" w:line="240" w:lineRule="auto"/>
      </w:pPr>
      <w:r>
        <w:separator/>
      </w:r>
    </w:p>
  </w:footnote>
  <w:footnote w:type="continuationSeparator" w:id="0">
    <w:p w14:paraId="687E29AB" w14:textId="77777777" w:rsidR="00CF278A" w:rsidRDefault="00CF278A" w:rsidP="009E2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09" w:type="dxa"/>
      <w:tblInd w:w="-739" w:type="dxa"/>
      <w:tblLook w:val="04A0" w:firstRow="1" w:lastRow="0" w:firstColumn="1" w:lastColumn="0" w:noHBand="0" w:noVBand="1"/>
    </w:tblPr>
    <w:tblGrid>
      <w:gridCol w:w="2527"/>
      <w:gridCol w:w="2349"/>
      <w:gridCol w:w="3376"/>
      <w:gridCol w:w="2057"/>
    </w:tblGrid>
    <w:tr w:rsidR="00F72148" w14:paraId="433F7FCD" w14:textId="77777777" w:rsidTr="00846C10">
      <w:trPr>
        <w:trHeight w:val="200"/>
      </w:trPr>
      <w:tc>
        <w:tcPr>
          <w:tcW w:w="2527" w:type="dxa"/>
          <w:vMerge w:val="restart"/>
          <w:vAlign w:val="center"/>
        </w:tcPr>
        <w:p w14:paraId="611F918D" w14:textId="77777777" w:rsidR="00F72148" w:rsidRDefault="00F72148" w:rsidP="008660F9">
          <w:pPr>
            <w:pStyle w:val="Encabezado"/>
            <w:jc w:val="center"/>
          </w:pPr>
          <w:r>
            <w:rPr>
              <w:noProof/>
              <w:lang w:eastAsia="es-CO"/>
            </w:rPr>
            <w:drawing>
              <wp:anchor distT="0" distB="0" distL="114300" distR="114300" simplePos="0" relativeHeight="251659264" behindDoc="0" locked="0" layoutInCell="1" allowOverlap="1" wp14:anchorId="35241369" wp14:editId="44097D0F">
                <wp:simplePos x="0" y="0"/>
                <wp:positionH relativeFrom="column">
                  <wp:posOffset>19050</wp:posOffset>
                </wp:positionH>
                <wp:positionV relativeFrom="paragraph">
                  <wp:posOffset>-12700</wp:posOffset>
                </wp:positionV>
                <wp:extent cx="1368425" cy="666750"/>
                <wp:effectExtent l="0" t="0" r="3175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79" r="412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842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782" w:type="dxa"/>
          <w:gridSpan w:val="3"/>
          <w:vAlign w:val="center"/>
        </w:tcPr>
        <w:p w14:paraId="131FBA6C" w14:textId="06860AB5" w:rsidR="003F0AF8" w:rsidRPr="00D42C2A" w:rsidRDefault="000668F3" w:rsidP="005E5C25">
          <w:pPr>
            <w:jc w:val="center"/>
            <w:rPr>
              <w:sz w:val="28"/>
              <w:szCs w:val="28"/>
            </w:rPr>
          </w:pPr>
          <w:r w:rsidRPr="000668F3">
            <w:rPr>
              <w:rFonts w:eastAsiaTheme="minorHAnsi"/>
              <w:b/>
              <w:sz w:val="28"/>
              <w:szCs w:val="28"/>
            </w:rPr>
            <w:t>PROTOCOLO DE TELE-EXPERTICIA PARA EL MANEJO DE LA HEMORRAGIA SUBARACNOIDEA</w:t>
          </w:r>
        </w:p>
      </w:tc>
    </w:tr>
    <w:tr w:rsidR="00F72148" w14:paraId="5BB9113D" w14:textId="77777777" w:rsidTr="00846C10">
      <w:trPr>
        <w:trHeight w:val="278"/>
      </w:trPr>
      <w:tc>
        <w:tcPr>
          <w:tcW w:w="2527" w:type="dxa"/>
          <w:vMerge/>
          <w:vAlign w:val="center"/>
        </w:tcPr>
        <w:p w14:paraId="7616A8A5" w14:textId="77777777" w:rsidR="00F72148" w:rsidRDefault="00F72148" w:rsidP="008660F9">
          <w:pPr>
            <w:pStyle w:val="Encabezado"/>
            <w:jc w:val="center"/>
            <w:rPr>
              <w:noProof/>
              <w:lang w:eastAsia="es-CO"/>
            </w:rPr>
          </w:pPr>
        </w:p>
      </w:tc>
      <w:tc>
        <w:tcPr>
          <w:tcW w:w="7782" w:type="dxa"/>
          <w:gridSpan w:val="3"/>
          <w:vAlign w:val="center"/>
        </w:tcPr>
        <w:p w14:paraId="5E50C597" w14:textId="167095AA" w:rsidR="00F72148" w:rsidRPr="008779DF" w:rsidRDefault="00FD159B" w:rsidP="005620A7">
          <w:pPr>
            <w:pStyle w:val="Encabezado"/>
            <w:jc w:val="center"/>
            <w:rPr>
              <w:b/>
            </w:rPr>
          </w:pPr>
          <w:r>
            <w:rPr>
              <w:b/>
            </w:rPr>
            <w:t xml:space="preserve">Protocolo </w:t>
          </w:r>
        </w:p>
      </w:tc>
    </w:tr>
    <w:tr w:rsidR="00F72148" w14:paraId="3ECDD7DF" w14:textId="77777777" w:rsidTr="00846C10">
      <w:trPr>
        <w:trHeight w:val="304"/>
      </w:trPr>
      <w:tc>
        <w:tcPr>
          <w:tcW w:w="2527" w:type="dxa"/>
          <w:vMerge/>
        </w:tcPr>
        <w:p w14:paraId="65D733C4" w14:textId="77777777" w:rsidR="00F72148" w:rsidRDefault="00F72148" w:rsidP="009E2300">
          <w:pPr>
            <w:pStyle w:val="Encabezado"/>
          </w:pPr>
        </w:p>
      </w:tc>
      <w:tc>
        <w:tcPr>
          <w:tcW w:w="2349" w:type="dxa"/>
          <w:vAlign w:val="center"/>
        </w:tcPr>
        <w:p w14:paraId="0BE9C18B" w14:textId="4AA3C93A" w:rsidR="00F72148" w:rsidRPr="00BD50F6" w:rsidRDefault="00F72148" w:rsidP="009E2300">
          <w:pPr>
            <w:pStyle w:val="Encabezado"/>
            <w:rPr>
              <w:sz w:val="20"/>
              <w:szCs w:val="20"/>
            </w:rPr>
          </w:pPr>
          <w:r>
            <w:rPr>
              <w:sz w:val="20"/>
              <w:szCs w:val="20"/>
            </w:rPr>
            <w:t>Código</w:t>
          </w:r>
          <w:r w:rsidRPr="00BD50F6">
            <w:rPr>
              <w:sz w:val="20"/>
              <w:szCs w:val="20"/>
            </w:rPr>
            <w:t xml:space="preserve">: </w:t>
          </w:r>
          <w:r w:rsidR="007D47A4">
            <w:rPr>
              <w:sz w:val="20"/>
              <w:szCs w:val="20"/>
            </w:rPr>
            <w:t>IN-FR-87</w:t>
          </w:r>
        </w:p>
      </w:tc>
      <w:tc>
        <w:tcPr>
          <w:tcW w:w="3376" w:type="dxa"/>
          <w:vAlign w:val="center"/>
        </w:tcPr>
        <w:p w14:paraId="21B2B515" w14:textId="00B7DC5B" w:rsidR="00F72148" w:rsidRPr="00BD50F6" w:rsidRDefault="00F72148" w:rsidP="00FE4F1C">
          <w:pPr>
            <w:pStyle w:val="Encabezad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Vigente desde: 2025-06-</w:t>
          </w:r>
          <w:r w:rsidR="007D47A4">
            <w:rPr>
              <w:sz w:val="20"/>
              <w:szCs w:val="20"/>
            </w:rPr>
            <w:t>2</w:t>
          </w:r>
          <w:r w:rsidR="00691C84">
            <w:rPr>
              <w:sz w:val="20"/>
              <w:szCs w:val="20"/>
            </w:rPr>
            <w:t>5</w:t>
          </w:r>
        </w:p>
      </w:tc>
      <w:tc>
        <w:tcPr>
          <w:tcW w:w="2057" w:type="dxa"/>
          <w:vAlign w:val="center"/>
        </w:tcPr>
        <w:p w14:paraId="5FD9BA52" w14:textId="3D9E9925" w:rsidR="00F72148" w:rsidRPr="00BD50F6" w:rsidRDefault="00F72148" w:rsidP="009E2300">
          <w:pPr>
            <w:pStyle w:val="Encabezad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Versión: 001</w:t>
          </w:r>
        </w:p>
      </w:tc>
    </w:tr>
  </w:tbl>
  <w:p w14:paraId="79DF580E" w14:textId="77777777" w:rsidR="00F72148" w:rsidRDefault="00F721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84A653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400501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64B"/>
    <w:rsid w:val="0001429B"/>
    <w:rsid w:val="00052B09"/>
    <w:rsid w:val="0005777A"/>
    <w:rsid w:val="00062ECA"/>
    <w:rsid w:val="00064D94"/>
    <w:rsid w:val="000668F3"/>
    <w:rsid w:val="000832EE"/>
    <w:rsid w:val="000C2F7F"/>
    <w:rsid w:val="000C4E2C"/>
    <w:rsid w:val="000D5A5F"/>
    <w:rsid w:val="000E185B"/>
    <w:rsid w:val="000E2107"/>
    <w:rsid w:val="000F4052"/>
    <w:rsid w:val="000F5788"/>
    <w:rsid w:val="001066C0"/>
    <w:rsid w:val="001302B2"/>
    <w:rsid w:val="00137731"/>
    <w:rsid w:val="00157126"/>
    <w:rsid w:val="00166DA6"/>
    <w:rsid w:val="00172114"/>
    <w:rsid w:val="00185E61"/>
    <w:rsid w:val="00191D20"/>
    <w:rsid w:val="001B0A52"/>
    <w:rsid w:val="001B4FDA"/>
    <w:rsid w:val="001B6261"/>
    <w:rsid w:val="001D1861"/>
    <w:rsid w:val="001D637D"/>
    <w:rsid w:val="001F563E"/>
    <w:rsid w:val="00201EBB"/>
    <w:rsid w:val="002167F2"/>
    <w:rsid w:val="00217A10"/>
    <w:rsid w:val="00232722"/>
    <w:rsid w:val="00246FD5"/>
    <w:rsid w:val="00250CD7"/>
    <w:rsid w:val="002516F3"/>
    <w:rsid w:val="0026112F"/>
    <w:rsid w:val="002860B5"/>
    <w:rsid w:val="002A0979"/>
    <w:rsid w:val="002A4D86"/>
    <w:rsid w:val="002B40A6"/>
    <w:rsid w:val="002C79FF"/>
    <w:rsid w:val="002D020A"/>
    <w:rsid w:val="002D2042"/>
    <w:rsid w:val="002D364B"/>
    <w:rsid w:val="002D636E"/>
    <w:rsid w:val="002D710F"/>
    <w:rsid w:val="002F0D61"/>
    <w:rsid w:val="002F3396"/>
    <w:rsid w:val="002F3E29"/>
    <w:rsid w:val="003003A9"/>
    <w:rsid w:val="003059C2"/>
    <w:rsid w:val="00314CD4"/>
    <w:rsid w:val="00363831"/>
    <w:rsid w:val="003740AE"/>
    <w:rsid w:val="0037770B"/>
    <w:rsid w:val="003A0A9D"/>
    <w:rsid w:val="003C73A4"/>
    <w:rsid w:val="003D22E3"/>
    <w:rsid w:val="003D4692"/>
    <w:rsid w:val="003D5CF4"/>
    <w:rsid w:val="003E731B"/>
    <w:rsid w:val="003F0AF8"/>
    <w:rsid w:val="003F4567"/>
    <w:rsid w:val="003F6104"/>
    <w:rsid w:val="00415AD4"/>
    <w:rsid w:val="00420F44"/>
    <w:rsid w:val="004225E2"/>
    <w:rsid w:val="0043181F"/>
    <w:rsid w:val="00444270"/>
    <w:rsid w:val="00455AD0"/>
    <w:rsid w:val="00464ADD"/>
    <w:rsid w:val="00476508"/>
    <w:rsid w:val="00480822"/>
    <w:rsid w:val="0049279D"/>
    <w:rsid w:val="0049616D"/>
    <w:rsid w:val="004A4B2F"/>
    <w:rsid w:val="004B481C"/>
    <w:rsid w:val="004B72E8"/>
    <w:rsid w:val="004C1171"/>
    <w:rsid w:val="004D451C"/>
    <w:rsid w:val="004F2610"/>
    <w:rsid w:val="004F3651"/>
    <w:rsid w:val="0050069B"/>
    <w:rsid w:val="00513A46"/>
    <w:rsid w:val="00521916"/>
    <w:rsid w:val="005262B2"/>
    <w:rsid w:val="00534203"/>
    <w:rsid w:val="00540438"/>
    <w:rsid w:val="00557A26"/>
    <w:rsid w:val="005620A7"/>
    <w:rsid w:val="00592F8D"/>
    <w:rsid w:val="005930BE"/>
    <w:rsid w:val="005B4FE5"/>
    <w:rsid w:val="005D7929"/>
    <w:rsid w:val="005E5C25"/>
    <w:rsid w:val="005E6E1C"/>
    <w:rsid w:val="005E750E"/>
    <w:rsid w:val="005E768A"/>
    <w:rsid w:val="005F3D3A"/>
    <w:rsid w:val="00601AA1"/>
    <w:rsid w:val="00602FDB"/>
    <w:rsid w:val="006045DA"/>
    <w:rsid w:val="00617DF1"/>
    <w:rsid w:val="00626F64"/>
    <w:rsid w:val="0063034D"/>
    <w:rsid w:val="00643F85"/>
    <w:rsid w:val="0065091F"/>
    <w:rsid w:val="00662223"/>
    <w:rsid w:val="00691C84"/>
    <w:rsid w:val="00693442"/>
    <w:rsid w:val="0069434A"/>
    <w:rsid w:val="00697045"/>
    <w:rsid w:val="006B74DD"/>
    <w:rsid w:val="006E0AC9"/>
    <w:rsid w:val="006F31B2"/>
    <w:rsid w:val="00706C50"/>
    <w:rsid w:val="00731FE0"/>
    <w:rsid w:val="00735280"/>
    <w:rsid w:val="00735D4C"/>
    <w:rsid w:val="007508C8"/>
    <w:rsid w:val="00753835"/>
    <w:rsid w:val="007623E4"/>
    <w:rsid w:val="00784228"/>
    <w:rsid w:val="00787936"/>
    <w:rsid w:val="007A0137"/>
    <w:rsid w:val="007A2544"/>
    <w:rsid w:val="007B56C3"/>
    <w:rsid w:val="007D2071"/>
    <w:rsid w:val="007D47A4"/>
    <w:rsid w:val="007F22D8"/>
    <w:rsid w:val="00846C10"/>
    <w:rsid w:val="008509F0"/>
    <w:rsid w:val="0085170D"/>
    <w:rsid w:val="00855EC0"/>
    <w:rsid w:val="008660F9"/>
    <w:rsid w:val="008779DF"/>
    <w:rsid w:val="00883432"/>
    <w:rsid w:val="008927F2"/>
    <w:rsid w:val="008A4A43"/>
    <w:rsid w:val="008A6468"/>
    <w:rsid w:val="008B13BE"/>
    <w:rsid w:val="008B4751"/>
    <w:rsid w:val="008B56BC"/>
    <w:rsid w:val="008E69B0"/>
    <w:rsid w:val="00905353"/>
    <w:rsid w:val="009066BC"/>
    <w:rsid w:val="00924E22"/>
    <w:rsid w:val="00934206"/>
    <w:rsid w:val="0096432F"/>
    <w:rsid w:val="009652A2"/>
    <w:rsid w:val="00972307"/>
    <w:rsid w:val="009D3CB6"/>
    <w:rsid w:val="009E03BD"/>
    <w:rsid w:val="009E2300"/>
    <w:rsid w:val="009F747F"/>
    <w:rsid w:val="00A05DE4"/>
    <w:rsid w:val="00A1108B"/>
    <w:rsid w:val="00A1306D"/>
    <w:rsid w:val="00A1453A"/>
    <w:rsid w:val="00A14590"/>
    <w:rsid w:val="00A158A9"/>
    <w:rsid w:val="00A314BC"/>
    <w:rsid w:val="00A3165B"/>
    <w:rsid w:val="00A4135A"/>
    <w:rsid w:val="00A47E47"/>
    <w:rsid w:val="00A51E78"/>
    <w:rsid w:val="00A55BE3"/>
    <w:rsid w:val="00A71328"/>
    <w:rsid w:val="00A7702A"/>
    <w:rsid w:val="00A80088"/>
    <w:rsid w:val="00A87426"/>
    <w:rsid w:val="00A964E7"/>
    <w:rsid w:val="00AF4F3D"/>
    <w:rsid w:val="00AF5FC9"/>
    <w:rsid w:val="00B0191A"/>
    <w:rsid w:val="00B1446D"/>
    <w:rsid w:val="00B35FC7"/>
    <w:rsid w:val="00B77500"/>
    <w:rsid w:val="00B92B49"/>
    <w:rsid w:val="00B92BF3"/>
    <w:rsid w:val="00B97507"/>
    <w:rsid w:val="00BA1169"/>
    <w:rsid w:val="00BB072E"/>
    <w:rsid w:val="00BD3CD2"/>
    <w:rsid w:val="00BD50F6"/>
    <w:rsid w:val="00BD7976"/>
    <w:rsid w:val="00BD7C1C"/>
    <w:rsid w:val="00BD7D3A"/>
    <w:rsid w:val="00BE0380"/>
    <w:rsid w:val="00BE1416"/>
    <w:rsid w:val="00BE1AEF"/>
    <w:rsid w:val="00BE77E3"/>
    <w:rsid w:val="00C32300"/>
    <w:rsid w:val="00C5560D"/>
    <w:rsid w:val="00C94064"/>
    <w:rsid w:val="00CB4605"/>
    <w:rsid w:val="00CB76B2"/>
    <w:rsid w:val="00CC5446"/>
    <w:rsid w:val="00CD3953"/>
    <w:rsid w:val="00CE1E1D"/>
    <w:rsid w:val="00CE245B"/>
    <w:rsid w:val="00CF278A"/>
    <w:rsid w:val="00CF3A1D"/>
    <w:rsid w:val="00D0411A"/>
    <w:rsid w:val="00D233F5"/>
    <w:rsid w:val="00D42C2A"/>
    <w:rsid w:val="00D46471"/>
    <w:rsid w:val="00D52336"/>
    <w:rsid w:val="00D560E4"/>
    <w:rsid w:val="00D56606"/>
    <w:rsid w:val="00D761A6"/>
    <w:rsid w:val="00D8291F"/>
    <w:rsid w:val="00D83D22"/>
    <w:rsid w:val="00D9544E"/>
    <w:rsid w:val="00DB2944"/>
    <w:rsid w:val="00DC5F20"/>
    <w:rsid w:val="00DD3CC1"/>
    <w:rsid w:val="00E004A4"/>
    <w:rsid w:val="00E01FD5"/>
    <w:rsid w:val="00E067CB"/>
    <w:rsid w:val="00E1449A"/>
    <w:rsid w:val="00E21F84"/>
    <w:rsid w:val="00E2577A"/>
    <w:rsid w:val="00E275EA"/>
    <w:rsid w:val="00E30271"/>
    <w:rsid w:val="00E324DD"/>
    <w:rsid w:val="00E471B2"/>
    <w:rsid w:val="00E505F7"/>
    <w:rsid w:val="00E748BD"/>
    <w:rsid w:val="00E802E1"/>
    <w:rsid w:val="00E85535"/>
    <w:rsid w:val="00E9056D"/>
    <w:rsid w:val="00EA7A7E"/>
    <w:rsid w:val="00EE28DA"/>
    <w:rsid w:val="00EE5560"/>
    <w:rsid w:val="00EE5DD8"/>
    <w:rsid w:val="00F06FF8"/>
    <w:rsid w:val="00F41622"/>
    <w:rsid w:val="00F46856"/>
    <w:rsid w:val="00F64D51"/>
    <w:rsid w:val="00F72148"/>
    <w:rsid w:val="00F76FD4"/>
    <w:rsid w:val="00FA3EF1"/>
    <w:rsid w:val="00FD159B"/>
    <w:rsid w:val="00FD2153"/>
    <w:rsid w:val="00FE210C"/>
    <w:rsid w:val="00FE4F1C"/>
    <w:rsid w:val="00FF2DDE"/>
    <w:rsid w:val="00FF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8249F"/>
  <w15:chartTrackingRefBased/>
  <w15:docId w15:val="{039F1C06-388D-4095-B2FF-207E8D337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590"/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32300"/>
    <w:pPr>
      <w:keepNext/>
      <w:keepLines/>
      <w:spacing w:before="240" w:after="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2300"/>
    <w:pPr>
      <w:keepNext/>
      <w:keepLines/>
      <w:spacing w:before="40" w:after="0"/>
      <w:outlineLvl w:val="1"/>
    </w:pPr>
    <w:rPr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2300"/>
    <w:pPr>
      <w:keepNext/>
      <w:keepLines/>
      <w:spacing w:before="40" w:after="0"/>
      <w:outlineLvl w:val="2"/>
    </w:pPr>
    <w:rPr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2300"/>
    <w:pPr>
      <w:keepNext/>
      <w:keepLines/>
      <w:spacing w:before="40" w:after="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2300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2300"/>
    <w:pPr>
      <w:keepNext/>
      <w:keepLines/>
      <w:spacing w:before="40" w:after="0"/>
      <w:outlineLvl w:val="5"/>
    </w:p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230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2300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230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E2300"/>
    <w:pPr>
      <w:tabs>
        <w:tab w:val="center" w:pos="4419"/>
        <w:tab w:val="right" w:pos="8838"/>
      </w:tabs>
      <w:spacing w:after="0" w:line="240" w:lineRule="auto"/>
    </w:pPr>
    <w:rPr>
      <w:rFonts w:eastAsiaTheme="minorHAnsi"/>
    </w:rPr>
  </w:style>
  <w:style w:type="character" w:customStyle="1" w:styleId="EncabezadoCar">
    <w:name w:val="Encabezado Car"/>
    <w:basedOn w:val="Fuentedeprrafopredeter"/>
    <w:link w:val="Encabezado"/>
    <w:uiPriority w:val="99"/>
    <w:rsid w:val="009E2300"/>
  </w:style>
  <w:style w:type="paragraph" w:styleId="Piedepgina">
    <w:name w:val="footer"/>
    <w:basedOn w:val="Normal"/>
    <w:link w:val="PiedepginaCar"/>
    <w:uiPriority w:val="99"/>
    <w:unhideWhenUsed/>
    <w:rsid w:val="009E2300"/>
    <w:pPr>
      <w:tabs>
        <w:tab w:val="center" w:pos="4419"/>
        <w:tab w:val="right" w:pos="8838"/>
      </w:tabs>
      <w:spacing w:after="0" w:line="240" w:lineRule="auto"/>
    </w:pPr>
    <w:rPr>
      <w:rFonts w:eastAsiaTheme="minorHAns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E2300"/>
  </w:style>
  <w:style w:type="table" w:styleId="Tablaconcuadrcula">
    <w:name w:val="Table Grid"/>
    <w:basedOn w:val="Tablanormal"/>
    <w:uiPriority w:val="39"/>
    <w:rsid w:val="009E2300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E2300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A1306D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ombreadoclaro-nfasis1">
    <w:name w:val="Light Shading Accent 1"/>
    <w:basedOn w:val="Tablanormal"/>
    <w:uiPriority w:val="60"/>
    <w:rsid w:val="002D710F"/>
    <w:pPr>
      <w:spacing w:after="0" w:line="240" w:lineRule="auto"/>
    </w:pPr>
    <w:rPr>
      <w:color w:val="2E74B5" w:themeColor="accent1" w:themeShade="BF"/>
      <w:lang w:val="es-E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character" w:styleId="Hipervnculo">
    <w:name w:val="Hyperlink"/>
    <w:basedOn w:val="Fuentedeprrafopredeter"/>
    <w:uiPriority w:val="99"/>
    <w:unhideWhenUsed/>
    <w:rsid w:val="00E1449A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1449A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32300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Descripcin">
    <w:name w:val="caption"/>
    <w:basedOn w:val="Normal"/>
    <w:next w:val="Normal"/>
    <w:uiPriority w:val="35"/>
    <w:unhideWhenUsed/>
    <w:qFormat/>
    <w:rsid w:val="00C3230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tulo10">
    <w:name w:val="título 1"/>
    <w:basedOn w:val="Ttulo1"/>
    <w:link w:val="ttulo1Car0"/>
    <w:rsid w:val="00C32300"/>
    <w:rPr>
      <w:color w:val="auto"/>
      <w:sz w:val="28"/>
      <w:szCs w:val="28"/>
    </w:rPr>
  </w:style>
  <w:style w:type="character" w:customStyle="1" w:styleId="ttulo1Car0">
    <w:name w:val="título 1 Car"/>
    <w:basedOn w:val="Ttulo1Car"/>
    <w:link w:val="ttulo10"/>
    <w:rsid w:val="00C32300"/>
    <w:rPr>
      <w:rFonts w:ascii="Arial" w:eastAsiaTheme="majorEastAsia" w:hAnsi="Arial" w:cs="Arial"/>
      <w:color w:val="262626" w:themeColor="text1" w:themeTint="D9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32300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2300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2300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2300"/>
    <w:rPr>
      <w:color w:val="404040" w:themeColor="text1" w:themeTint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2300"/>
  </w:style>
  <w:style w:type="character" w:customStyle="1" w:styleId="Ttulo7Car">
    <w:name w:val="Título 7 Car"/>
    <w:basedOn w:val="Fuentedeprrafopredeter"/>
    <w:link w:val="Ttulo7"/>
    <w:uiPriority w:val="9"/>
    <w:semiHidden/>
    <w:rsid w:val="00C32300"/>
    <w:rPr>
      <w:rFonts w:asciiTheme="majorHAnsi" w:eastAsiaTheme="majorEastAsia" w:hAnsiTheme="majorHAnsi" w:cstheme="majorBidi"/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2300"/>
    <w:rPr>
      <w:color w:val="262626" w:themeColor="text1" w:themeTint="D9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230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C323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230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230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32300"/>
    <w:rPr>
      <w:color w:val="5A5A5A" w:themeColor="text1" w:themeTint="A5"/>
      <w:spacing w:val="15"/>
    </w:rPr>
  </w:style>
  <w:style w:type="character" w:styleId="Fuerte">
    <w:name w:val="Strong"/>
    <w:basedOn w:val="Fuentedeprrafopredeter"/>
    <w:uiPriority w:val="22"/>
    <w:qFormat/>
    <w:rsid w:val="00C32300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C32300"/>
    <w:rPr>
      <w:i/>
      <w:iCs/>
      <w:color w:val="auto"/>
    </w:rPr>
  </w:style>
  <w:style w:type="paragraph" w:styleId="Sinespaciado">
    <w:name w:val="No Spacing"/>
    <w:uiPriority w:val="1"/>
    <w:qFormat/>
    <w:rsid w:val="00C3230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C3230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2300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2300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2300"/>
    <w:rPr>
      <w:i/>
      <w:iCs/>
      <w:color w:val="404040" w:themeColor="text1" w:themeTint="BF"/>
    </w:rPr>
  </w:style>
  <w:style w:type="character" w:styleId="nfasissutil">
    <w:name w:val="Subtle Emphasis"/>
    <w:basedOn w:val="Fuentedeprrafopredeter"/>
    <w:uiPriority w:val="19"/>
    <w:qFormat/>
    <w:rsid w:val="00C3230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C32300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C32300"/>
    <w:rPr>
      <w:smallCap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C32300"/>
    <w:rPr>
      <w:b/>
      <w:bCs/>
      <w:smallCaps/>
      <w:color w:val="404040" w:themeColor="text1" w:themeTint="BF"/>
      <w:spacing w:val="5"/>
    </w:rPr>
  </w:style>
  <w:style w:type="character" w:styleId="Ttulodellibro">
    <w:name w:val="Book Title"/>
    <w:basedOn w:val="Fuentedeprrafopredeter"/>
    <w:uiPriority w:val="33"/>
    <w:qFormat/>
    <w:rsid w:val="00C32300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32300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A14590"/>
    <w:pPr>
      <w:spacing w:after="100"/>
    </w:pPr>
  </w:style>
  <w:style w:type="paragraph" w:styleId="Bibliografa">
    <w:name w:val="Bibliography"/>
    <w:basedOn w:val="Normal"/>
    <w:next w:val="Normal"/>
    <w:uiPriority w:val="37"/>
    <w:unhideWhenUsed/>
    <w:rsid w:val="00753835"/>
    <w:pPr>
      <w:tabs>
        <w:tab w:val="left" w:pos="264"/>
      </w:tabs>
      <w:spacing w:after="240" w:line="240" w:lineRule="auto"/>
      <w:ind w:left="264" w:hanging="264"/>
    </w:pPr>
  </w:style>
  <w:style w:type="paragraph" w:styleId="TDC2">
    <w:name w:val="toc 2"/>
    <w:basedOn w:val="Normal"/>
    <w:next w:val="Normal"/>
    <w:autoRedefine/>
    <w:uiPriority w:val="39"/>
    <w:unhideWhenUsed/>
    <w:rsid w:val="00557A26"/>
    <w:pPr>
      <w:spacing w:after="100"/>
      <w:ind w:left="220"/>
    </w:pPr>
  </w:style>
  <w:style w:type="paragraph" w:styleId="Tabladeilustraciones">
    <w:name w:val="table of figures"/>
    <w:basedOn w:val="Normal"/>
    <w:next w:val="Normal"/>
    <w:uiPriority w:val="99"/>
    <w:unhideWhenUsed/>
    <w:rsid w:val="0005777A"/>
    <w:pPr>
      <w:spacing w:after="0"/>
    </w:pPr>
  </w:style>
  <w:style w:type="paragraph" w:styleId="Revisin">
    <w:name w:val="Revision"/>
    <w:hidden/>
    <w:uiPriority w:val="99"/>
    <w:semiHidden/>
    <w:rsid w:val="00693442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2C79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C79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C79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C79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C79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21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2148"/>
    <w:rPr>
      <w:rFonts w:ascii="Segoe UI" w:hAnsi="Segoe UI" w:cs="Segoe UI"/>
      <w:sz w:val="18"/>
      <w:szCs w:val="18"/>
    </w:rPr>
  </w:style>
  <w:style w:type="paragraph" w:styleId="Listaconvietas">
    <w:name w:val="List Bullet"/>
    <w:basedOn w:val="Normal"/>
    <w:uiPriority w:val="99"/>
    <w:unhideWhenUsed/>
    <w:rsid w:val="000F4052"/>
    <w:pPr>
      <w:numPr>
        <w:numId w:val="1"/>
      </w:numPr>
      <w:spacing w:after="120" w:line="276" w:lineRule="auto"/>
      <w:contextualSpacing/>
    </w:pPr>
    <w:rPr>
      <w:color w:val="333333"/>
      <w:lang w:val="en-US"/>
    </w:rPr>
  </w:style>
  <w:style w:type="paragraph" w:styleId="NormalWeb">
    <w:name w:val="Normal (Web)"/>
    <w:basedOn w:val="Normal"/>
    <w:uiPriority w:val="99"/>
    <w:unhideWhenUsed/>
    <w:rsid w:val="00216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CO"/>
    </w:rPr>
  </w:style>
  <w:style w:type="character" w:customStyle="1" w:styleId="math-inline">
    <w:name w:val="math-inline"/>
    <w:basedOn w:val="Fuentedeprrafopredeter"/>
    <w:rsid w:val="002167F2"/>
  </w:style>
  <w:style w:type="character" w:customStyle="1" w:styleId="source-title">
    <w:name w:val="source-title"/>
    <w:basedOn w:val="Fuentedeprrafopredeter"/>
    <w:rsid w:val="00D42C2A"/>
  </w:style>
  <w:style w:type="character" w:customStyle="1" w:styleId="source-count">
    <w:name w:val="source-count"/>
    <w:basedOn w:val="Fuentedeprrafopredeter"/>
    <w:rsid w:val="00D42C2A"/>
  </w:style>
  <w:style w:type="character" w:customStyle="1" w:styleId="citation-950">
    <w:name w:val="citation-950"/>
    <w:basedOn w:val="Fuentedeprrafopredeter"/>
    <w:rsid w:val="00D42C2A"/>
  </w:style>
  <w:style w:type="character" w:customStyle="1" w:styleId="citation-949">
    <w:name w:val="citation-949"/>
    <w:basedOn w:val="Fuentedeprrafopredeter"/>
    <w:rsid w:val="00D42C2A"/>
  </w:style>
  <w:style w:type="character" w:customStyle="1" w:styleId="citation-948">
    <w:name w:val="citation-948"/>
    <w:basedOn w:val="Fuentedeprrafopredeter"/>
    <w:rsid w:val="00D42C2A"/>
  </w:style>
  <w:style w:type="character" w:customStyle="1" w:styleId="citation-946">
    <w:name w:val="citation-946"/>
    <w:basedOn w:val="Fuentedeprrafopredeter"/>
    <w:rsid w:val="00D42C2A"/>
  </w:style>
  <w:style w:type="character" w:customStyle="1" w:styleId="citation-944">
    <w:name w:val="citation-944"/>
    <w:basedOn w:val="Fuentedeprrafopredeter"/>
    <w:rsid w:val="00D42C2A"/>
  </w:style>
  <w:style w:type="character" w:customStyle="1" w:styleId="citation-943">
    <w:name w:val="citation-943"/>
    <w:basedOn w:val="Fuentedeprrafopredeter"/>
    <w:rsid w:val="00D42C2A"/>
  </w:style>
  <w:style w:type="character" w:customStyle="1" w:styleId="mrel">
    <w:name w:val="mrel"/>
    <w:basedOn w:val="Fuentedeprrafopredeter"/>
    <w:rsid w:val="00D42C2A"/>
  </w:style>
  <w:style w:type="character" w:customStyle="1" w:styleId="mord">
    <w:name w:val="mord"/>
    <w:basedOn w:val="Fuentedeprrafopredeter"/>
    <w:rsid w:val="00D42C2A"/>
  </w:style>
  <w:style w:type="character" w:customStyle="1" w:styleId="mopen">
    <w:name w:val="mopen"/>
    <w:basedOn w:val="Fuentedeprrafopredeter"/>
    <w:rsid w:val="00D42C2A"/>
  </w:style>
  <w:style w:type="character" w:customStyle="1" w:styleId="delimsizing">
    <w:name w:val="delimsizing"/>
    <w:basedOn w:val="Fuentedeprrafopredeter"/>
    <w:rsid w:val="00D42C2A"/>
  </w:style>
  <w:style w:type="character" w:customStyle="1" w:styleId="vlist-s">
    <w:name w:val="vlist-s"/>
    <w:basedOn w:val="Fuentedeprrafopredeter"/>
    <w:rsid w:val="00D42C2A"/>
  </w:style>
  <w:style w:type="character" w:customStyle="1" w:styleId="mclose">
    <w:name w:val="mclose"/>
    <w:basedOn w:val="Fuentedeprrafopredeter"/>
    <w:rsid w:val="00D42C2A"/>
  </w:style>
  <w:style w:type="character" w:customStyle="1" w:styleId="mbin">
    <w:name w:val="mbin"/>
    <w:basedOn w:val="Fuentedeprrafopredeter"/>
    <w:rsid w:val="00D42C2A"/>
  </w:style>
  <w:style w:type="character" w:customStyle="1" w:styleId="citation-2362">
    <w:name w:val="citation-2362"/>
    <w:basedOn w:val="Fuentedeprrafopredeter"/>
    <w:rsid w:val="00D42C2A"/>
  </w:style>
  <w:style w:type="character" w:customStyle="1" w:styleId="citation-2361">
    <w:name w:val="citation-2361"/>
    <w:basedOn w:val="Fuentedeprrafopredeter"/>
    <w:rsid w:val="00D42C2A"/>
  </w:style>
  <w:style w:type="character" w:customStyle="1" w:styleId="citation-2360">
    <w:name w:val="citation-2360"/>
    <w:basedOn w:val="Fuentedeprrafopredeter"/>
    <w:rsid w:val="00D42C2A"/>
  </w:style>
  <w:style w:type="character" w:customStyle="1" w:styleId="citation-2358">
    <w:name w:val="citation-2358"/>
    <w:basedOn w:val="Fuentedeprrafopredeter"/>
    <w:rsid w:val="00D42C2A"/>
  </w:style>
  <w:style w:type="character" w:customStyle="1" w:styleId="citation-2356">
    <w:name w:val="citation-2356"/>
    <w:basedOn w:val="Fuentedeprrafopredeter"/>
    <w:rsid w:val="00D42C2A"/>
  </w:style>
  <w:style w:type="character" w:customStyle="1" w:styleId="citation-2355">
    <w:name w:val="citation-2355"/>
    <w:basedOn w:val="Fuentedeprrafopredeter"/>
    <w:rsid w:val="00D42C2A"/>
  </w:style>
  <w:style w:type="character" w:customStyle="1" w:styleId="citation-5746">
    <w:name w:val="citation-5746"/>
    <w:basedOn w:val="Fuentedeprrafopredeter"/>
    <w:rsid w:val="008B13BE"/>
  </w:style>
  <w:style w:type="character" w:customStyle="1" w:styleId="citation-5745">
    <w:name w:val="citation-5745"/>
    <w:basedOn w:val="Fuentedeprrafopredeter"/>
    <w:rsid w:val="008B13BE"/>
  </w:style>
  <w:style w:type="character" w:customStyle="1" w:styleId="citation-5744">
    <w:name w:val="citation-5744"/>
    <w:basedOn w:val="Fuentedeprrafopredeter"/>
    <w:rsid w:val="008B13BE"/>
  </w:style>
  <w:style w:type="character" w:customStyle="1" w:styleId="citation-5743">
    <w:name w:val="citation-5743"/>
    <w:basedOn w:val="Fuentedeprrafopredeter"/>
    <w:rsid w:val="008B13BE"/>
  </w:style>
  <w:style w:type="character" w:customStyle="1" w:styleId="citation-13177">
    <w:name w:val="citation-13177"/>
    <w:basedOn w:val="Fuentedeprrafopredeter"/>
    <w:rsid w:val="00EE5DD8"/>
  </w:style>
  <w:style w:type="character" w:customStyle="1" w:styleId="citation-13175">
    <w:name w:val="citation-13175"/>
    <w:basedOn w:val="Fuentedeprrafopredeter"/>
    <w:rsid w:val="00EE5DD8"/>
  </w:style>
  <w:style w:type="character" w:customStyle="1" w:styleId="citation-13173">
    <w:name w:val="citation-13173"/>
    <w:basedOn w:val="Fuentedeprrafopredeter"/>
    <w:rsid w:val="00EE5DD8"/>
  </w:style>
  <w:style w:type="character" w:customStyle="1" w:styleId="citation-13171">
    <w:name w:val="citation-13171"/>
    <w:basedOn w:val="Fuentedeprrafopredeter"/>
    <w:rsid w:val="00EE5DD8"/>
  </w:style>
  <w:style w:type="character" w:customStyle="1" w:styleId="citation-13170">
    <w:name w:val="citation-13170"/>
    <w:basedOn w:val="Fuentedeprrafopredeter"/>
    <w:rsid w:val="00EE5DD8"/>
  </w:style>
  <w:style w:type="character" w:customStyle="1" w:styleId="citation-13168">
    <w:name w:val="citation-13168"/>
    <w:basedOn w:val="Fuentedeprrafopredeter"/>
    <w:rsid w:val="00EE5DD8"/>
  </w:style>
  <w:style w:type="character" w:customStyle="1" w:styleId="citation-13167">
    <w:name w:val="citation-13167"/>
    <w:basedOn w:val="Fuentedeprrafopredeter"/>
    <w:rsid w:val="00EE5DD8"/>
  </w:style>
  <w:style w:type="character" w:customStyle="1" w:styleId="citation-13165">
    <w:name w:val="citation-13165"/>
    <w:basedOn w:val="Fuentedeprrafopredeter"/>
    <w:rsid w:val="00EE5DD8"/>
  </w:style>
  <w:style w:type="character" w:customStyle="1" w:styleId="citation-13163">
    <w:name w:val="citation-13163"/>
    <w:basedOn w:val="Fuentedeprrafopredeter"/>
    <w:rsid w:val="00EE5DD8"/>
  </w:style>
  <w:style w:type="character" w:customStyle="1" w:styleId="citation-13161">
    <w:name w:val="citation-13161"/>
    <w:basedOn w:val="Fuentedeprrafopredeter"/>
    <w:rsid w:val="00EE5DD8"/>
  </w:style>
  <w:style w:type="paragraph" w:customStyle="1" w:styleId="animating">
    <w:name w:val="animating"/>
    <w:basedOn w:val="Normal"/>
    <w:rsid w:val="00EE5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CO"/>
    </w:rPr>
  </w:style>
  <w:style w:type="character" w:customStyle="1" w:styleId="citation-1736">
    <w:name w:val="citation-1736"/>
    <w:basedOn w:val="Fuentedeprrafopredeter"/>
    <w:rsid w:val="00846C10"/>
  </w:style>
  <w:style w:type="character" w:customStyle="1" w:styleId="citation-1734">
    <w:name w:val="citation-1734"/>
    <w:basedOn w:val="Fuentedeprrafopredeter"/>
    <w:rsid w:val="00846C10"/>
  </w:style>
  <w:style w:type="character" w:customStyle="1" w:styleId="citation-1733">
    <w:name w:val="citation-1733"/>
    <w:basedOn w:val="Fuentedeprrafopredeter"/>
    <w:rsid w:val="00846C10"/>
  </w:style>
  <w:style w:type="character" w:customStyle="1" w:styleId="citation-1732">
    <w:name w:val="citation-1732"/>
    <w:basedOn w:val="Fuentedeprrafopredeter"/>
    <w:rsid w:val="00846C10"/>
  </w:style>
  <w:style w:type="character" w:customStyle="1" w:styleId="citation-1730">
    <w:name w:val="citation-1730"/>
    <w:basedOn w:val="Fuentedeprrafopredeter"/>
    <w:rsid w:val="00846C10"/>
  </w:style>
  <w:style w:type="character" w:customStyle="1" w:styleId="citation-7413">
    <w:name w:val="citation-7413"/>
    <w:basedOn w:val="Fuentedeprrafopredeter"/>
    <w:rsid w:val="002860B5"/>
  </w:style>
  <w:style w:type="character" w:customStyle="1" w:styleId="citation-7412">
    <w:name w:val="citation-7412"/>
    <w:basedOn w:val="Fuentedeprrafopredeter"/>
    <w:rsid w:val="002860B5"/>
  </w:style>
  <w:style w:type="character" w:customStyle="1" w:styleId="citation-7411">
    <w:name w:val="citation-7411"/>
    <w:basedOn w:val="Fuentedeprrafopredeter"/>
    <w:rsid w:val="002860B5"/>
  </w:style>
  <w:style w:type="character" w:customStyle="1" w:styleId="citation-7410">
    <w:name w:val="citation-7410"/>
    <w:basedOn w:val="Fuentedeprrafopredeter"/>
    <w:rsid w:val="002860B5"/>
  </w:style>
  <w:style w:type="character" w:customStyle="1" w:styleId="citation-7409">
    <w:name w:val="citation-7409"/>
    <w:basedOn w:val="Fuentedeprrafopredeter"/>
    <w:rsid w:val="002860B5"/>
  </w:style>
  <w:style w:type="character" w:customStyle="1" w:styleId="citation-7407">
    <w:name w:val="citation-7407"/>
    <w:basedOn w:val="Fuentedeprrafopredeter"/>
    <w:rsid w:val="002860B5"/>
  </w:style>
  <w:style w:type="character" w:customStyle="1" w:styleId="citation-7406">
    <w:name w:val="citation-7406"/>
    <w:basedOn w:val="Fuentedeprrafopredeter"/>
    <w:rsid w:val="002860B5"/>
  </w:style>
  <w:style w:type="character" w:customStyle="1" w:styleId="citation-7405">
    <w:name w:val="citation-7405"/>
    <w:basedOn w:val="Fuentedeprrafopredeter"/>
    <w:rsid w:val="002860B5"/>
  </w:style>
  <w:style w:type="character" w:customStyle="1" w:styleId="citation-16313">
    <w:name w:val="citation-16313"/>
    <w:basedOn w:val="Fuentedeprrafopredeter"/>
    <w:rsid w:val="002860B5"/>
  </w:style>
  <w:style w:type="character" w:customStyle="1" w:styleId="citation-16312">
    <w:name w:val="citation-16312"/>
    <w:basedOn w:val="Fuentedeprrafopredeter"/>
    <w:rsid w:val="002860B5"/>
  </w:style>
  <w:style w:type="character" w:customStyle="1" w:styleId="citation-16311">
    <w:name w:val="citation-16311"/>
    <w:basedOn w:val="Fuentedeprrafopredeter"/>
    <w:rsid w:val="002860B5"/>
  </w:style>
  <w:style w:type="character" w:customStyle="1" w:styleId="citation-16310">
    <w:name w:val="citation-16310"/>
    <w:basedOn w:val="Fuentedeprrafopredeter"/>
    <w:rsid w:val="002860B5"/>
  </w:style>
  <w:style w:type="character" w:customStyle="1" w:styleId="citation-16309">
    <w:name w:val="citation-16309"/>
    <w:basedOn w:val="Fuentedeprrafopredeter"/>
    <w:rsid w:val="002860B5"/>
  </w:style>
  <w:style w:type="character" w:customStyle="1" w:styleId="citation-16307">
    <w:name w:val="citation-16307"/>
    <w:basedOn w:val="Fuentedeprrafopredeter"/>
    <w:rsid w:val="002860B5"/>
  </w:style>
  <w:style w:type="character" w:customStyle="1" w:styleId="citation-16306">
    <w:name w:val="citation-16306"/>
    <w:basedOn w:val="Fuentedeprrafopredeter"/>
    <w:rsid w:val="002860B5"/>
  </w:style>
  <w:style w:type="character" w:customStyle="1" w:styleId="citation-16305">
    <w:name w:val="citation-16305"/>
    <w:basedOn w:val="Fuentedeprrafopredeter"/>
    <w:rsid w:val="002860B5"/>
  </w:style>
  <w:style w:type="character" w:customStyle="1" w:styleId="citation-2889">
    <w:name w:val="citation-2889"/>
    <w:basedOn w:val="Fuentedeprrafopredeter"/>
    <w:rsid w:val="00455AD0"/>
  </w:style>
  <w:style w:type="character" w:customStyle="1" w:styleId="citation-2888">
    <w:name w:val="citation-2888"/>
    <w:basedOn w:val="Fuentedeprrafopredeter"/>
    <w:rsid w:val="00455AD0"/>
  </w:style>
  <w:style w:type="character" w:customStyle="1" w:styleId="citation-2887">
    <w:name w:val="citation-2887"/>
    <w:basedOn w:val="Fuentedeprrafopredeter"/>
    <w:rsid w:val="00455AD0"/>
  </w:style>
  <w:style w:type="character" w:customStyle="1" w:styleId="citation-2886">
    <w:name w:val="citation-2886"/>
    <w:basedOn w:val="Fuentedeprrafopredeter"/>
    <w:rsid w:val="00455AD0"/>
  </w:style>
  <w:style w:type="character" w:customStyle="1" w:styleId="citation-2884">
    <w:name w:val="citation-2884"/>
    <w:basedOn w:val="Fuentedeprrafopredeter"/>
    <w:rsid w:val="00455AD0"/>
  </w:style>
  <w:style w:type="table" w:styleId="Tablaconcuadrcula1clara-nfasis1">
    <w:name w:val="Grid Table 1 Light Accent 1"/>
    <w:basedOn w:val="Tablanormal"/>
    <w:uiPriority w:val="46"/>
    <w:rsid w:val="00D8291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3">
    <w:name w:val="Plain Table 3"/>
    <w:basedOn w:val="Tablanormal"/>
    <w:uiPriority w:val="43"/>
    <w:rsid w:val="00D8291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3A0A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4">
    <w:name w:val="Plain Table 4"/>
    <w:basedOn w:val="Tablanormal"/>
    <w:uiPriority w:val="44"/>
    <w:rsid w:val="003A0A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">
    <w:name w:val="Grid Table 1 Light"/>
    <w:basedOn w:val="Tablanormal"/>
    <w:uiPriority w:val="46"/>
    <w:rsid w:val="003A0A9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3A0A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-nfasis5">
    <w:name w:val="List Table 1 Light Accent 5"/>
    <w:basedOn w:val="Tablanormal"/>
    <w:uiPriority w:val="46"/>
    <w:rsid w:val="003A0A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2-nfasis1">
    <w:name w:val="Grid Table 2 Accent 1"/>
    <w:basedOn w:val="Tablanormal"/>
    <w:uiPriority w:val="47"/>
    <w:rsid w:val="003A0A9D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3A0A9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citation-6594">
    <w:name w:val="citation-6594"/>
    <w:basedOn w:val="Fuentedeprrafopredeter"/>
    <w:rsid w:val="00CB4605"/>
  </w:style>
  <w:style w:type="character" w:customStyle="1" w:styleId="citation-6593">
    <w:name w:val="citation-6593"/>
    <w:basedOn w:val="Fuentedeprrafopredeter"/>
    <w:rsid w:val="00CB4605"/>
  </w:style>
  <w:style w:type="character" w:customStyle="1" w:styleId="citation-6592">
    <w:name w:val="citation-6592"/>
    <w:basedOn w:val="Fuentedeprrafopredeter"/>
    <w:rsid w:val="00CB4605"/>
  </w:style>
  <w:style w:type="character" w:customStyle="1" w:styleId="citation-6591">
    <w:name w:val="citation-6591"/>
    <w:basedOn w:val="Fuentedeprrafopredeter"/>
    <w:rsid w:val="00CB4605"/>
  </w:style>
  <w:style w:type="character" w:customStyle="1" w:styleId="citation-6590">
    <w:name w:val="citation-6590"/>
    <w:basedOn w:val="Fuentedeprrafopredeter"/>
    <w:rsid w:val="00CB4605"/>
  </w:style>
  <w:style w:type="character" w:customStyle="1" w:styleId="citation-6589">
    <w:name w:val="citation-6589"/>
    <w:basedOn w:val="Fuentedeprrafopredeter"/>
    <w:rsid w:val="00CB4605"/>
  </w:style>
  <w:style w:type="character" w:customStyle="1" w:styleId="citation-6588">
    <w:name w:val="citation-6588"/>
    <w:basedOn w:val="Fuentedeprrafopredeter"/>
    <w:rsid w:val="00CB4605"/>
  </w:style>
  <w:style w:type="character" w:customStyle="1" w:styleId="citation-6586">
    <w:name w:val="citation-6586"/>
    <w:basedOn w:val="Fuentedeprrafopredeter"/>
    <w:rsid w:val="00CB4605"/>
  </w:style>
  <w:style w:type="character" w:customStyle="1" w:styleId="citation-6584">
    <w:name w:val="citation-6584"/>
    <w:basedOn w:val="Fuentedeprrafopredeter"/>
    <w:rsid w:val="00CB4605"/>
  </w:style>
  <w:style w:type="character" w:customStyle="1" w:styleId="citation-6583">
    <w:name w:val="citation-6583"/>
    <w:basedOn w:val="Fuentedeprrafopredeter"/>
    <w:rsid w:val="00CB4605"/>
  </w:style>
  <w:style w:type="character" w:customStyle="1" w:styleId="citation-6581">
    <w:name w:val="citation-6581"/>
    <w:basedOn w:val="Fuentedeprrafopredeter"/>
    <w:rsid w:val="00CB4605"/>
  </w:style>
  <w:style w:type="character" w:customStyle="1" w:styleId="citation-6580">
    <w:name w:val="citation-6580"/>
    <w:basedOn w:val="Fuentedeprrafopredeter"/>
    <w:rsid w:val="00CB4605"/>
  </w:style>
  <w:style w:type="character" w:customStyle="1" w:styleId="citation-6579">
    <w:name w:val="citation-6579"/>
    <w:basedOn w:val="Fuentedeprrafopredeter"/>
    <w:rsid w:val="00CB4605"/>
  </w:style>
  <w:style w:type="character" w:customStyle="1" w:styleId="citation-6578">
    <w:name w:val="citation-6578"/>
    <w:basedOn w:val="Fuentedeprrafopredeter"/>
    <w:rsid w:val="00CB4605"/>
  </w:style>
  <w:style w:type="character" w:customStyle="1" w:styleId="citation-7674">
    <w:name w:val="citation-7674"/>
    <w:basedOn w:val="Fuentedeprrafopredeter"/>
    <w:rsid w:val="00D83D22"/>
  </w:style>
  <w:style w:type="character" w:customStyle="1" w:styleId="citation-7673">
    <w:name w:val="citation-7673"/>
    <w:basedOn w:val="Fuentedeprrafopredeter"/>
    <w:rsid w:val="00D83D22"/>
  </w:style>
  <w:style w:type="character" w:customStyle="1" w:styleId="citation-7672">
    <w:name w:val="citation-7672"/>
    <w:basedOn w:val="Fuentedeprrafopredeter"/>
    <w:rsid w:val="00D83D22"/>
  </w:style>
  <w:style w:type="character" w:customStyle="1" w:styleId="citation-7671">
    <w:name w:val="citation-7671"/>
    <w:basedOn w:val="Fuentedeprrafopredeter"/>
    <w:rsid w:val="00D83D22"/>
  </w:style>
  <w:style w:type="character" w:customStyle="1" w:styleId="citation-7669">
    <w:name w:val="citation-7669"/>
    <w:basedOn w:val="Fuentedeprrafopredeter"/>
    <w:rsid w:val="00D83D22"/>
  </w:style>
  <w:style w:type="character" w:customStyle="1" w:styleId="citation-9305">
    <w:name w:val="citation-9305"/>
    <w:basedOn w:val="Fuentedeprrafopredeter"/>
    <w:rsid w:val="000668F3"/>
  </w:style>
  <w:style w:type="character" w:customStyle="1" w:styleId="citation-9303">
    <w:name w:val="citation-9303"/>
    <w:basedOn w:val="Fuentedeprrafopredeter"/>
    <w:rsid w:val="000668F3"/>
  </w:style>
  <w:style w:type="character" w:customStyle="1" w:styleId="citation-9301">
    <w:name w:val="citation-9301"/>
    <w:basedOn w:val="Fuentedeprrafopredeter"/>
    <w:rsid w:val="000668F3"/>
  </w:style>
  <w:style w:type="character" w:customStyle="1" w:styleId="citation-9299">
    <w:name w:val="citation-9299"/>
    <w:basedOn w:val="Fuentedeprrafopredeter"/>
    <w:rsid w:val="000668F3"/>
  </w:style>
  <w:style w:type="character" w:customStyle="1" w:styleId="citation-9297">
    <w:name w:val="citation-9297"/>
    <w:basedOn w:val="Fuentedeprrafopredeter"/>
    <w:rsid w:val="000668F3"/>
  </w:style>
  <w:style w:type="character" w:customStyle="1" w:styleId="citation-9295">
    <w:name w:val="citation-9295"/>
    <w:basedOn w:val="Fuentedeprrafopredeter"/>
    <w:rsid w:val="000668F3"/>
  </w:style>
  <w:style w:type="character" w:customStyle="1" w:styleId="citation-9293">
    <w:name w:val="citation-9293"/>
    <w:basedOn w:val="Fuentedeprrafopredeter"/>
    <w:rsid w:val="000668F3"/>
  </w:style>
  <w:style w:type="character" w:customStyle="1" w:styleId="citation-9292">
    <w:name w:val="citation-9292"/>
    <w:basedOn w:val="Fuentedeprrafopredeter"/>
    <w:rsid w:val="000668F3"/>
  </w:style>
  <w:style w:type="character" w:customStyle="1" w:styleId="citation-9289">
    <w:name w:val="citation-9289"/>
    <w:basedOn w:val="Fuentedeprrafopredeter"/>
    <w:rsid w:val="000668F3"/>
  </w:style>
  <w:style w:type="character" w:customStyle="1" w:styleId="citation-9287">
    <w:name w:val="citation-9287"/>
    <w:basedOn w:val="Fuentedeprrafopredeter"/>
    <w:rsid w:val="000668F3"/>
  </w:style>
  <w:style w:type="character" w:customStyle="1" w:styleId="citation-9285">
    <w:name w:val="citation-9285"/>
    <w:basedOn w:val="Fuentedeprrafopredeter"/>
    <w:rsid w:val="000668F3"/>
  </w:style>
  <w:style w:type="character" w:customStyle="1" w:styleId="citation-9978">
    <w:name w:val="citation-9978"/>
    <w:basedOn w:val="Fuentedeprrafopredeter"/>
    <w:rsid w:val="00137731"/>
  </w:style>
  <w:style w:type="character" w:customStyle="1" w:styleId="citation-9977">
    <w:name w:val="citation-9977"/>
    <w:basedOn w:val="Fuentedeprrafopredeter"/>
    <w:rsid w:val="00137731"/>
  </w:style>
  <w:style w:type="character" w:customStyle="1" w:styleId="citation-9976">
    <w:name w:val="citation-9976"/>
    <w:basedOn w:val="Fuentedeprrafopredeter"/>
    <w:rsid w:val="00137731"/>
  </w:style>
  <w:style w:type="character" w:customStyle="1" w:styleId="citation-9975">
    <w:name w:val="citation-9975"/>
    <w:basedOn w:val="Fuentedeprrafopredeter"/>
    <w:rsid w:val="00137731"/>
  </w:style>
  <w:style w:type="character" w:customStyle="1" w:styleId="citation-9974">
    <w:name w:val="citation-9974"/>
    <w:basedOn w:val="Fuentedeprrafopredeter"/>
    <w:rsid w:val="00137731"/>
  </w:style>
  <w:style w:type="character" w:styleId="Mencinsinresolver">
    <w:name w:val="Unresolved Mention"/>
    <w:basedOn w:val="Fuentedeprrafopredeter"/>
    <w:uiPriority w:val="99"/>
    <w:semiHidden/>
    <w:unhideWhenUsed/>
    <w:rsid w:val="00AF4F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6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4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6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8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08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2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1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57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58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065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4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2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7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7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48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03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28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5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9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7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74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2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82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6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58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90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3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78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2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32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0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97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0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62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16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5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17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80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2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54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03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42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1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5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34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69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4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5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7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11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61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2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3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4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1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4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48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3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29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6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3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02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98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0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01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7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31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1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0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9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166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53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44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8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69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18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0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77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2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54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5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59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6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125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777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5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74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0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47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9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07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2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66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9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09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2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99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6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10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9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55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3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80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4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89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5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0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3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5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9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02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85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38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4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85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4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59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1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8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4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53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83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4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9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0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648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0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18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4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408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1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61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13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3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07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1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60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73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24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5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88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57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35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16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8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61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18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1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5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7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6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28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6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59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67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95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8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51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4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52840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9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352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55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5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3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1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7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8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5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703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27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81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951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37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7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05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75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1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64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4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2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1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99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7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83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79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0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14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64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7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29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61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0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9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2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06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1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73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97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0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37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3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9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08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9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1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03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1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46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2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06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1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71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2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6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1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78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81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0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81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84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70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05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91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1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81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35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35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89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64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9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2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105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3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989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3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99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8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890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7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22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45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08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2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387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62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379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6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6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51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8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758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4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348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7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81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73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937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96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81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13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57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336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0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061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8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31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3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290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3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40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539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58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99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3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59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3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7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8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02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04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643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6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0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80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196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9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69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8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53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1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908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9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22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2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697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0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5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19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75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20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48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1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9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9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7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60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84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6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24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1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29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4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5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0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52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56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0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0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24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90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0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20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4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42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29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8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4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3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6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2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29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1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06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1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376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56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535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47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82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05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45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8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49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24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23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2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4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28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4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31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1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65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9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16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1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51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4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95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27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52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4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99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7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47666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0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22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1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82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3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96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00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54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2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5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83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4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4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5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23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4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65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00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5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09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7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29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5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78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82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86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64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8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01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0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0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0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7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0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32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2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92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5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01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0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07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73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55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7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21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5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86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0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24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31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6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53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5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21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3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00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3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8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1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8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5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5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4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8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60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94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50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54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28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7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937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8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7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140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8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51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1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29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00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9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2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59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47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57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9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53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1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02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81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74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5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37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4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25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04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55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5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10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16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44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8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05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13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9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58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70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1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7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2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8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59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6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27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32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1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332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05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0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70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1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8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476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0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27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9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77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50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96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74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876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0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758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23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694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2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37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71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8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999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8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52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8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01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3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12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0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88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1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17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7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05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6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604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8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65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3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07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0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348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896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1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555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894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727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3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8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4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6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89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8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67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8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57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56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52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53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7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92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9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25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56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1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06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3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72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7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96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6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24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2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un.edu.co/sites/default/files/202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70798-68B9-4150-8926-7B9FEC72E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1950</Words>
  <Characters>11472</Characters>
  <Application>Microsoft Office Word</Application>
  <DocSecurity>0</DocSecurity>
  <Lines>337</Lines>
  <Paragraphs>165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Corporacion Salud UN</dc:creator>
  <cp:keywords/>
  <dc:description/>
  <cp:lastModifiedBy>Alvaro Burgos</cp:lastModifiedBy>
  <cp:revision>6</cp:revision>
  <dcterms:created xsi:type="dcterms:W3CDTF">2026-06-20T17:47:00Z</dcterms:created>
  <dcterms:modified xsi:type="dcterms:W3CDTF">2026-06-25T21:56:00Z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id="xYArfBOb"/&gt;&lt;style id="http://www.zotero.org/styles/vancouver" locale="es-MX"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value="true"/&gt;&lt;/prefs&gt;&lt;/data&gt;</vt:lpwstr>
  </property>
  <property fmtid="{D5CDD505-2E9C-101B-9397-08002B2CF9AE}" pid="4" name="GrammarlyDocumentId">
    <vt:lpwstr>c00df39e-61df-4ebb-9111-23f482179a3c</vt:lpwstr>
  </property>
</Properties>
</file>