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Introducción</w:t>
      </w:r>
    </w:p>
    <w:p w:rsidR="00000000" w:rsidDel="00000000" w:rsidP="00000000" w:rsidRDefault="00000000" w:rsidRPr="00000000" w14:paraId="000000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consumo de sustancias psicoactivas (SPA) y los trastornos por uso de sustancias (TUS) constituyen uno de los mayores desafíos de salud pública en Colombia y en América Latina. Según el Estudio Nacional de Consumo de Sustancias Psicoactivas en Colombia (Injusticia y MinSalud, 2019), el 10,6% de la población entre 12 y 65 años ha consumido alguna sustancia ilícita en el último año, con el cannabis como la sustancia de mayor prevalencia, seguida de la cocaína, el bazuco y los tranquilizantes de uso no médico. Los datos del Sistema de Información de la Atención en Salud Mental (SISM) revelan que los trastornos por uso de sustancias representan una proporción significativa de los egresos hospitalarios psiquiátricos y de las consultas de urgencias en salud mental, con un patrón de cronicidad y recaídas que exige continuidad del cuidado a largo plazo.</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brecha entre la necesidad de atención y la oferta de servicios especializados en adicciones es especialmente pronunciada en Colombia. Los programas de tratamiento para TUS — centros de atención en drogadicción (CAD), comunidades terapéuticas y unidades de desintoxicación hospitalaria — están concentrados en las principales ciudades, dejando a las regiones periféricas con acceso nulo o muy limitado a la atención especializada. Esta inequidad geográfica se superpone a barreras individuales igualmente significativas: el estigma social asociado al consumo de sustancias, la vergüenza familiar, el temor a consecuencias legales y laborales, y la falta de información sobre las opciones de tratamiento disponibles son factores que retrasan la búsqueda de ayuda y reducen la adherencia al tratamiento.</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telemedicina y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ofrecen una solución concreta y costo-efectiva para reducir estas brechas. La evidencia internacional demuestra que la telepsiquiatría aplicada al manejo de los TUS es equivalente a la atención presencial en eficacia para la entrevista motivacional, el inicio de la farmacoterapia de reducción del daño (buprenorfina, naltrexona), el seguimiento de la adherencia y la prevención de recaídas. En Colombia, el marco normativo vigente —encabezado por la Ley 1566 de 2012 y la Resolución 2665 de 2007— establece la atención integral al consumidor de SPA como un deber del Estado y de las IPS, con enfoque de salud pública, reducción del daño y respeto a la autonomía de la persona.</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estandariza la prestación del servicio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para el manejo del consumo de SPA en el marco institucional del Hospital Universitario Nacional de Colombia (HUN), incorporando los principios de la entrevista motivacional, el enfoque de reducción del daño, la farmacoterapia basada en la evidencia y la articulación con la red de servicios comunitarios de atención en adicciones. Este documento no sustituye las Guías de Práctica Clínica nacionales e internacionales vigentes; su propósito es complementarlas y operacionalizarlas en el contexto específico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institucional.</w:t>
      </w:r>
    </w:p>
    <w:p w:rsidR="00000000" w:rsidDel="00000000" w:rsidP="00000000" w:rsidRDefault="00000000" w:rsidRPr="00000000" w14:paraId="0000000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Objetivo General</w:t>
      </w:r>
    </w:p>
    <w:p w:rsidR="00000000" w:rsidDel="00000000" w:rsidP="00000000" w:rsidRDefault="00000000" w:rsidRPr="00000000" w14:paraId="0000000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prestación del servicio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y teleconsulta para la evaluación, el manejo farmacológico y el seguimiento de personas con consumo problemático o trastorno por uso de sustancias psicoactivas, garantizando el acceso a una atención integral, libre de estigma, basada en la evidencia y con enfoque de reducción del daño, en la red de servicios del HUN y en territorios con acceso limitado a servicios especializados en adicciones.</w:t>
      </w:r>
    </w:p>
    <w:p w:rsidR="00000000" w:rsidDel="00000000" w:rsidP="00000000" w:rsidRDefault="00000000" w:rsidRPr="00000000" w14:paraId="0000000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Objetivos Específicos</w:t>
      </w:r>
    </w:p>
    <w:p w:rsidR="00000000" w:rsidDel="00000000" w:rsidP="00000000" w:rsidRDefault="00000000" w:rsidRPr="00000000" w14:paraId="000000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Facilitar el acceso a la evaluación especializada del consumo de SPA mediante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reduciendo las barreras de estigma, distancia geográfica y disponibilidad de especialistas que impiden la búsqueda de ayuda oportuna.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Estandarizar la aplicación remota de instrumentos de tamizaje y diagnóstico validados para TUS (AUDIT, ASSIST, CAGE, CIWA-Ar, COWS) que permitan clasificar el nivel de consumo y orientar la intervención más adecuada para cada persona.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Protocolizar el manejo por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del síndrome de abstinencia de las principales sustancias (alcohol, opioides, benzodiacepinas, cannabis, cocaína y estimulantes), con énfasis en la identificación de las urgencias de abstinencia que requieren manejo presencial urgente.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Guiar el inicio de la farmacoterapia de reducción del daño y de mantenimiento de la abstinencia (naltrexona, buprenorfina/naloxona, disulfiram, acamprosato) mediante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con el monitoreo de la adherencia y los efectos adversos por teleconsulta de seguimiento.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Implementar la entrevista motivacional y las intervenciones breves validadas (IB-OMS) de forma remota para fortalecer la motivación al cambio en personas con consumo problemático que aún no están en disposición para el tratamiento formal.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Articular la atención por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con la red de servicios comunitarios de adicciones (CAD, comunidades terapéuticas, grupos de autoayuda, programas de reducción del daño) garantizando la continuidad del cuidado y evitando la fragmentación de la atención.</w:t>
      </w:r>
    </w:p>
    <w:p w:rsidR="00000000" w:rsidDel="00000000" w:rsidP="00000000" w:rsidRDefault="00000000" w:rsidRPr="00000000" w14:paraId="0000001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Alcance</w:t>
      </w:r>
    </w:p>
    <w:p w:rsidR="00000000" w:rsidDel="00000000" w:rsidP="00000000" w:rsidRDefault="00000000" w:rsidRPr="00000000" w14:paraId="000000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Población objeto: aplica a toda persona mayor de 14 años con consumo problemático de cualquier sustancia psicoactiva (alcohol, cannabis, cocaína, bazuco, heroína, benzodiacepinas, inhalantes, alucinógenos, nuevas sustancias psicoactivas) en cualquier nivel del espectro del consumo — uso de riesgo, uso nocivo o dependencia — que consulte a servicios de salud de la red del HUN o que sea referida desde el primer nivel de atención, instituciones educativas, servicios judiciales o programas comunitarios.</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clínico-asistencial: comprende la teleconsulta para la evaluación diagnóstica y la clasificación del nivel de consumo;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para el manejo del síndrome de abstinencia leve a moderada; el inicio y seguimiento de la farmacoterapia de mantenimiento; la entrevista motivacional y las intervenciones breves; la psicoeducación individual y familiar; la articulación con programas de desintoxicación presencial cuando se requiera; y el seguimiento de la prevención de recaídas en el mediano y largo plazo.</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tecnológico: se prioriza la teleconsulta por video para la evaluación diagnóstica completa y las sesiones de entrevista motivacional. En zonas con conectividad inestable se acepta la teleconsulta por audio para las sesiones de seguimiento y las intervenciones breves. La modalidad asincrónica (mensajería segura) puede complementar el seguimiento entre sesiones programadas.</w:t>
      </w:r>
    </w:p>
    <w:p w:rsidR="00000000" w:rsidDel="00000000" w:rsidP="00000000" w:rsidRDefault="00000000" w:rsidRPr="00000000" w14:paraId="00000017">
      <w:pPr>
        <w:jc w:val="both"/>
        <w:rPr>
          <w:rFonts w:ascii="Arial" w:cs="Arial" w:eastAsia="Arial" w:hAnsi="Arial"/>
          <w:sz w:val="24"/>
          <w:szCs w:val="24"/>
        </w:rPr>
      </w:pPr>
      <w:sdt>
        <w:sdtPr>
          <w:id w:val="309189688"/>
          <w:tag w:val="goog_rdk_0"/>
        </w:sdtPr>
        <w:sdtContent>
          <w:r w:rsidDel="00000000" w:rsidR="00000000" w:rsidRPr="00000000">
            <w:rPr>
              <w:rFonts w:ascii="Arial Unicode MS" w:cs="Arial Unicode MS" w:eastAsia="Arial Unicode MS" w:hAnsi="Arial Unicode MS"/>
              <w:sz w:val="24"/>
              <w:szCs w:val="24"/>
              <w:rtl w:val="0"/>
            </w:rPr>
            <w:t xml:space="preserve">Exclusiones: el síndrome de abstinencia severa de alcohol (delirium tremens, escala CIWA-Ar ≥ 20) y el síndrome de abstinencia severa de opioides con complicaciones (deshidratación severa, inestabilidad hemodinámica) requieren manejo presencial en una unidad de desintoxicación o servicio de urgencias. La </w:t>
          </w:r>
        </w:sdtContent>
      </w:sdt>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puede orientar la estabilización inicial y la remisión, pero no reemplaza el manejo presencial de la abstinencia grave. La rehabilitación residencial en comunidad terapéutica requiere presencia física y no es gestionable de forma remota.</w:t>
      </w:r>
    </w:p>
    <w:p w:rsidR="00000000" w:rsidDel="00000000" w:rsidP="00000000" w:rsidRDefault="00000000" w:rsidRPr="00000000" w14:paraId="0000001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Marco Normativo</w:t>
      </w:r>
    </w:p>
    <w:p w:rsidR="00000000" w:rsidDel="00000000" w:rsidP="00000000" w:rsidRDefault="00000000" w:rsidRPr="00000000" w14:paraId="0000001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 estableciendo las disposiciones para su práctica, parámetros operativos y responsabilidades institucionales.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y principios para el desarrollo de la Telesalud en Colombia.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consumo de SPA, salud mental y reducción del daño: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1566 de 2012 — Ley de Atención Integral al Consumidor de SPA: reconoce el consumo de SPA como un asunto de salud pública y no como un delito, establece el derecho de los consumidores a recibir atención integral en salud con enfoque de reducción del daño, y obliga al Estado y a las EPS a garantizar el acceso a los servicios de tratamiento.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2665 de 2007 (MinSalud): adopta los lineamientos para la atención integral a personas con consumo de SPA, incluyendo los criterios de habilitación de los Centros de Atención en Drogadicción (CAD) y los estándares de calidad para el tratamiento.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1616 de 2013 — Ley de Salud Mental: incluye los trastornos por uso de sustancias en el espectro de los trastornos mentales con derecho a atención en salud mental, y establece el enfoque de derechos como principio rector de la atención.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4886 de 2018 (MinSalud): adopta la Política Nacional de Salud Mental, que incluye la prevención del consumo de SPA y la atención de los TUS como ejes estratégicos, con énfasis en la reducción del daño y la integración de la atención en el nivel primario.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Plan Decenal de Salud Pública 2022-2031 (MinSalud): establece metas nacionales de reducción de la prevalencia del consumo problemático y de incremento de la cobertura de tratamiento para TUS.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Organización Mundial de la Salud. mhGAP Intervention Guide, Versión 2.0 (2016): incluye los algoritmos de evaluación y tratamiento de los trastornos por uso de alcohol y otras drogas adaptados al nivel primario de atención.</w:t>
      </w:r>
    </w:p>
    <w:p w:rsidR="00000000" w:rsidDel="00000000" w:rsidP="00000000" w:rsidRDefault="00000000" w:rsidRPr="00000000" w14:paraId="0000002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Definiciones</w:t>
      </w:r>
    </w:p>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relación a distancia con método de comunicación sincrónico o asincrónico para la provisión de servicios de salud, utilizando tecnologías de información y comunicación entre dos profesionales de la salud para la toma de decisiones clínicas en adicciones.</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Sustancia psicoactiva (SPA): toda sustancia que al ser consumida puede alterar la conciencia, el estado de ánimo o los procesos del pensamiento de una persona. Incluye el alcohol, el tabaco, el cannabis, la cocaína y sus derivados (crack, bazuco), los opioides (heroína, morfina, tramadol de uso no médico), los benzodiacepinas de uso no médico, los inhalantes, los alucinógenos y las nuevas sustancias psicoactivas (NSP).</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Trastorno por uso de sustancias (TUS): patrón problemático de uso de una sustancia que lleva a un deterioro o malestar clínicamente significativo, manifestado por al menos dos de los siguientes criterios en un período de 12 meses: tolerancia, abstinencia, consumo en cantidades mayores o por más tiempo del planeado, deseos persistentes de consumir, fracasos en intentos de control, abandono de actividades importantes por el consumo, y uso continuado a pesar de consecuencias adversas.</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Consumo de riesgo: patrón de consumo que aumenta el riesgo de consecuencias dañinas para el consumidor o para otros, pero que aún no ha causado daño demostrable. Corresponde a puntuaciones intermedias en los instrumentos de tamizaje (AUDIT 8-15; ASSIST nivel de riesgo moderado).</w:t>
      </w:r>
    </w:p>
    <w:p w:rsidR="00000000" w:rsidDel="00000000" w:rsidP="00000000" w:rsidRDefault="00000000" w:rsidRPr="00000000" w14:paraId="00000031">
      <w:pPr>
        <w:jc w:val="both"/>
        <w:rPr>
          <w:rFonts w:ascii="Arial" w:cs="Arial" w:eastAsia="Arial" w:hAnsi="Arial"/>
          <w:sz w:val="24"/>
          <w:szCs w:val="24"/>
        </w:rPr>
      </w:pPr>
      <w:sdt>
        <w:sdtPr>
          <w:id w:val="1163083479"/>
          <w:tag w:val="goog_rdk_1"/>
        </w:sdtPr>
        <w:sdtContent>
          <w:r w:rsidDel="00000000" w:rsidR="00000000" w:rsidRPr="00000000">
            <w:rPr>
              <w:rFonts w:ascii="Arial Unicode MS" w:cs="Arial Unicode MS" w:eastAsia="Arial Unicode MS" w:hAnsi="Arial Unicode MS"/>
              <w:sz w:val="24"/>
              <w:szCs w:val="24"/>
              <w:rtl w:val="0"/>
            </w:rPr>
            <w:t xml:space="preserve">Consumo nocivo (uso perjudicial): patrón de consumo que ya ha causado daño real a la salud física o mental del consumidor. Corresponde a puntuaciones altas en los instrumentos de tamizaje (AUDIT ≥ 16; ASSIST nivel de riesgo alto).</w:t>
          </w:r>
        </w:sdtContent>
      </w:sdt>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estado adaptativo del sistema nervioso central caracterizado por la necesidad compulsiva de consumir la sustancia para mantener el funcionamiento normal, con aparición de síndrome de abstinencia ante la reducción o suspensión del consumo. Corresponde al TUS severo según el DSM-5.</w:t>
      </w:r>
    </w:p>
    <w:p w:rsidR="00000000" w:rsidDel="00000000" w:rsidP="00000000" w:rsidRDefault="00000000" w:rsidRPr="00000000" w14:paraId="00000033">
      <w:pPr>
        <w:jc w:val="both"/>
        <w:rPr>
          <w:rFonts w:ascii="Arial" w:cs="Arial" w:eastAsia="Arial" w:hAnsi="Arial"/>
          <w:sz w:val="24"/>
          <w:szCs w:val="24"/>
        </w:rPr>
      </w:pPr>
      <w:sdt>
        <w:sdtPr>
          <w:id w:val="1748669725"/>
          <w:tag w:val="goog_rdk_2"/>
        </w:sdtPr>
        <w:sdtContent>
          <w:r w:rsidDel="00000000" w:rsidR="00000000" w:rsidRPr="00000000">
            <w:rPr>
              <w:rFonts w:ascii="Arial Unicode MS" w:cs="Arial Unicode MS" w:eastAsia="Arial Unicode MS" w:hAnsi="Arial Unicode MS"/>
              <w:sz w:val="24"/>
              <w:szCs w:val="24"/>
              <w:rtl w:val="0"/>
            </w:rPr>
            <w:t xml:space="preserve">AUDIT (Alcohol Use Disorders Identification Test): instrumento de tamizaje de 10 preguntas validado por la OMS para la detección del consumo problemático de alcohol. Puntuación 0-7: consumo de bajo riesgo; 8-15: consumo de riesgo (intervención breve indicada); 16-19: consumo nocivo (consejería e intervención breve intensiva); ≥ 20: dependencia probable (remisión a tratamiento especializado).</w:t>
          </w:r>
        </w:sdtContent>
      </w:sdt>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ASSIST (Alcohol, Smoking and Substance Involvement Screening Test): instrumento de tamizaje de 8 preguntas validado por la OMS para la detección del consumo problemático de múltiples sustancias. Clasifica el riesgo en bajo, moderado y alto para cada sustancia evaluada, con la intervención recomendada para cada nivel.</w:t>
      </w:r>
    </w:p>
    <w:p w:rsidR="00000000" w:rsidDel="00000000" w:rsidP="00000000" w:rsidRDefault="00000000" w:rsidRPr="00000000" w14:paraId="00000035">
      <w:pPr>
        <w:jc w:val="both"/>
        <w:rPr>
          <w:rFonts w:ascii="Arial" w:cs="Arial" w:eastAsia="Arial" w:hAnsi="Arial"/>
          <w:sz w:val="24"/>
          <w:szCs w:val="24"/>
        </w:rPr>
      </w:pPr>
      <w:sdt>
        <w:sdtPr>
          <w:id w:val="-1699339761"/>
          <w:tag w:val="goog_rdk_3"/>
        </w:sdtPr>
        <w:sdtContent>
          <w:r w:rsidDel="00000000" w:rsidR="00000000" w:rsidRPr="00000000">
            <w:rPr>
              <w:rFonts w:ascii="Arial Unicode MS" w:cs="Arial Unicode MS" w:eastAsia="Arial Unicode MS" w:hAnsi="Arial Unicode MS"/>
              <w:sz w:val="24"/>
              <w:szCs w:val="24"/>
              <w:rtl w:val="0"/>
            </w:rPr>
            <w:t xml:space="preserve">Escala CIWA-Ar (Clinical Institute Withdrawal Assessment for Alcohol): instrumento de 10 ítems para la cuantificación de la severidad del síndrome de abstinencia alcohólica. Puntuación &lt; 10: abstinencia leve (manejo ambulatorio posible); 10-19: abstinencia moderada (monitoreo estrecho y posible manejo ambulatorio con benzodiacepinas); ≥ 20: abstinencia severa (hospitalización urgente, no manejable por </w:t>
          </w:r>
        </w:sdtContent>
      </w:sdt>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de forma exclusiva).</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 COWS (Clinical Opiate Withdrawal Scale): instrumento de 11 ítems para la cuantificación de la severidad del síndrome de abstinencia a opioides. Puntuación 5-12: abstinencia leve; 13-24: moderada; 25-36: moderadamente severa; &gt; 36: severa. Orienta la dosis inicial de buprenorfina en el inicio del tratamiento de mantenimiento.</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Entrevista Motivacional (EM): intervención psicoterapéutica directiva, centrada en la persona y orientada hacia el cambio, que explora y resuelve la ambivalencia sobre el consumo de sustancias. Desarrollada por Miller y Rollnick, tiene evidencia sólida de eficacia para incrementar la motivación al cambio y mejorar la adherencia al tratamiento en TUS. Sus principios centrales son: escucha reflexiva, desarrollo de la discrepancia, trabajo con la resistencia y apoyo a la autoeficacia.</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Intervención Breve (IB): intervención de 5 a 30 minutos basada en los principios de la entrevista motivacional, diseñada para personas con consumo de riesgo o nocivo que no han desarrollado dependencia. Validada internacionalmente por la OMS como herramienta de primer nivel en adicciones.</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Reducción del daño: enfoque de salud pública y de derechos humanos que acepta que algunas personas no están listas o no desean dejar de consumir sustancias, y busca minimizar los riesgos individuales y colectivos asociados al consumo sin exigir la abstinencia como condición de la atención. Incluye estrategias como la distribución de jeringas estériles, las salas de consumo supervisado, la terapia de sustitución con opioides y la naloxona de rescate.</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Farmacoterapia de mantenimiento y reducción del daño: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Naltrexona 50 mg/día vía oral (o 380 mg IM mensual en formulación de depósito): antagonista opioide para el mantenimiento de la abstinencia en dependencia al alcohol y a los opioides. Contraindicado en pacientes con hepatopatía activa severa o en uso actual de opioides (riesgo de precipitar abstinencia aguda). Eficacia demostrada para reducir el craving y prevenir la recaída.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91517828"/>
          <w:tag w:val="goog_rdk_4"/>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Buprenorfina/naloxona (Suboxone) 8/2 mg sublingual: agonista parcial de opioides para el tratamiento de mantenimiento de la dependencia a opioides. Debe iniciarse cuando el paciente está en abstinencia leve a moderada (COWS ≥ 8-12) para evitar la precipitación de abstinencia severa. Reduce la mortalidad por sobredosis, el craving y el uso de opioides ilícitos. En Colombia su disponibilidad institucional es limitada; verificar en la red antes de prescribir.</w:t>
          </w:r>
        </w:sdtContent>
      </w:sdt>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Disulfiram 250-500 mg/día vía oral: inhibidor del acetaldehído deshidrogenasa que genera una reacción aversiva (náuseas, vómito, taquicardia, rubor) ante el consumo de alcohol. </w:t>
      </w:r>
      <w:r w:rsidDel="00000000" w:rsidR="00000000" w:rsidRPr="00000000">
        <w:rPr>
          <w:rFonts w:ascii="Arial" w:cs="Arial" w:eastAsia="Arial" w:hAnsi="Arial"/>
          <w:color w:val="333333"/>
          <w:sz w:val="24"/>
          <w:szCs w:val="24"/>
          <w:rtl w:val="0"/>
        </w:rPr>
        <w:t xml:space="preserve">Es eficaz</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solo cuando hay supervisión del cumplimiento. Contraindicado en hepatopatía severa, cardiopatía isquémica y psicosis activa.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Acamprosato 666 mg tres veces al día vía oral: modulador del sistema glutamatérgico para el mantenimiento de la abstinencia al alcohol. Reduce el craving y el malestar de la abstinencia prolongada. Mejor tolerado que el disulfiram y sin riesgo de reacción adversa grave. Requiere función renal conservada.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Diazepam 10-20 mg vía oral cada 6-8 horas (con reducción gradual): benzodiacepina de larga acción de elección para el manejo ambulatorio de la abstinencia alcohólica leve a moderada (CIWA-Ar &lt; 20). Prescribir con cantidad limitada (máximo 3-5 días de suministro) y con seguimiento diario por teleconsulta durante la fase de desintoxicación.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Tiamina (Vitamina B1) 100 mg/día vía oral o IV: suplementación obligatoria en pacientes con dependencia al alcohol para la prevención de la encefalopatía de Wernicke. Siempre administrar antes que cualquier solución glucosada en pacientes con sospecha de desnutrición por alcoholismo crónico.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Naloxona intranasal o IM (0,4-2 mg): antagonista opioide de acción rápida para la reversión de la sobredosis de opioides. Su disponibilidad en el nivel primario de atención es una medida de reducción del daño de alta prioridad. Los familiares de personas con dependencia a opioides deben ser capacitados en su uso.</w:t>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Síndrome de abstinencia alcohólica severa (delirium tremens): emergencia médica que se presenta generalmente entre las 24 y 72 horas tras la suspensión del alcohol en personas con dependencia severa. Se caracteriza por agitación psicomotora intensa, alucinaciones (visuales, táctiles, auditivas), desorientación, hiperactividad autonómica (fiebre, taquicardia, hipertensión, diaforesis) y convulsiones. Tiene una mortalidad sin tratamiento del 5-15%. No es manejable de forma exclusiva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requiere hospitalización urgente.</w:t>
      </w:r>
    </w:p>
    <w:p w:rsidR="00000000" w:rsidDel="00000000" w:rsidP="00000000" w:rsidRDefault="00000000" w:rsidRPr="00000000" w14:paraId="0000004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Flujo Operativo y Clínico en Telesalud</w:t>
      </w:r>
    </w:p>
    <w:p w:rsidR="00000000" w:rsidDel="00000000" w:rsidP="00000000" w:rsidRDefault="00000000" w:rsidRPr="00000000" w14:paraId="00000044">
      <w:pPr>
        <w:rPr>
          <w:rFonts w:ascii="Arial" w:cs="Arial" w:eastAsia="Arial" w:hAnsi="Arial"/>
          <w:sz w:val="24"/>
          <w:szCs w:val="24"/>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4"/>
        <w:gridCol w:w="2056"/>
        <w:gridCol w:w="1562"/>
        <w:gridCol w:w="3406"/>
        <w:tblGridChange w:id="0">
          <w:tblGrid>
            <w:gridCol w:w="1804"/>
            <w:gridCol w:w="2056"/>
            <w:gridCol w:w="1562"/>
            <w:gridCol w:w="3406"/>
          </w:tblGrid>
        </w:tblGridChange>
      </w:tblGrid>
      <w:tr>
        <w:trPr>
          <w:cantSplit w:val="0"/>
          <w:tblHeader w:val="0"/>
        </w:trPr>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4A">
            <w:pPr>
              <w:rPr>
                <w:rFonts w:ascii="Arial" w:cs="Arial" w:eastAsia="Arial" w:hAnsi="Arial"/>
                <w:sz w:val="24"/>
                <w:szCs w:val="24"/>
              </w:rPr>
            </w:pPr>
            <w:sdt>
              <w:sdtPr>
                <w:id w:val="-1488262271"/>
                <w:tag w:val="goog_rdk_5"/>
              </w:sdtPr>
              <w:sdtContent>
                <w:r w:rsidDel="00000000" w:rsidR="00000000" w:rsidRPr="00000000">
                  <w:rPr>
                    <w:rFonts w:ascii="Arial Unicode MS" w:cs="Arial Unicode MS" w:eastAsia="Arial Unicode MS" w:hAnsi="Arial Unicode MS"/>
                    <w:sz w:val="24"/>
                    <w:szCs w:val="24"/>
                    <w:rtl w:val="0"/>
                  </w:rPr>
                  <w:t xml:space="preserve">Identificar al paciente con consumo problemático de SPA mediante tamizaje sistemático (AUDIT en toda consulta de adultos; ASSIST en pacientes con policonsumo o sospecha de consumo de drogas ilícitas) o por consulta espontánea. Evaluar de forma inmediata la presencia de síndrome de abstinencia activo y su severidad (CIWA-Ar para alcohol; COWS para opioides). En abstinencia severa (CIWA-Ar ≥ 20 o signos de delirium tremens): activar remisión urgente a urgencias sin demora — esta condición no es manejable de forma exclusiva por </w:t>
                </w:r>
              </w:sdtContent>
            </w:sdt>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En sobredosis activa con alteración del nivel de conciencia: administrar naloxona si está disponible y activar soporte vital básico. En ausencia de urgencia médica activa: iniciar la entrevista motivacional con postura empática, sin confrontación y sin juicio sobre el consumo.</w:t>
            </w:r>
          </w:p>
        </w:tc>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(médico general, enfermería, psicología del nivel primario)</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El tamizaje con AUDIT o ASSIST no requiere activar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el especialista: puede realizarse de forma autónoma por el remisor capacitado.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se activa para la evaluación diagnóstica completa del TUS, el inicio de farmacoterapia de mantenimiento, el manejo de la abstinencia y los casos de policonsumo complejo.</w:t>
            </w:r>
          </w:p>
        </w:tc>
      </w:tr>
      <w:tr>
        <w:trPr>
          <w:cantSplit w:val="0"/>
          <w:tblHeader w:val="0"/>
        </w:trPr>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Confirmar la identidad del paciente y obtener el consentimiento informado para la atención por telemedicina y para el manejo de datos sensibles de salud mental. Garantizar la privacidad absoluta de la consulta: el estigma asociado al consumo de SPA hace que la confidencialidad sea especialmente crítica para la adherencia al proceso. Verificar que el paciente comprende que la información compartida en la teleconsulta está protegida por la misma reserva que la consulta presencial.</w:t>
            </w:r>
          </w:p>
        </w:tc>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Registrar el consentimiento en la historia clínica. Organizar la información bajo el modelo SBAR: tipo de sustancia y patrón de consumo (AUDIT/ASSIST), presencia y severidad de abstinencia (CIWA-Ar/COWS), comorbilidades psiquiátricas, intentos de tratamiento previos, red de apoyo disponible, y motivación al cambio (estadio de cambio de Prochaska).</w:t>
            </w:r>
          </w:p>
        </w:tc>
      </w:tr>
      <w:tr>
        <w:trPr>
          <w:cantSplit w:val="0"/>
          <w:tblHeader w:val="0"/>
        </w:trPr>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Registrar en la historia clínica y notificar al centro referente: sustancias consumidas y patrón de uso, puntajes de los instrumentos de tamizaje, signos vitales, presencia y severidad de abstinencia, comorbilidades médicas y psiquiátricas relevantes, medicación actual, intentos de tratamiento previos y sus resultados, red de apoyo disponible y estadio motivacional.</w:t>
            </w:r>
          </w:p>
        </w:tc>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líneas 3228234549 y 3228234532 — correo telemedicina.digital@hun.edu.co. El tiempo de respuesta del especialista comienza desde que la información mínima está disponible y cargada en el sistema.</w:t>
            </w:r>
          </w:p>
        </w:tc>
      </w:tr>
      <w:tr>
        <w:trPr>
          <w:cantSplit w:val="0"/>
          <w:tblHeader w:val="0"/>
        </w:trPr>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información clínica, clasificar la prioridad según la severidad del TUS y la presencia de urgencias de abstinencia, establecer el enlace sincrónico de video y registrar la apertura del caso en </w:t>
            </w:r>
            <w:r w:rsidDel="00000000" w:rsidR="00000000" w:rsidRPr="00000000">
              <w:rPr>
                <w:rFonts w:ascii="Arial" w:cs="Arial" w:eastAsia="Arial" w:hAnsi="Arial"/>
                <w:sz w:val="24"/>
                <w:szCs w:val="24"/>
                <w:rtl w:val="0"/>
              </w:rPr>
              <w:t xml:space="preserve">Hosvital</w:t>
            </w:r>
            <w:r w:rsidDel="00000000" w:rsidR="00000000" w:rsidRPr="00000000">
              <w:rPr>
                <w:rFonts w:ascii="Arial" w:cs="Arial" w:eastAsia="Arial" w:hAnsi="Arial"/>
                <w:sz w:val="24"/>
                <w:szCs w:val="24"/>
                <w:rtl w:val="0"/>
              </w:rPr>
              <w:t xml:space="preserve">. El especialista presenta al paciente con una postura abierta, no punitiva y orientada a la colaboración.</w:t>
            </w:r>
          </w:p>
        </w:tc>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Psiquiatra o especialista en adicciones referente</w:t>
            </w:r>
          </w:p>
        </w:tc>
        <w:tc>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Cargue y apertura de caso en </w:t>
            </w:r>
            <w:r w:rsidDel="00000000" w:rsidR="00000000" w:rsidRPr="00000000">
              <w:rPr>
                <w:rFonts w:ascii="Arial" w:cs="Arial" w:eastAsia="Arial" w:hAnsi="Arial"/>
                <w:sz w:val="24"/>
                <w:szCs w:val="24"/>
                <w:rtl w:val="0"/>
              </w:rPr>
              <w:t xml:space="preserve">Hosvital</w:t>
            </w:r>
            <w:r w:rsidDel="00000000" w:rsidR="00000000" w:rsidRPr="00000000">
              <w:rPr>
                <w:rFonts w:ascii="Arial" w:cs="Arial" w:eastAsia="Arial" w:hAnsi="Arial"/>
                <w:sz w:val="24"/>
                <w:szCs w:val="24"/>
                <w:rtl w:val="0"/>
              </w:rPr>
              <w:t xml:space="preserve">. Tiempo máximo de respuesta: &lt; 24 horas para abstinencia moderada o TUS severo con complicaciones; &lt; 3 días hábiles para evaluación diagnóstica inicial de TUS sin urgencia; &lt; 8 días hábiles para seguimiento de mantenimiento o intervención breve.</w:t>
            </w:r>
          </w:p>
        </w:tc>
      </w:tr>
      <w:tr>
        <w:trPr>
          <w:cantSplit w:val="0"/>
          <w:tblHeader w:val="0"/>
        </w:trPr>
        <w:tc>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El especialista conduce o </w:t>
            </w:r>
            <w:r w:rsidDel="00000000" w:rsidR="00000000" w:rsidRPr="00000000">
              <w:rPr>
                <w:rFonts w:ascii="Arial" w:cs="Arial" w:eastAsia="Arial" w:hAnsi="Arial"/>
                <w:sz w:val="24"/>
                <w:szCs w:val="24"/>
                <w:rtl w:val="0"/>
              </w:rPr>
              <w:t xml:space="preserve">coorienta</w:t>
            </w:r>
            <w:r w:rsidDel="00000000" w:rsidR="00000000" w:rsidRPr="00000000">
              <w:rPr>
                <w:rFonts w:ascii="Arial" w:cs="Arial" w:eastAsia="Arial" w:hAnsi="Arial"/>
                <w:sz w:val="24"/>
                <w:szCs w:val="24"/>
                <w:rtl w:val="0"/>
              </w:rPr>
              <w:t xml:space="preserve"> la evaluación diagnóstica completa: (a) confirmación diagnóstica del TUS según criterios DSM-5 y clasificación de la severidad; (b) evaluación de comorbilidades psiquiátricas (depresión, ansiedad, psicosis inducida por sustancias, trauma); (c) estadificación del estadio motivacional (precontemplación, contemplación, preparación, acción, mantenimiento); (d) definición de la intervención: intervención breve (consumo de riesgo o nocivo sin dependencia), entrevista motivacional (estadio precontemplativo o contemplativo), inicio de farmacoterapia de mantenimiento (dependencia con motivación al cambio), manejo de la abstinencia (con supervisión por teleconsulta diaria si CIWA-Ar &lt; 20 o COWS &lt; 13), o remisión a desintoxicación presencial o comunidad terapéutica; (e) psicoeducación al paciente y al familiar; (f) plan de reducción del daño individualizado cuando la abstinencia no es el objetivo inmediato del paciente.</w:t>
            </w:r>
          </w:p>
        </w:tc>
        <w:tc>
          <w:tcPr/>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o especialista en adicciones referente / Profesional solicitante</w:t>
            </w:r>
          </w:p>
        </w:tc>
        <w:tc>
          <w:tcPr/>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tl w:val="0"/>
              </w:rPr>
              <w:t xml:space="preserve">Historia clínica </w:t>
            </w:r>
            <w:r w:rsidDel="00000000" w:rsidR="00000000" w:rsidRPr="00000000">
              <w:rPr>
                <w:rFonts w:ascii="Arial" w:cs="Arial" w:eastAsia="Arial" w:hAnsi="Arial"/>
                <w:sz w:val="24"/>
                <w:szCs w:val="24"/>
                <w:rtl w:val="0"/>
              </w:rPr>
              <w:t xml:space="preserve">Hosvital</w:t>
            </w:r>
            <w:r w:rsidDel="00000000" w:rsidR="00000000" w:rsidRPr="00000000">
              <w:rPr>
                <w:rFonts w:ascii="Arial" w:cs="Arial" w:eastAsia="Arial" w:hAnsi="Arial"/>
                <w:sz w:val="24"/>
                <w:szCs w:val="24"/>
                <w:rtl w:val="0"/>
              </w:rPr>
              <w:t xml:space="preserve">. La postura clínica durante toda la consulta es de aceptación incondicional, sin juicio moral sobre el consumo. El especialista no puede condicionar la atención a la voluntad de dejar de consumir: la reducción del daño es un objetivo legítimo para las personas que no están en estadio de acción.</w:t>
            </w:r>
          </w:p>
        </w:tc>
      </w:tr>
      <w:tr>
        <w:trPr>
          <w:cantSplit w:val="0"/>
          <w:tblHeader w:val="0"/>
        </w:trPr>
        <w:tc>
          <w:tcPr/>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diagnóstico, estadio motivacional, plan de tratamiento (farmacoterapia, psicoterapia, articulación con CAD o grupos de autoayuda), seguimiento programado (semanal durante la desintoxicación ambulatoria; quincenal durante el primer mes de mantenimiento; mensual en la fase de mantenimiento estable), y señales de alarma para retorno urgente (abstinencia que se agrava, sobredosis, ideación suicida). Articular con la red de servicios comunitarios disponibles en el municipio del paciente. Registrar obligatoriamente en ambos sistemas.</w:t>
            </w:r>
          </w:p>
        </w:tc>
        <w:tc>
          <w:tcPr/>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y Centro Remisor</w:t>
            </w:r>
          </w:p>
        </w:tc>
        <w:tc>
          <w:tcPr/>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correo corporativo e historia clínica. En pacientes en desintoxicación ambulatoria por alcohol, el seguimiento por teleconsulta debe ser diario durante los primeros 3-5 días para monitorear la evolución de la abstinencia con la escala CIWA-Ar y ajustar la dosis de benzodiacepinas.</w:t>
            </w:r>
          </w:p>
        </w:tc>
      </w:tr>
    </w:tbl>
    <w:p w:rsidR="00000000" w:rsidDel="00000000" w:rsidP="00000000" w:rsidRDefault="00000000" w:rsidRPr="00000000" w14:paraId="0000006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Criterios de Inclusión / Exclusión en Telesalud</w:t>
      </w:r>
    </w:p>
    <w:p w:rsidR="00000000" w:rsidDel="00000000" w:rsidP="00000000" w:rsidRDefault="00000000" w:rsidRPr="00000000" w14:paraId="0000006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Inclusión para Teleconsulta de Primer Nivel (sin activación del especialista en adicciones)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Tamizaje con AUDIT o ASSIST con resultado de consumo de riesgo o nocivo sin dependencia, para intervención breve por el profesional del nivel primario capacitado.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en estadio de contemplación o preparación para el cambio con consumo de cannabis, alcohol o cocaína sin comorbilidades psiquiátricas mayores.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Seguimiento de pacientes en tratamiento de mantenimiento estable (farmacoterapia activa, sin recaídas recientes) para verificación de adherencia y efectos adversos.</w:t>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Inclusión para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Especialista en Adicciones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Diagnóstico de TUS severo (dependencia) a cualquier sustancia que requiera evaluación completa, inicio de farmacoterapia de mantenimiento o definición de conducta de desintoxicación.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Abstinencia alcohólica leve a moderada (CIWA-Ar 10-19) en paciente con red de apoyo disponible para supervisión del tratamiento ambulatorio con benzodiacepinas.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Abstinencia a opioides de cualquier severidad con indicación de inicio de tratamiento de mantenimiento con buprenorfina o naltrexona.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Policonsumo con comorbilidades psiquiátricas (depresión mayor, trastorno bipolar, psicosis) que requieren manejo farmacológico integrado.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que han completado un ciclo de desintoxicación presencial y </w:t>
      </w:r>
      <w:r w:rsidDel="00000000" w:rsidR="00000000" w:rsidRPr="00000000">
        <w:rPr>
          <w:rFonts w:ascii="Arial" w:cs="Arial" w:eastAsia="Arial" w:hAnsi="Arial"/>
          <w:color w:val="333333"/>
          <w:sz w:val="24"/>
          <w:szCs w:val="24"/>
          <w:rtl w:val="0"/>
        </w:rPr>
        <w:t xml:space="preserve">requiere</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seguimiento de mantenimiento y prevención de recaídas por telepsiquiatría.</w:t>
      </w:r>
    </w:p>
    <w:p w:rsidR="00000000" w:rsidDel="00000000" w:rsidP="00000000" w:rsidRDefault="00000000" w:rsidRPr="00000000" w14:paraId="0000006D">
      <w:pPr>
        <w:pStyle w:val="Heading3"/>
        <w:rPr>
          <w:rFonts w:ascii="Arial" w:cs="Arial" w:eastAsia="Arial" w:hAnsi="Arial"/>
        </w:rPr>
      </w:pPr>
      <w:r w:rsidDel="00000000" w:rsidR="00000000" w:rsidRPr="00000000">
        <w:rPr>
          <w:rFonts w:ascii="Arial" w:cs="Arial" w:eastAsia="Arial" w:hAnsi="Arial"/>
          <w:rtl w:val="0"/>
        </w:rPr>
        <w:t xml:space="preserve">Criterios de Exclusión (Remisión Urgente Presencial)</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23822456"/>
          <w:tag w:val="goog_rdk_6"/>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Síndrome de abstinencia alcohólica severa (CIWA-Ar ≥ 20) o delirium tremens en curso: remisión a urgencias sin demora. La </w:t>
          </w:r>
        </w:sdtContent>
      </w:sdt>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orienta la estabilización mientras llega el transporte, pero no reemplaza el manejo hospitalario.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Sobredosis activa con depresión respiratoria, alteración del nivel de conciencia o inestabilidad hemodinámica: soporte vital básico, naloxona si hay sobredosis opioide y remisión inmediata.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TUS con ideación suicida activa: activar el protocolo de conducta suicida de forma simultánea.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Síndrome de abstinencia severa a benzodiacepinas (riesgo de convulsiones): remisión a urgencias para desintoxicación hospitalaria supervisada.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que requiere rehabilitación residencial en comunidad terapéutica: la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gestiona la remisión y el proceso de vinculación, pero la intervención es presencial.</w:t>
      </w:r>
    </w:p>
    <w:p w:rsidR="00000000" w:rsidDel="00000000" w:rsidP="00000000" w:rsidRDefault="00000000" w:rsidRPr="00000000" w14:paraId="0000007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Roles y Responsabilidades en Telesalud</w:t>
      </w:r>
    </w:p>
    <w:p w:rsidR="00000000" w:rsidDel="00000000" w:rsidP="00000000" w:rsidRDefault="00000000" w:rsidRPr="00000000" w14:paraId="0000007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Médico general o psicólogo (Centro Remisor): responsable del tamizaje sistemático con AUDIT y ASSIST, la aplicación de las intervenciones breves de primer nivel, la identificación de los casos que requieren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el especialista, la recolección de la historia clínica completa, la administración de la farmacoterapia prescrita y el seguimiento de la adherencia entre teleconsultas. Es el vínculo principal con el paciente en el territorio y el responsable de la articulación con los recursos comunitarios locales.</w:t>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Psiquiatra o especialista en adicciones (Centro Referente): responsable de la evaluación diagnóstica completa del TUS, la estadificación motivacional, la prescripción de la farmacoterapia de mantenimiento, el manejo de la abstinencia ambulatoria, la psicoeducación al paciente y la familia, la gestión de las remisiones a desintoxicación o comunidad terapéutica, y el seguimiento de mantenimiento a largo plazo por telepsiquiatría.</w:t>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Psicología clínica (Centro Remisor o Referente): responsable de la entrevista motivacional, las intervenciones cognitivo-conductuales para la prevención de recaídas, la identificación y el manejo de las comorbilidades psicológicas (trauma, ansiedad, depresión reactiva </w:t>
      </w:r>
      <w:r w:rsidDel="00000000" w:rsidR="00000000" w:rsidRPr="00000000">
        <w:rPr>
          <w:rFonts w:ascii="Arial" w:cs="Arial" w:eastAsia="Arial" w:hAnsi="Arial"/>
          <w:sz w:val="24"/>
          <w:szCs w:val="24"/>
          <w:rtl w:val="0"/>
        </w:rPr>
        <w:t xml:space="preserve">al TUS</w:t>
      </w:r>
      <w:r w:rsidDel="00000000" w:rsidR="00000000" w:rsidRPr="00000000">
        <w:rPr>
          <w:rFonts w:ascii="Arial" w:cs="Arial" w:eastAsia="Arial" w:hAnsi="Arial"/>
          <w:sz w:val="24"/>
          <w:szCs w:val="24"/>
          <w:rtl w:val="0"/>
        </w:rPr>
        <w:t xml:space="preserve">), y la psicoeducación familiar. En el nivel primario capacitado, puede gestionar los casos de consumo de riesgo o nocivo sin dependencia de forma autónoma con supervisión del especialista referente.</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social (Centro Remisor): responsable de la identificación de las barreras sociales que perpetúan el consumo (violencia doméstica, pobreza, desempleo, ausencia de vivienda), la articulación con los programas comunitarios de reducción del daño disponibles en el municipio, y la gestión de los procesos de vinculación a CAD o comunidades terapéuticas cuando esté indicado.</w:t>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Familiar o cuidador principal: participa activamente en la psicoeducación sobre el TUS (la dependencia como enfermedad crónica, no como debilidad moral), en la supervisión de la farmacoterapia de mantenimiento y en el reconocimiento de las señales de alarma de recaída. Es capacitado en el uso de la naloxona de rescate cuando el paciente tiene dependencia a opioides.</w:t>
      </w:r>
    </w:p>
    <w:p w:rsidR="00000000" w:rsidDel="00000000" w:rsidP="00000000" w:rsidRDefault="00000000" w:rsidRPr="00000000" w14:paraId="0000007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Tiempos de Respuesta Sugeridos</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priorización: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394106167"/>
          <w:tag w:val="goog_rdk_7"/>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Urgencia (menos de 24 horas): abstinencia moderada a severa en curso (CIWA-Ar 10-19 o COWS ≥ 13), sobredosis reciente con estabilización médica requerida, TUS con conducta suicida activa.</w:t>
          </w:r>
        </w:sdtContent>
      </w:sdt>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Prioritario (menos de 3 días hábiles): evaluación diagnóstica inicial de TUS severo sin urgencia de abstinencia activa, inicio de farmacoterapia de mantenimiento (naltrexona, buprenorfina),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reagudización</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del consumo tras período de abstinencia.</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Seguimiento programado (menos de 8 días hábiles): ajuste de farmacoterapia en paciente estable, seguimiento de prevención de recaídas, sesiones de entrevista motivacional en estadio contemplativo.</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Cronometría del seguimiento ambulatorio: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Desintoxicación ambulatoria de alcohol (CIWA-Ar 10-19): teleconsulta diaria durante los primeros 3-5 días para monitoreo con escala CIWA-Ar y ajuste de benzodiacepinas; luego semanal durante 4 semanas.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Inicio de buprenorfina o naltrexona: teleconsulta a las 48-72 horas del inicio para evaluación de tolerabilidad y adherencia; luego semanal durante el primer mes; mensual en la fase de mantenimiento estable.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Intervención breve en consumo de riesgo o nocivo: seguimiento a las 4 semanas para evaluación del cambio en el patrón de consumo con re-aplicación del AUDIT o ASSIST.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Prevención de recaídas en abstinencia: teleconsulta mensual durante el primer año; cada 2-3 meses en el segundo año; según necesidad a partir del tercer año.</w:t>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contingencias: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Fallo de conectividad durante monitoreo de abstinencia ambulatoria: garantizar contacto telefónico diario durante la fase activa. Si no es posible el contacto y no hay familiar que supervise, activar visita domiciliaria del equipo de salud del primer nivel.</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Recaída durante el seguimiento: la recaída es parte del curso natural de la enfermedad adictiva, no un fracaso del tratamiento ni del paciente. El equipo responde con una teleconsulta de evaluación no punitiva dentro de las 24-48 horas de reportada, revisando los disparadores de la recaída y ajustando el plan de tratamiento.</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Indisponibilidad del fármaco de mantenimiento en la red: el especialista identifica la alternativa disponible y gestiona con la EPS o la entidad territorial la consecución del medicamento sin interrumpir el tratamiento.</w:t>
      </w:r>
    </w:p>
    <w:p w:rsidR="00000000" w:rsidDel="00000000" w:rsidP="00000000" w:rsidRDefault="00000000" w:rsidRPr="00000000" w14:paraId="0000008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Estrategias de Humanización Digital y Diálogo Intercultural</w:t>
      </w:r>
    </w:p>
    <w:p w:rsidR="00000000" w:rsidDel="00000000" w:rsidP="00000000" w:rsidRDefault="00000000" w:rsidRPr="00000000" w14:paraId="0000008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Atención libre de estigma: el estigma asociado al consumo de SPA es una de las principales barreras para la búsqueda de ayuda y la adherencia al tratamiento. El profesional debe adoptar desde el primer contacto una postura de aceptación incondicional, evitando términos estigmatizantes ("adicto", "drogadicto", "alcohólico") y usando lenguaje centrado en la persona ("persona con trastorno por uso de alcohol", "persona con dependencia al cannabis"). Nunca moralizar, sermonear ni expresar desaprobación por el consumo: estas actitudes reducen la motivación al cambio y deterioran la alianza terapéutica.</w:t>
      </w:r>
    </w:p>
    <w:p w:rsidR="00000000" w:rsidDel="00000000" w:rsidP="00000000" w:rsidRDefault="00000000" w:rsidRPr="00000000" w14:paraId="000000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Ambivalencia como fenómeno normal: la ambivalencia sobre el cambio es inherente a los TUS y no es una señal de falta de voluntad. El profesional debe explorar la ambivalencia con curiosidad genuina ("¿qué es lo que le gusta del consumo y qué es lo que no le gusta?"), usando las técnicas de la entrevista motivacional para desarrollar la discrepancia entre el comportamiento actual del paciente y sus valores y metas personales, sin confrontación directa.</w:t>
      </w:r>
    </w:p>
    <w:p w:rsidR="00000000" w:rsidDel="00000000" w:rsidP="00000000" w:rsidRDefault="00000000" w:rsidRPr="00000000" w14:paraId="000000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Confidencialidad reforzada: en el contexto colombiano, el consumo de SPA puede tener consecuencias laborales, legales y familiares significativas. El profesional debe garantizar y comunicar explícitamente al paciente que la información compartida en la teleconsulta está protegida por el secreto médico y no será compartida con empleadores, autoridades judiciales ni familiares sin el consentimiento del paciente, salvo en situaciones de riesgo vital inminente.</w:t>
      </w:r>
    </w:p>
    <w:p w:rsidR="00000000" w:rsidDel="00000000" w:rsidP="00000000" w:rsidRDefault="00000000" w:rsidRPr="00000000" w14:paraId="000000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intercultural del consumo de SPA: en comunidades indígenas, el consumo de sustancias de origen vegetal (coca, yopo, ayahuasca) tiene en muchos casos un uso ritual, ceremonial o medicinal reconocido por sus sistemas de salud propios. El profesional debe distinguir entre el uso ritual controlado por la comunidad y el consumo problemático que genera daño individual o colectivo, sin patologizar las prácticas culturales legítimas ni ignorar el consumo problemático bajo el argumento de la diversidad cultural. El diálogo respetuoso con los líderes y médicos tradicionales de la comunidad es fundamental para abordar el consumo problemático sin generar resistencia cultural.</w:t>
      </w:r>
    </w:p>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Enfoque de género en TUS: el consumo de SPA tiene determinantes y expresiones de género diferenciadas. Las mujeres con TUS enfrentan mayor estigma que los hombres, mayor probabilidad de haber sufrido trauma sexual o violencia de pareja como factor desencadenante del consumo, y mayores barreras para acceder al tratamiento (cuidado de hijos, dependencia económica, vergüenza familiar). El profesional debe explorar activamente el contexto de violencia de género en mujeres con TUS y adaptar el plan de tratamiento a sus circunstancias específicas, incluyendo la coordinación con las rutas de atención a la violencia basada en género cuando sea pertinente.</w:t>
      </w:r>
    </w:p>
    <w:p w:rsidR="00000000" w:rsidDel="00000000" w:rsidP="00000000" w:rsidRDefault="00000000" w:rsidRPr="00000000" w14:paraId="0000008F">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Indicadores de Calidad y Seguimiento</w:t>
      </w:r>
    </w:p>
    <w:p w:rsidR="00000000" w:rsidDel="00000000" w:rsidP="00000000" w:rsidRDefault="00000000" w:rsidRPr="00000000" w14:paraId="00000090">
      <w:pPr>
        <w:rPr>
          <w:rFonts w:ascii="Arial" w:cs="Arial" w:eastAsia="Arial" w:hAnsi="Arial"/>
          <w:sz w:val="24"/>
          <w:szCs w:val="24"/>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 tamizaje con AUDIT/ASSIST</w:t>
            </w:r>
          </w:p>
        </w:tc>
        <w:tc>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 de consultas de adultos en el nivel primario donde se aplica el AUDIT o el ASSIST sobre el total de consultas de adultos en la red</w:t>
            </w:r>
          </w:p>
        </w:tc>
        <w:tc>
          <w:tcPr/>
          <w:p w:rsidR="00000000" w:rsidDel="00000000" w:rsidP="00000000" w:rsidRDefault="00000000" w:rsidRPr="00000000" w14:paraId="00000096">
            <w:pPr>
              <w:rPr>
                <w:rFonts w:ascii="Arial" w:cs="Arial" w:eastAsia="Arial" w:hAnsi="Arial"/>
                <w:sz w:val="24"/>
                <w:szCs w:val="24"/>
              </w:rPr>
            </w:pPr>
            <w:sdt>
              <w:sdtPr>
                <w:id w:val="1436824580"/>
                <w:tag w:val="goog_rdk_8"/>
              </w:sdtPr>
              <w:sdtContent>
                <w:r w:rsidDel="00000000" w:rsidR="00000000" w:rsidRPr="00000000">
                  <w:rPr>
                    <w:rFonts w:ascii="Arial Unicode MS" w:cs="Arial Unicode MS" w:eastAsia="Arial Unicode MS" w:hAnsi="Arial Unicode MS"/>
                    <w:sz w:val="24"/>
                    <w:szCs w:val="24"/>
                    <w:rtl w:val="0"/>
                  </w:rPr>
                  <w:t xml:space="preserve">≥ 70 %</w:t>
                </w:r>
              </w:sdtContent>
            </w:sdt>
          </w:p>
        </w:tc>
      </w:tr>
      <w:tr>
        <w:trPr>
          <w:cantSplit w:val="0"/>
          <w:tblHeader w:val="0"/>
        </w:trPr>
        <w:tc>
          <w:tcPr/>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atención en abstinencia moderada</w:t>
            </w:r>
          </w:p>
        </w:tc>
        <w:tc>
          <w:tcPr/>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 de casos con abstinencia moderada (CIWA-Ar 10-19 o COWS 13-24) con teleconsulta del especialista en &lt; 24 horas desde la identificación sobre el total de casos con ese nivel de abstinencia</w:t>
            </w:r>
          </w:p>
        </w:tc>
        <w:tc>
          <w:tcPr/>
          <w:p w:rsidR="00000000" w:rsidDel="00000000" w:rsidP="00000000" w:rsidRDefault="00000000" w:rsidRPr="00000000" w14:paraId="00000099">
            <w:pPr>
              <w:rPr>
                <w:rFonts w:ascii="Arial" w:cs="Arial" w:eastAsia="Arial" w:hAnsi="Arial"/>
                <w:sz w:val="24"/>
                <w:szCs w:val="24"/>
              </w:rPr>
            </w:pPr>
            <w:sdt>
              <w:sdtPr>
                <w:id w:val="-711912634"/>
                <w:tag w:val="goog_rdk_9"/>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9A">
            <w:pPr>
              <w:rPr>
                <w:rFonts w:ascii="Arial" w:cs="Arial" w:eastAsia="Arial" w:hAnsi="Arial"/>
                <w:sz w:val="24"/>
                <w:szCs w:val="24"/>
              </w:rPr>
            </w:pPr>
            <w:r w:rsidDel="00000000" w:rsidR="00000000" w:rsidRPr="00000000">
              <w:rPr>
                <w:rFonts w:ascii="Arial" w:cs="Arial" w:eastAsia="Arial" w:hAnsi="Arial"/>
                <w:sz w:val="24"/>
                <w:szCs w:val="24"/>
                <w:rtl w:val="0"/>
              </w:rPr>
              <w:t xml:space="preserve">Inicio de farmacoterapia de mantenimiento en dependencia a opioides</w:t>
            </w:r>
          </w:p>
        </w:tc>
        <w:tc>
          <w:tcPr/>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diagnóstico de dependencia a opioides evaluados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que inician tratamiento de mantenimiento con buprenorfina o naltrexona sobre el total de pacientes con ese diagnóstico</w:t>
            </w:r>
          </w:p>
        </w:tc>
        <w:tc>
          <w:tcPr/>
          <w:p w:rsidR="00000000" w:rsidDel="00000000" w:rsidP="00000000" w:rsidRDefault="00000000" w:rsidRPr="00000000" w14:paraId="0000009C">
            <w:pPr>
              <w:rPr>
                <w:rFonts w:ascii="Arial" w:cs="Arial" w:eastAsia="Arial" w:hAnsi="Arial"/>
                <w:sz w:val="24"/>
                <w:szCs w:val="24"/>
              </w:rPr>
            </w:pPr>
            <w:sdt>
              <w:sdtPr>
                <w:id w:val="278968784"/>
                <w:tag w:val="goog_rdk_10"/>
              </w:sdtPr>
              <w:sdtContent>
                <w:r w:rsidDel="00000000" w:rsidR="00000000" w:rsidRPr="00000000">
                  <w:rPr>
                    <w:rFonts w:ascii="Arial Unicode MS" w:cs="Arial Unicode MS" w:eastAsia="Arial Unicode MS" w:hAnsi="Arial Unicode MS"/>
                    <w:sz w:val="24"/>
                    <w:szCs w:val="24"/>
                    <w:rtl w:val="0"/>
                  </w:rPr>
                  <w:t xml:space="preserve">≥ 70 %</w:t>
                </w:r>
              </w:sdtContent>
            </w:sdt>
          </w:p>
        </w:tc>
      </w:tr>
      <w:tr>
        <w:trPr>
          <w:cantSplit w:val="0"/>
          <w:tblHeader w:val="0"/>
        </w:trPr>
        <w:tc>
          <w:tcPr/>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sz w:val="24"/>
                <w:szCs w:val="24"/>
                <w:rtl w:val="0"/>
              </w:rPr>
              <w:t xml:space="preserve">Adherencia al tratamiento de mantenimiento a 3 meses</w:t>
            </w:r>
          </w:p>
        </w:tc>
        <w:tc>
          <w:tcPr/>
          <w:p w:rsidR="00000000" w:rsidDel="00000000" w:rsidP="00000000" w:rsidRDefault="00000000" w:rsidRPr="00000000" w14:paraId="0000009E">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TUS severo en farmacoterapia de mantenimiento que mantienen el tratamiento activo a los 3 meses de inicio sobre el total de pacientes en tratamiento de mantenimiento</w:t>
            </w:r>
          </w:p>
        </w:tc>
        <w:tc>
          <w:tcPr/>
          <w:p w:rsidR="00000000" w:rsidDel="00000000" w:rsidP="00000000" w:rsidRDefault="00000000" w:rsidRPr="00000000" w14:paraId="0000009F">
            <w:pPr>
              <w:rPr>
                <w:rFonts w:ascii="Arial" w:cs="Arial" w:eastAsia="Arial" w:hAnsi="Arial"/>
                <w:sz w:val="24"/>
                <w:szCs w:val="24"/>
              </w:rPr>
            </w:pPr>
            <w:sdt>
              <w:sdtPr>
                <w:id w:val="-1038708420"/>
                <w:tag w:val="goog_rdk_11"/>
              </w:sdtPr>
              <w:sdtContent>
                <w:r w:rsidDel="00000000" w:rsidR="00000000" w:rsidRPr="00000000">
                  <w:rPr>
                    <w:rFonts w:ascii="Arial Unicode MS" w:cs="Arial Unicode MS" w:eastAsia="Arial Unicode MS" w:hAnsi="Arial Unicode MS"/>
                    <w:sz w:val="24"/>
                    <w:szCs w:val="24"/>
                    <w:rtl w:val="0"/>
                  </w:rPr>
                  <w:t xml:space="preserve">≥ 60 %</w:t>
                </w:r>
              </w:sdtContent>
            </w:sdt>
          </w:p>
        </w:tc>
      </w:tr>
      <w:tr>
        <w:trPr>
          <w:cantSplit w:val="0"/>
          <w:tblHeader w:val="0"/>
        </w:trPr>
        <w:tc>
          <w:tcPr/>
          <w:p w:rsidR="00000000" w:rsidDel="00000000" w:rsidP="00000000" w:rsidRDefault="00000000" w:rsidRPr="00000000" w14:paraId="000000A0">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recaída en primeros 6 meses de seguimiento</w:t>
            </w:r>
          </w:p>
        </w:tc>
        <w:tc>
          <w:tcPr/>
          <w:p w:rsidR="00000000" w:rsidDel="00000000" w:rsidP="00000000" w:rsidRDefault="00000000" w:rsidRPr="00000000" w14:paraId="000000A1">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en seguimiento por telepsiquiatría por TUS que presentan recaída documentada en los primeros 6 meses sobre el total de pacientes en seguimiento activo</w:t>
            </w:r>
          </w:p>
        </w:tc>
        <w:tc>
          <w:tcPr/>
          <w:p w:rsidR="00000000" w:rsidDel="00000000" w:rsidP="00000000" w:rsidRDefault="00000000" w:rsidRPr="00000000" w14:paraId="000000A2">
            <w:pPr>
              <w:rPr>
                <w:rFonts w:ascii="Arial" w:cs="Arial" w:eastAsia="Arial" w:hAnsi="Arial"/>
                <w:sz w:val="24"/>
                <w:szCs w:val="24"/>
              </w:rPr>
            </w:pPr>
            <w:sdt>
              <w:sdtPr>
                <w:id w:val="-2108881188"/>
                <w:tag w:val="goog_rdk_12"/>
              </w:sdtPr>
              <w:sdtContent>
                <w:r w:rsidDel="00000000" w:rsidR="00000000" w:rsidRPr="00000000">
                  <w:rPr>
                    <w:rFonts w:ascii="Arial Unicode MS" w:cs="Arial Unicode MS" w:eastAsia="Arial Unicode MS" w:hAnsi="Arial Unicode MS"/>
                    <w:sz w:val="24"/>
                    <w:szCs w:val="24"/>
                    <w:rtl w:val="0"/>
                  </w:rPr>
                  <w:t xml:space="preserve">≤ 40 %</w:t>
                </w:r>
              </w:sdtContent>
            </w:sdt>
          </w:p>
        </w:tc>
      </w:tr>
      <w:tr>
        <w:trPr>
          <w:cantSplit w:val="0"/>
          <w:tblHeader w:val="0"/>
        </w:trPr>
        <w:tc>
          <w:tcPr/>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sz w:val="24"/>
                <w:szCs w:val="24"/>
                <w:rtl w:val="0"/>
              </w:rPr>
              <w:t xml:space="preserve">Detección de comorbilidades psiquiátricas en TUS</w:t>
            </w:r>
          </w:p>
        </w:tc>
        <w:tc>
          <w:tcPr/>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TUS evaluados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registro de evaluación de comorbilidades psiquiátricas (depresión, ansiedad, trauma, psicosis) sobre el total de evaluaciones diagnósticas de TUS</w:t>
            </w:r>
          </w:p>
        </w:tc>
        <w:tc>
          <w:tcPr/>
          <w:p w:rsidR="00000000" w:rsidDel="00000000" w:rsidP="00000000" w:rsidRDefault="00000000" w:rsidRPr="00000000" w14:paraId="000000A5">
            <w:pPr>
              <w:rPr>
                <w:rFonts w:ascii="Arial" w:cs="Arial" w:eastAsia="Arial" w:hAnsi="Arial"/>
                <w:sz w:val="24"/>
                <w:szCs w:val="24"/>
              </w:rPr>
            </w:pPr>
            <w:sdt>
              <w:sdtPr>
                <w:id w:val="1155453105"/>
                <w:tag w:val="goog_rdk_13"/>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sz w:val="24"/>
                <w:szCs w:val="24"/>
                <w:rtl w:val="0"/>
              </w:rPr>
              <w:t xml:space="preserve">Calidad del registro clínico</w:t>
            </w:r>
          </w:p>
        </w:tc>
        <w:tc>
          <w:tcPr/>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sz w:val="24"/>
                <w:szCs w:val="24"/>
                <w:rtl w:val="0"/>
              </w:rPr>
              <w:t xml:space="preserve">% de teleconsultas de TUS con registro completo (instrumento de tamizaje, diagnóstico, estadio motivacional, plan de tratamiento, nombre del especialista) sobre el total de teleconsultas</w:t>
            </w:r>
          </w:p>
        </w:tc>
        <w:tc>
          <w:tcPr/>
          <w:p w:rsidR="00000000" w:rsidDel="00000000" w:rsidP="00000000" w:rsidRDefault="00000000" w:rsidRPr="00000000" w14:paraId="000000A8">
            <w:pPr>
              <w:rPr>
                <w:rFonts w:ascii="Arial" w:cs="Arial" w:eastAsia="Arial" w:hAnsi="Arial"/>
                <w:sz w:val="24"/>
                <w:szCs w:val="24"/>
              </w:rPr>
            </w:pPr>
            <w:sdt>
              <w:sdtPr>
                <w:id w:val="135830505"/>
                <w:tag w:val="goog_rdk_14"/>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A9">
            <w:pPr>
              <w:rPr>
                <w:rFonts w:ascii="Arial" w:cs="Arial" w:eastAsia="Arial" w:hAnsi="Arial"/>
                <w:sz w:val="24"/>
                <w:szCs w:val="24"/>
              </w:rPr>
            </w:pPr>
            <w:r w:rsidDel="00000000" w:rsidR="00000000" w:rsidRPr="00000000">
              <w:rPr>
                <w:rFonts w:ascii="Arial" w:cs="Arial" w:eastAsia="Arial" w:hAnsi="Arial"/>
                <w:sz w:val="24"/>
                <w:szCs w:val="24"/>
                <w:rtl w:val="0"/>
              </w:rPr>
              <w:t xml:space="preserve">Vinculación a red comunitaria de adicciones</w:t>
            </w:r>
          </w:p>
        </w:tc>
        <w:tc>
          <w:tcPr/>
          <w:p w:rsidR="00000000" w:rsidDel="00000000" w:rsidP="00000000" w:rsidRDefault="00000000" w:rsidRPr="00000000" w14:paraId="000000AA">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TUS severo dados de alta del seguimiento agudo que quedan vinculados a un CAD, grupo de autoayuda o programa comunitario de adicciones sobre el total de altas de seguimiento agudo</w:t>
            </w:r>
          </w:p>
        </w:tc>
        <w:tc>
          <w:tcPr/>
          <w:p w:rsidR="00000000" w:rsidDel="00000000" w:rsidP="00000000" w:rsidRDefault="00000000" w:rsidRPr="00000000" w14:paraId="000000AB">
            <w:pPr>
              <w:rPr>
                <w:rFonts w:ascii="Arial" w:cs="Arial" w:eastAsia="Arial" w:hAnsi="Arial"/>
                <w:sz w:val="24"/>
                <w:szCs w:val="24"/>
              </w:rPr>
            </w:pPr>
            <w:sdt>
              <w:sdtPr>
                <w:id w:val="951672056"/>
                <w:tag w:val="goog_rdk_15"/>
              </w:sdtPr>
              <w:sdtContent>
                <w:r w:rsidDel="00000000" w:rsidR="00000000" w:rsidRPr="00000000">
                  <w:rPr>
                    <w:rFonts w:ascii="Arial Unicode MS" w:cs="Arial Unicode MS" w:eastAsia="Arial Unicode MS" w:hAnsi="Arial Unicode MS"/>
                    <w:sz w:val="24"/>
                    <w:szCs w:val="24"/>
                    <w:rtl w:val="0"/>
                  </w:rPr>
                  <w:t xml:space="preserve">≥ 60 %</w:t>
                </w:r>
              </w:sdtContent>
            </w:sdt>
          </w:p>
        </w:tc>
      </w:tr>
    </w:tbl>
    <w:p w:rsidR="00000000" w:rsidDel="00000000" w:rsidP="00000000" w:rsidRDefault="00000000" w:rsidRPr="00000000" w14:paraId="000000A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13. Bibliografía</w:t>
      </w:r>
    </w:p>
    <w:p w:rsidR="00000000" w:rsidDel="00000000" w:rsidP="00000000" w:rsidRDefault="00000000" w:rsidRPr="00000000" w14:paraId="000000A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Ministerio de Justicia y del Derecho y Ministerio de Salud y Protección Social de Colombia. Estudio Nacional de Consumo de Sustancias Psicoactivas en Colombia 2019. Bogotá: MinJusticia-MinSalud; 2020.</w:t>
      </w:r>
    </w:p>
    <w:p w:rsidR="00000000" w:rsidDel="00000000" w:rsidP="00000000" w:rsidRDefault="00000000" w:rsidRPr="00000000" w14:paraId="000000AE">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Congreso de la República de Colombia. Ley 1566 de 2012: atención integral al consumidor de sustancias psicoactivas. Bogotá: Diario Oficial; 2012.</w:t>
      </w:r>
    </w:p>
    <w:p w:rsidR="00000000" w:rsidDel="00000000" w:rsidP="00000000" w:rsidRDefault="00000000" w:rsidRPr="00000000" w14:paraId="000000AF">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Ministerio de Salud y Protección Social de Colombia. Resolución 2665 de 2007: lineamientos para la atención integral a personas con consumo de SPA. Bogotá: MinSalud; 2007.</w:t>
      </w:r>
    </w:p>
    <w:p w:rsidR="00000000" w:rsidDel="00000000" w:rsidP="00000000" w:rsidRDefault="00000000" w:rsidRPr="00000000" w14:paraId="000000B0">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Ministerio de Salud y Protección Social de Colombia. Ley 1616 de 2013: Ley de Salud Mental. Bogotá: MinSalud; 2013.</w:t>
      </w:r>
    </w:p>
    <w:p w:rsidR="00000000" w:rsidDel="00000000" w:rsidP="00000000" w:rsidRDefault="00000000" w:rsidRPr="00000000" w14:paraId="000000B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Ministerio de Salud y Protección Social de Colombia. Resolución 4886 de 2018: Política Nacional de Salud Mental. Bogotá: MinSalud; 2018.</w:t>
      </w:r>
    </w:p>
    <w:p w:rsidR="00000000" w:rsidDel="00000000" w:rsidP="00000000" w:rsidRDefault="00000000" w:rsidRPr="00000000" w14:paraId="000000B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B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Organización Mundial de la Salud. mhGAP Intervention Guide for mental, neurological and substance use disorders in non-specialized health settings. Version 2.0. Ginebra: OMS; 2016.</w:t>
      </w:r>
    </w:p>
    <w:p w:rsidR="00000000" w:rsidDel="00000000" w:rsidP="00000000" w:rsidRDefault="00000000" w:rsidRPr="00000000" w14:paraId="000000B4">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Miller WR, Rollnick S. Motivational Interviewing: Helping People Change. 3rd ed. New York: Guilford Press; 2013.</w:t>
      </w:r>
    </w:p>
    <w:p w:rsidR="00000000" w:rsidDel="00000000" w:rsidP="00000000" w:rsidRDefault="00000000" w:rsidRPr="00000000" w14:paraId="000000B5">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Saunders JB, Aasland OG, Babor TF, de la Fuente JR, Grant M. Development of the Alcohol Use Disorders Identification Test (AUDIT): WHO Collaborative Project on Early Detection of Persons with Harmful Alcohol Consumption. Addiction. 1993;88(6):791-804.</w:t>
      </w:r>
    </w:p>
    <w:p w:rsidR="00000000" w:rsidDel="00000000" w:rsidP="00000000" w:rsidRDefault="00000000" w:rsidRPr="00000000" w14:paraId="000000B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Wesson DR, Ling W. The Clinical Opiate Withdrawal Scale (COWS). J Psychoactive Drugs. 2003;35(2):253-259.</w:t>
      </w:r>
    </w:p>
    <w:p w:rsidR="00000000" w:rsidDel="00000000" w:rsidP="00000000" w:rsidRDefault="00000000" w:rsidRPr="00000000" w14:paraId="000000B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Volkow ND, Koob GF, McLellan AT. Neurobiologic advances from the brain disease model of addiction. N Engl J Med. 2016;374(4):363-371.</w:t>
      </w:r>
    </w:p>
    <w:p w:rsidR="00000000" w:rsidDel="00000000" w:rsidP="00000000" w:rsidRDefault="00000000" w:rsidRPr="00000000" w14:paraId="000000B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Ministerio de Salud y Protección Social de Colombia. Plan Decenal de Salud Pública 2022-2031. Bogotá: MinSalud; 2022.</w:t>
      </w:r>
    </w:p>
    <w:p w:rsidR="00000000" w:rsidDel="00000000" w:rsidP="00000000" w:rsidRDefault="00000000" w:rsidRPr="00000000" w14:paraId="000000B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14. Responsables</w:t>
      </w:r>
    </w:p>
    <w:p w:rsidR="00000000" w:rsidDel="00000000" w:rsidP="00000000" w:rsidRDefault="00000000" w:rsidRPr="00000000" w14:paraId="000000BA">
      <w:pPr>
        <w:rPr>
          <w:rFonts w:ascii="Arial" w:cs="Arial" w:eastAsia="Arial" w:hAnsi="Arial"/>
          <w:sz w:val="28"/>
          <w:szCs w:val="28"/>
        </w:rPr>
      </w:pPr>
      <w:bookmarkStart w:colFirst="0" w:colLast="0" w:name="_heading=h.j810urv298ip" w:id="0"/>
      <w:bookmarkEnd w:id="0"/>
      <w:r w:rsidDel="00000000" w:rsidR="00000000" w:rsidRPr="00000000">
        <w:rPr>
          <w:rFonts w:ascii="Arial" w:cs="Arial" w:eastAsia="Arial" w:hAnsi="Arial"/>
          <w:sz w:val="28"/>
          <w:szCs w:val="28"/>
          <w:rtl w:val="0"/>
        </w:rPr>
        <w:t xml:space="preserve">REALIZA: Iván Fernando Díaz Molina - Especialista en Psiquiatría</w:t>
      </w:r>
    </w:p>
    <w:p w:rsidR="00000000" w:rsidDel="00000000" w:rsidP="00000000" w:rsidRDefault="00000000" w:rsidRPr="00000000" w14:paraId="000000BB">
      <w:pPr>
        <w:rPr>
          <w:rFonts w:ascii="Arial" w:cs="Arial" w:eastAsia="Arial" w:hAnsi="Arial"/>
          <w:b w:val="1"/>
          <w:bCs w:val="1"/>
          <w:sz w:val="24"/>
          <w:szCs w:val="24"/>
        </w:rPr>
      </w:pPr>
      <w:bookmarkStart w:colFirst="0" w:colLast="0" w:name="_heading=h.j810urv298ip" w:id="0"/>
      <w:bookmarkEnd w:id="0"/>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BE">
          <w:pPr>
            <w:jc w:val="center"/>
            <w:rPr>
              <w:sz w:val="28"/>
              <w:szCs w:val="28"/>
            </w:rPr>
          </w:pPr>
          <w:r w:rsidDel="00000000" w:rsidR="00000000" w:rsidRPr="00000000">
            <w:rPr>
              <w:rFonts w:ascii="Arial" w:cs="Arial" w:eastAsia="Arial" w:hAnsi="Arial"/>
              <w:b w:val="1"/>
              <w:bCs w:val="1"/>
              <w:sz w:val="28"/>
              <w:szCs w:val="28"/>
              <w:rtl w:val="0"/>
            </w:rPr>
            <w:t xml:space="preserve">PROTOCOLO DE ATENCIÓN POR TELEMEDICINA: MANEJO DEL CONSUMO DE SUSTANCIAS PSICOACTIVAS (SPA)</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twYUUk54DXodUTv84fnIFe5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IOaC5qODEwdXJ2Mjk4aXAyDmguajgxMHVydjI5OGlwOAByITF6V3AyNmpRNkxCemJYNEZ2NVRqa0NfU2x0aXpKRTJQ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