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Programa de Hematología y Medicina Transfusional</w:t>
      </w:r>
      <w:r w:rsidDel="00000000" w:rsidR="00000000" w:rsidRPr="00000000">
        <w:rPr>
          <w:rtl w:val="0"/>
        </w:rPr>
      </w:r>
    </w:p>
    <w:p w:rsidR="00000000" w:rsidDel="00000000" w:rsidP="00000000" w:rsidRDefault="00000000" w:rsidRPr="00000000" w14:paraId="00000003">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Introducción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microangiopatía trombótica (MAT) es una emergencia médica de alta mortalidad que se caracteriza por la tríada de anemia hemolítica microangiopática (AHMA), trombocitopenia y daño orgánico isquémico. Aunque infrecuente, su reconocimiento tardío conduce invariablemente a daño orgánico irreversible o muerte: la púrpura trombocitopénica trombótica inmune (iTTP) tiene una mortalidad cercana al 90 % sin tratamiento, y el síndrome hemolítico-urémico atípico (SHUa) conduce a insuficiencia renal crónica terminal en más del 50 % de los casos sin terapia con inhibidores del complemento.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manejo de la MAT exige un enfoque multidisciplinario urgente que integra el diagnóstico etiológico diferencial entre múltiples entidades con tratamientos radicalmente distintos —el recambio plasmático terapéutico (RPT) es el pilar en iTTP, pero no en SHUa—, la aplicación del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PLASMIC score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estratificación del riesgo, y el inicio de tratamientos de alta complejidad (caplacizumab, eculizumab, rituximab) que con frecuencia no están disponibles en el primer y segundo nivel de atención.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tele-experticia se convierte en este contexto en una herramienta crítica: permite al equipo tratante presencial acceder en tiempo real a orientación especializada en hematología y nefrología para la confirmación de la sospecha diagnóstica, la aplicación del algoritmo PLASMIC, la toma de muestras correctas antes de iniciar cualquier tratamiento, y la definición urgente de los casos que requieren remisión para RPT, inhibidores del complemento u otras intervenciones de mayor complejidad. El presente protocolo establece los lineamientos operativos para dicha prestación. Este es un protocolo que se basa en la atención de microangiopatía trombótica en primer y segundo nivel, y el plan de seguimiento por telemedicina, que no pretende sustituir guías de práctica clínica.</w:t>
      </w:r>
    </w:p>
    <w:p w:rsidR="00000000" w:rsidDel="00000000" w:rsidP="00000000" w:rsidRDefault="00000000" w:rsidRPr="00000000" w14:paraId="00000007">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Objetivo General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los lineamientos operativos, asistenciales y clínicos para la prestación del servicio de tele-experticia en el manejo de la microangiopatía trombótica, apoyando el reconocimiento precoz de la tríada diagnóstica, la aplicación del score PLASMIC, la toma de muestras críticas previas al tratamiento, la orientación del diagnóstico diferencial entre las principales entidades (iTTP, SHUa, STEC-HUS, MAT secundaria) y la definición urgente de la necesidad de remisión para terapias de alta complejidad, con el fin de reducir la mortalidad prevenible y el daño orgánico irreversible derivados del reconocimiento tardío o del manejo inadecuado de esta condición en todos los niveles del sistema de salud colombiano.</w:t>
      </w:r>
    </w:p>
    <w:p w:rsidR="00000000" w:rsidDel="00000000" w:rsidP="00000000" w:rsidRDefault="00000000" w:rsidRPr="00000000" w14:paraId="00000009">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Objetivos Específicos</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Estandarizar el proceso de solicitud, respuesta, registro y seguimiento de la tele-experticia dentro del programa de hematología y medicina transfusional para pacientes con sospecha o diagnóstico de MAT.</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las actions inmediatas que debe ejecutar el médico tratante y el personal de salud presencial ante la sospecha de MAT: toma de muestras críticas (ADAMTS13, frotis, coprocultivo, Coombs directo) antes de iniciar cualquier transfusión o recambio plasmático.</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Orientar la aplicación del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PLASMIC score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estimar la probabilidad de iTTP y guiar la decisión de iniciar recambio plasmático terapéutico empírico, caplacizumab y rituximab antes de disponer del resultado de ADAMTS13.</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Apoyar la clasificación etiológica diferencial entre las principales formas de MAT (iTTP, cTTP, STEC-HUS, SHUa/CM-TMA, MAT asociada a trasplante, MAT secundaria) y la selección del tratamiento específico según la etiología.</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los criterios clínicos para identificar los casos que requieren remisión urgente a un centro con capacidad de RPT, aféresis, eculizumab o cuidados intensivos.</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que la atención mediante tele-experticia cumpla con los estándares de calidad, seguridad, confidencialidad, trazabilidad y normatividad colombiana vigente.</w:t>
      </w:r>
    </w:p>
    <w:p w:rsidR="00000000" w:rsidDel="00000000" w:rsidP="00000000" w:rsidRDefault="00000000" w:rsidRPr="00000000" w14:paraId="00000010">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Alcance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protocolo aplica a todos los profesionales de la salud que atienden pacientes con sospecha de MAT en cualquier nivel de atención, incluyendo médicos generales, médicos internistas, nefrólogos, hematólogos, personal de enfermería, coordinadores del programa y equipos de soporte tecnológico y de calidad. Su ámbito de aplicación comprende:</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reconocimiento de la tríada diagnóstica de MAT (AHMA + trombocitopenia + daño orgánico) y la exclusión de los diagnósticos diferenciales críticos (CID: Coombs directo negativo y coagulación normal; anemia hemolítica autoinmune: Coombs directo negativo con esquistocitos).</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toma de muestras críticas antes de iniciar cualquier transfusión o recambio plasmático: actividad de ADAMTS13 e inhibidor, frotis de sangre periférica con búsqueda de esquistocitos, coprocultivo y PCR para STEC, Coombs directo, coagulación completa, función renal y test de embarazo en mujer en edad fértil.</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aplicación e interpretación del score PLASMIC para estimar la probabilidad de iTTP y guiar la decisión de tratamiento empírico.</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orientación clínica para el diagnóstico diferencial entre iTTP, SHUa/CM-TMA, STEC-HUS y MAT secundaria, y la selección del tratamiento específico.</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definición de criterios de remisión urgente a un centro con capacidad de RPT, eculizumab/ravulizumab, cuidados intensivos y diagnóstico especializado de complemento.</w:t>
      </w:r>
    </w:p>
    <w:p w:rsidR="00000000" w:rsidDel="00000000" w:rsidP="00000000" w:rsidRDefault="00000000" w:rsidRPr="00000000" w14:paraId="00000017">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Marco Normativo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presente protocolo se sustenta en la siguiente normatividad colombiana e internacional vigente:</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Resolución 2654 de 2019: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Regula la telesalud y telemedicina en Colombia.</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Resolución 3100 de 2019: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Define los estándares de habilitación en salud.</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Ley 1419 de 2010: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Telemedicina en Colombia (Establece la Política Nacional de Telesalud).</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Ley 1581 de 2012: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Protección de Datos Personales.</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Decreto 538 de 2020: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Medidas de Telemedicina para emergencias sanitarias.</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Guías del Ministerio de Salud y Protección Social: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Guías en Telesalud y lineamientos de Hemovigilancia.</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Soporte Clínico Internacional:</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Scully M et al. 2025 Focused Update of the 2020 ISTH Guidelines for Management of Thrombotic Thrombocytopenic Purpura.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Li A, Sartain SE. Transplant-associated TMA: the conundrum of diagnosis and treatment. Hematology ASH Educ Program. 2024.</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Genest DS, Patriquin CJ, Licht C, et al. Renal Thrombotic Microangiopathy: A Review. Am J Kidney Dis. 2023.</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Brocklebank V, Wood KM, Kavanagh D. Diagnosis and Treatment of Thrombotic Microangiopathy. Br J Haematol. 2022.</w:t>
      </w:r>
      <w:r w:rsidDel="00000000" w:rsidR="00000000" w:rsidRPr="00000000">
        <w:rPr>
          <w:rtl w:val="0"/>
        </w:rPr>
      </w:r>
    </w:p>
    <w:p w:rsidR="00000000" w:rsidDel="00000000" w:rsidP="00000000" w:rsidRDefault="00000000" w:rsidRPr="00000000" w14:paraId="00000024">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Definiciones</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Telesalud: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Conjunto de actividades relacionadas con la salud, servicios y métodos, los cuales se llevan a cabo a distancia con la ayuda de las tecnologías de la información y telecomunicaciones. Incluye, entre otras, la Telemedicina y la Teleeducación en salud.</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Teleapoyo: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Soporte solicitado por un profesional de la salud a otro profesional de la salud a través de tecnologías de la información y comunicaciones en el marco del relacionamiento entre profesionales.</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la relación a distancia con método de comunicación sincrónico o asincrónico para la provisión de servicios de salud en cualquiera de sus componentes, utilizando tecnologías de información y comunicación entre: a) Dos profesionales de la salud, uno de los cuales atiende presencialmente al usuario y otro atiende a distancia. El profesional que atiende presencialmente al usuario es responsable del tratamiento y de las decisiones y recomendaciones entregadas al paciente y el que atiende a distancia actúa como apoyo o asesor; b) Profesionales de la salud que en junta médica realizan una interconsulta o una asesoría; c) Personal de salud no profesional que solicita el apoyo de un profesional de la salud para la toma de decisiones.</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Microangiopatía trombótica (MAT):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Diagnóstico anatomopatológico que describe daño endotelial con oclusión vascular microvascular y formación de trombos intraluminales ricos en plaquetas. Clínicamente se caracteriza por la tríada: anemia hemolítica microangiopática (AHMA) asociado a trombocitopenia más daño orgánico isquémico (renal, neurológico, cardiovascular), con Coombs directo negativo y sin trastornos primarios de la coagulación.</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iTTP (Púrpura trombocitopénica trombótica inmune):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 por autoanticuerpos IgG anti-ADAMTS13 que generan deficiencia grave de esta metaloproteasa (actividad &lt; 10 %). Emergencia hematológica con mortalidad cercana a 90 % sin tratamiento. El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PLASMIC score</w:t>
      </w:r>
      <w:sdt>
        <w:sdtPr>
          <w:id w:val="454817000"/>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6 es altamente sugestivo.</w:t>
          </w:r>
        </w:sdtContent>
      </w:sdt>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SHUa / CM-TMA (Síndrome hemolítico-urémico atípico):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 por desregulación de la vía alternativa del complemento (mutaciones o autoanticuerpos). Se caracteriza por insuficiencia renal aguda grave como manifestación principal. ADAMTS13 &gt; 20 %.</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STEC-HUS (SHU por toxina Shiga):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 por toxina Shiga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 coli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enterohemorrágica (O157:H7 u otros serogrupos). Predomina en niños con pródromo diarreico (ausente en el 5 % de los casos). Tratamiento: soporte + hidratación IV agresiva. Evitar manejo con antibióticos.</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PLASMIC Score:</w:t>
      </w:r>
      <w:sdt>
        <w:sdtPr>
          <w:id w:val="-13770282"/>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Herramienta de 7 variables (plaquetas, hemólisis, ausencia de cáncer activo, ausencia de trasplante previo, INR, creatinina, VCM) que estima la probabilidad de ADAMTS13 &lt; 10 %. Score ≥ 6: alta probabilidad de iTTP (≈70 %); iniciar RPT + caplacizumab + rituximab sin esperar resultado. Score 0–4: buscar causas secundarias.</w:t>
          </w:r>
        </w:sdtContent>
      </w:sdt>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Recambio plasmático terapéutico (RPT):</w:t>
      </w:r>
      <w:sdt>
        <w:sdtPr>
          <w:id w:val="-1726235735"/>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Aféresis terapéutica que elimina autoanticuerpos anti-ADAMTS13 y repone la enzima mediante plasma fresco congelado como líquido de reposición. Pilar del tratamiento de iTTP, debe iniciarse en ≤ 4–8 horas del diagnóstico de iTTP probable. No indicado de rutina en SHUa.</w:t>
          </w:r>
        </w:sdtContent>
      </w:sdt>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kgfpsdd534e3" w:id="0"/>
      <w:bookmarkEnd w:id="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Caplacizumab:</w:t>
      </w:r>
      <w:sdt>
        <w:sdtPr>
          <w:id w:val="-823799896"/>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Bloquea la adhesión plaqueta-FvW, deteniendo la microtrombosis activa. Aprobado para iTTP. Debe iniciarse con alta probabilidad clínica (PLASMIC ≥ 6) sin esperar ADAMTS13. Al no eliminar el autoanticuerpo, debe combinarse con inmunosupresión.</w:t>
          </w:r>
        </w:sdtContent>
      </w:sdt>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Eculizumab / Ravulizumab: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Anticuerpos monoclonales inhibidores de C5 (complemento). Primera línea en SHUa/CM-TMA. Empleados en TA-TMA refractaria. Requieren vacunación meningocócica previa o profilaxis antibiótica.</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sC5b-9 sérico: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Complejo terminal soluble del complemento (MAC soluble). Biomarcador de activación del complemento terminal. Elevado en SHUa y TA-TMA; útil para confirmar diagnóstico y monitorizar respuesta.</w:t>
      </w:r>
    </w:p>
    <w:p w:rsidR="00000000" w:rsidDel="00000000" w:rsidP="00000000" w:rsidRDefault="00000000" w:rsidRPr="00000000" w14:paraId="00000031">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Flujo Operativo y Clínico de Telesalud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crítico que la toma de muestras diagnósticas, especialmente la actividad de ADAMTS13, se realice antes de cualquier transfusión, recambio plasmático o producto sanguíneo, ya que estos alteran los resultados.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Las muestras deben tomarse de inmediato y no deben esperar el concepto del experto.</w:t>
      </w:r>
      <w:r w:rsidDel="00000000" w:rsidR="00000000" w:rsidRPr="00000000">
        <w:rPr>
          <w:rtl w:val="0"/>
        </w:rPr>
      </w:r>
    </w:p>
    <w:tbl>
      <w:tblPr>
        <w:tblStyle w:val="Table1"/>
        <w:tblW w:w="8822.0" w:type="dxa"/>
        <w:jc w:val="left"/>
        <w:tblLayout w:type="fixed"/>
        <w:tblLook w:val="0400"/>
      </w:tblPr>
      <w:tblGrid>
        <w:gridCol w:w="1038"/>
        <w:gridCol w:w="2043"/>
        <w:gridCol w:w="1797"/>
        <w:gridCol w:w="3944"/>
        <w:tblGridChange w:id="0">
          <w:tblGrid>
            <w:gridCol w:w="1038"/>
            <w:gridCol w:w="2043"/>
            <w:gridCol w:w="1797"/>
            <w:gridCol w:w="3944"/>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3">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4">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Actividad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5">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Responsable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6">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Acción / Detalles Operativos y Canales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7">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8">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Identificación de necesidad de tele-experticia, sospecha de MAT y toma de muestras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9">
            <w:pPr>
              <w:spacing w:after="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asistencial presencial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Sospecha clínica ante la tríada (trombocitopenia, hemólisis, disfunción orgánica). Toma de muestras críticas (ADAMTS13, frotis para esquistocitos, laboratorios estándar) previo a cualquier tratamiento. Cálculo inicial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PLASMIC score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B">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Verificación de requisitos clínicos y consentimiento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Centro Remisor / Profesional Solicitante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Verificar criterios de inclusión. Asegurar y diligenciar el consentimiento informado del paciente para el uso de medios tecnológicos y telemedicina.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F">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Diligenciamiento de solicitud y envío de datos clínicos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solicitante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Envío formal de historia clínica, laboratorios disponibles 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PLASMIC score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través de los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canales corporativos institucionales: Teléfonos 3228234549 - 3228234532 y correo electrónico telemedicina.digital@hun.edu.co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3">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Recepción y validación de información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Centro Referente / Profesional experto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Recepción de la solicitud, revisión de datos clínicos. Realización del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cargue administrativo en el sistema Hosvital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7">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Análisis de caso y concepto clínico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experto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Valoración aplicando el algoritmo de 4 pasos (confirmación, score PLASMIC, causa secundaria, nivel de urgencia). Registro del concepto y opinión médica en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Historia clínica Hosvital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B">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Envío de ordenamiento e implementación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experto / Profesional solicitante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Envío de recomendaciones terapéuticas y de remisión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través del correo corporativo institucional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Implementación de la conducta por el equipo tratante.</w:t>
            </w:r>
          </w:p>
        </w:tc>
      </w:tr>
    </w:tbl>
    <w:p w:rsidR="00000000" w:rsidDel="00000000" w:rsidP="00000000" w:rsidRDefault="00000000" w:rsidRPr="00000000" w14:paraId="0000004F">
      <w:pPr>
        <w:pStyle w:val="Head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0">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Criterios de Inclusión / Exclusión Clínicos en Telesalud</w:t>
      </w:r>
    </w:p>
    <w:p w:rsidR="00000000" w:rsidDel="00000000" w:rsidP="00000000" w:rsidRDefault="00000000" w:rsidRPr="00000000" w14:paraId="00000051">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Criterios de Inclusión</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sospecha de MAT (trombocitopenia, datos de hemólisis y disfunción orgánica) en cualquier nivel de atención, en quienes el equipo tratante requiere orientación para confirmar el diagnóstico, aplicar el PLASMIC score y definir la conducta terapéutica inicial.</w:t>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esquistocitos en el frotis de sangre periférica confirmados, independientemente del recuento plaquetario, para guiar el diagnóstico diferencial.</w:t>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689864743"/>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Pacientes con iTTP probable (PLASMIC ≥ 6) en un nivel sin capacidad de RPT, para orientar el inicio de terapia empírica disponible localmente mientras se gestiona el traslado.</w:t>
          </w:r>
        </w:sdtContent>
      </w:sdt>
    </w:p>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MAT + insuficiencia renal aguda grave (creatinina muy elevada, oligoanúrica) para la diferenciación crítica entre SHUa (eculizumab) y STEC-HUS (soporte).</w:t>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MAT en contextos especiales: posparto reciente, embarazo, trasplante de células hematopoyéticas, uso de fármacos de riesgo (calcineurina, gemcitabina, quinina, anti-VEGF), o HTA maligna refractaria.</w:t>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en seguimiento por MAT en remisión para monitoreo de ADAMTS13 o ajuste de mantenimiento.</w:t>
      </w:r>
    </w:p>
    <w:p w:rsidR="00000000" w:rsidDel="00000000" w:rsidP="00000000" w:rsidRDefault="00000000" w:rsidRPr="00000000" w14:paraId="00000058">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Criterios de Exclusión (Criterios de Remisión Inmediata)</w:t>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626684304"/>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Pacientes con MAT con compromiso neurológico grave activo (Glasgow ≤ 8, convulsiones refractarias, ACV isquémico extenso) que requieren UCI y manejo neuroprotector urgente de forma simultánea: </w:t>
          </w:r>
        </w:sdtContent>
      </w:sd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 traslado no debe demorarse por el proceso de consulta remota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sospecha de CAPS (síndrome antifosfolípido catastrófico) con trombosis multiorgánica activa e inestabilidad hemodinámica: requieren traslado inmediato a UCI y consulta presencial urgente.</w:t>
      </w:r>
    </w:p>
    <w:p w:rsidR="00000000" w:rsidDel="00000000" w:rsidP="00000000" w:rsidRDefault="00000000" w:rsidRPr="00000000" w14:paraId="000000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MAT y falla orgánica múltiple establecida con inestabilidad hemodinámica: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 traslado urgente es prioritario sobre la tele-experticia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Casos con imposibilidad técnica en canales institucionales (falla de conectividad absoluta o ausencia total de hemograma y frotis mínimos para el cálculo del score PLASMIC).</w:t>
      </w:r>
    </w:p>
    <w:p w:rsidR="00000000" w:rsidDel="00000000" w:rsidP="00000000" w:rsidRDefault="00000000" w:rsidRPr="00000000" w14:paraId="0000005D">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Roles y Responsabilidades en Telesalud</w:t>
      </w:r>
    </w:p>
    <w:p w:rsidR="00000000" w:rsidDel="00000000" w:rsidP="00000000" w:rsidRDefault="00000000" w:rsidRPr="00000000" w14:paraId="0000005E">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Profesional Solicitante (Centro Remisor)</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Generar la solicitud formal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tele-experticia a través de los canales estipulados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Hosvital / correo corporativo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Garantizar información clínica clara, completa y pertinente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calculando el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PLASMIC score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transmitiendo los datos preliminares de laboratorio.</w:t>
      </w:r>
    </w:p>
    <w:p w:rsidR="00000000" w:rsidDel="00000000" w:rsidP="00000000" w:rsidRDefault="00000000" w:rsidRPr="00000000" w14:paraId="000000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Asegurar la toma de muestras críticas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(actividad de ADAMTS13 e inhibidor, frotis, Coombs directo, coagulación, etc.) de forma prioritaria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cualquier transfusión de plaquetas, plasma o inicio de RPT.</w:t>
      </w:r>
    </w:p>
    <w:p w:rsidR="00000000" w:rsidDel="00000000" w:rsidP="00000000" w:rsidRDefault="00000000" w:rsidRPr="00000000" w14:paraId="000000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Asegurar el consentimiento informado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del paciente para el uso de medios tecnológicos y la atención en telemedicina.</w:t>
      </w:r>
    </w:p>
    <w:p w:rsidR="00000000" w:rsidDel="00000000" w:rsidP="00000000" w:rsidRDefault="00000000" w:rsidRPr="00000000" w14:paraId="000000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Realizar acciones derivadas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las recomendaciones emitidas por el experto y gestionar el traslado urgente en los casos indicados.</w:t>
      </w:r>
    </w:p>
    <w:p w:rsidR="00000000" w:rsidDel="00000000" w:rsidP="00000000" w:rsidRDefault="00000000" w:rsidRPr="00000000" w14:paraId="000000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Registrar detalladamente en la historia clínica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concepto emitido por telemedicina y la conducta final adoptada.</w:t>
      </w:r>
    </w:p>
    <w:p w:rsidR="00000000" w:rsidDel="00000000" w:rsidP="00000000" w:rsidRDefault="00000000" w:rsidRPr="00000000" w14:paraId="00000065">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Profesional Experto (Centro Referente)</w:t>
      </w:r>
    </w:p>
    <w:p w:rsidR="00000000" w:rsidDel="00000000" w:rsidP="00000000" w:rsidRDefault="00000000" w:rsidRPr="00000000" w14:paraId="000000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Analizar la información recibida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interpretar el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PLASMIC score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emitir un concepto técnico-clínico de diagnóstico diferencial de forma oportuna.</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Garantizar recomendaciones fundamentadas en la evidencia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científica más reciente (ej. guías ISTH, ASH) para direccionar el caso.</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Indicar la pertinencia, urgencia y destino de la remisión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justificada clínicamente, aclarando si requiere terapias especializadas (RPT, eculizumab).</w:t>
      </w:r>
    </w:p>
    <w:p w:rsidR="00000000" w:rsidDel="00000000" w:rsidP="00000000" w:rsidRDefault="00000000" w:rsidRPr="00000000" w14:paraId="000000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Registrar la opinión médica en la historia clínica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institucional (Hosvital) con firma, fecha y hora, garantizando la trazabilidad completa.</w:t>
      </w:r>
    </w:p>
    <w:p w:rsidR="00000000" w:rsidDel="00000000" w:rsidP="00000000" w:rsidRDefault="00000000" w:rsidRPr="00000000" w14:paraId="000000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Respetar y cumplir con los tiempos de respuesta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establecidos según la clasificación de la urgencia del caso.</w:t>
      </w:r>
    </w:p>
    <w:p w:rsidR="00000000" w:rsidDel="00000000" w:rsidP="00000000" w:rsidRDefault="00000000" w:rsidRPr="00000000" w14:paraId="0000006B">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Equipo de Soporte Tecnológico</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la disponibilidad, seguridad y trazabilidad de las plataformas tecnológicas de comunicación corporativas.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Asegurar el cumplimiento estricto de las condiciones de confidencialidad y reserva de la información médica conforme a la Ley 1581 de 2012.</w:t>
      </w:r>
    </w:p>
    <w:p w:rsidR="00000000" w:rsidDel="00000000" w:rsidP="00000000" w:rsidRDefault="00000000" w:rsidRPr="00000000" w14:paraId="0000006E">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Equipo de Gestión Clínica / Calidad</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Monitorizar periódicamente la adherencia al protocolo, prestando especial atención al cumplimiento de la toma de muestras antes de iniciar tratamientos transfuncionales.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auditorías de los casos clínicos procesados mediante tele-experticia.</w:t>
      </w:r>
    </w:p>
    <w:p w:rsidR="00000000" w:rsidDel="00000000" w:rsidP="00000000" w:rsidRDefault="00000000" w:rsidRPr="00000000" w14:paraId="00000071">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Tiempos de Respuesta Sugeridos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MAT es una emergencia hematológica tiempo-dependiente. El tiempo transcurrido entre el diagnóstico y el inicio de RPT en iTTP debe ser </w:t>
      </w:r>
      <w:sdt>
        <w:sdtPr>
          <w:id w:val="-1137146443"/>
          <w:tag w:val="goog_rdk_6"/>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 4–8 horas</w:t>
          </w:r>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bl>
      <w:tblPr>
        <w:tblStyle w:val="Table2"/>
        <w:tblW w:w="8822.0" w:type="dxa"/>
        <w:jc w:val="left"/>
        <w:tblLayout w:type="fixed"/>
        <w:tblLook w:val="0400"/>
      </w:tblPr>
      <w:tblGrid>
        <w:gridCol w:w="4398"/>
        <w:gridCol w:w="1809"/>
        <w:gridCol w:w="2615"/>
        <w:tblGridChange w:id="0">
          <w:tblGrid>
            <w:gridCol w:w="4398"/>
            <w:gridCol w:w="1809"/>
            <w:gridCol w:w="2615"/>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3">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Gravedad / Tipo de Solicitud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4">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Tiempo de Respuesta Sugerido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5">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Observaciones Clínicas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Emergencia Vital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Sospecha de MAT con </w:t>
            </w:r>
            <w:sdt>
              <w:sdtPr>
                <w:id w:val="-519774115"/>
                <w:tag w:val="goog_rdk_7"/>
              </w:sdtPr>
              <w:sdtContent>
                <w:r w:rsidDel="00000000" w:rsidR="00000000" w:rsidRPr="00000000">
                  <w:rPr>
                    <w:rFonts w:ascii="Arial Unicode MS" w:cs="Arial Unicode MS" w:eastAsia="Arial Unicode MS" w:hAnsi="Arial Unicode MS"/>
                    <w:b w:val="0"/>
                    <w:bCs w:val="0"/>
                    <w:i w:val="1"/>
                    <w:iCs w:val="1"/>
                    <w:smallCaps w:val="0"/>
                    <w:strike w:val="0"/>
                    <w:color w:val="000000"/>
                    <w:sz w:val="24"/>
                    <w:szCs w:val="24"/>
                    <w:u w:val="none"/>
                    <w:shd w:fill="auto" w:val="clear"/>
                    <w:vertAlign w:val="baseline"/>
                    <w:rtl w:val="0"/>
                  </w:rPr>
                  <w:t xml:space="preserve">PLASMIC ≥ 6</w:t>
                </w:r>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trombocitopenia severa (&lt;30×10⁹/L), esquistocitos y síntomas neurológicos activos.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Atención Inmediata</w:t>
            </w:r>
            <w:r w:rsidDel="00000000" w:rsidR="00000000" w:rsidRPr="00000000">
              <w:rPr>
                <w:rtl w:val="0"/>
              </w:rPr>
            </w:r>
          </w:p>
          <w:p w:rsidR="00000000" w:rsidDel="00000000" w:rsidP="00000000" w:rsidRDefault="00000000" w:rsidRPr="00000000" w14:paraId="0000007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 15 minutos - Sincrónica)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Iniciar gestión de traslado de manera simultánea; no demorar el proceso esperando el resultado de ADAMTS13.</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Urgencia Prioritaria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 con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PLASMIC score 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(riesgo intermedio) para decisión de RPT empírico; o MAT + Insuficiencia renal aguda grave (diagnóstico diferencial SHUa vs STEC-HUS).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Atención hasta 30 minutos</w:t>
            </w:r>
            <w:r w:rsidDel="00000000" w:rsidR="00000000" w:rsidRPr="00000000">
              <w:rPr>
                <w:rtl w:val="0"/>
              </w:rPr>
            </w:r>
          </w:p>
          <w:p w:rsidR="00000000" w:rsidDel="00000000" w:rsidP="00000000" w:rsidRDefault="00000000" w:rsidRPr="00000000" w14:paraId="0000008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(Sincrónica)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Decisión individualizada. Confirmar coprocultivo/PCR para STEC de forma prioritaria antes de iniciar inhibidores de C5.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Urgencia No Vital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 en contextos de alta complejidad (posparto, embarazo, asociado a trasplante) para orientación diagnóstica y decisión de inicio de eculizumab.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Menor a 12 horas</w:t>
            </w:r>
            <w:r w:rsidDel="00000000" w:rsidR="00000000" w:rsidRPr="00000000">
              <w:rPr>
                <w:rtl w:val="0"/>
              </w:rPr>
            </w:r>
          </w:p>
          <w:p w:rsidR="00000000" w:rsidDel="00000000" w:rsidP="00000000" w:rsidRDefault="00000000" w:rsidRPr="00000000" w14:paraId="0000008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(Sincrónica / Priorizada)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traslado a un centro con capacidad de UCI y alta complejidad se debe gestionar activamente en paralelo.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Consulta Programada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 en remisión clínica para control ambulatorio, monitoreo evolutivo de ADAMTS13 o ajuste de inmunosupresión/mantenimiento.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Menor a 8 días</w:t>
            </w:r>
            <w:r w:rsidDel="00000000" w:rsidR="00000000" w:rsidRPr="00000000">
              <w:rPr>
                <w:rtl w:val="0"/>
              </w:rPr>
            </w:r>
          </w:p>
          <w:p w:rsidR="00000000" w:rsidDel="00000000" w:rsidP="00000000" w:rsidRDefault="00000000" w:rsidRPr="00000000" w14:paraId="0000008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a 48 horas - Asincrónica)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Tele-experticia programada para seguimiento clínico continuo; no representa una emergencia médica aguda.</w:t>
            </w:r>
          </w:p>
        </w:tc>
      </w:tr>
    </w:tbl>
    <w:p w:rsidR="00000000" w:rsidDel="00000000" w:rsidP="00000000" w:rsidRDefault="00000000" w:rsidRPr="00000000" w14:paraId="00000092">
      <w:pPr>
        <w:pStyle w:val="Head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3">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Estrategias de Humanización Digital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atención médica a través de canales virtuales e interactivos debe preservar los principios de dignidad y empatía. Se establecen las siguientes estrategias básicas:</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Explicación clara del modelo de atención: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Informar de forma comprensible al paciente y a su familia que su caso está siendo analizado conjuntamente con un especialista en hematología/nefrología a distancia para tomar las mejores decisiones en tiempo real.</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Privacidad de la información: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Asegurar al paciente que el intercambio de sus datos e imágenes clínicas se realiza bajo estrictos canales corporativos encriptados protegiendo su intimidad.</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Diálogo Intercultural: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Reconocer, respetar y valorar las diferencias culturales, creencias y saberes del paciente y su entorno familiar frente a la enfermedad. El profesional asistencial presencial actuará como un puente lingüístico y cultural, adaptando los conceptos científicos del experto hematólogo a un lenguaje cercano, compasivo y respetuoso, garantizando que las decisiones clínicas e intervenciones de urgencia sean comprendidas y aceptadas bajo un marco de confianza mutua.</w:t>
      </w:r>
    </w:p>
    <w:p w:rsidR="00000000" w:rsidDel="00000000" w:rsidP="00000000" w:rsidRDefault="00000000" w:rsidRPr="00000000" w14:paraId="00000098">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Indicadores de Calidad y Seguimiento</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programa monitorizará periódicamente los siguientes indicadores:</w:t>
      </w:r>
    </w:p>
    <w:tbl>
      <w:tblPr>
        <w:tblStyle w:val="Table3"/>
        <w:tblW w:w="8822.0" w:type="dxa"/>
        <w:jc w:val="left"/>
        <w:tblLayout w:type="fixed"/>
        <w:tblLook w:val="0400"/>
      </w:tblPr>
      <w:tblGrid>
        <w:gridCol w:w="2708"/>
        <w:gridCol w:w="4301"/>
        <w:gridCol w:w="1813"/>
        <w:tblGridChange w:id="0">
          <w:tblGrid>
            <w:gridCol w:w="2708"/>
            <w:gridCol w:w="4301"/>
            <w:gridCol w:w="1813"/>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A">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Indicador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B">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Definición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C">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Meta Sugerida</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D">
            <w:pPr>
              <w:spacing w:after="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Toma de ADAMTS13 previo al tratamiento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casos de MAT en los que se tomó muestra para actividad de ADAMTS13 antes de iniciar RPT, PFC o transfusión de plaquetas.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100 %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0">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Uso del score PLASMIC documentado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solicitudes de tele-experticia por MAT con PLASMIC score calculado y documentado en la solicitud.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216491816"/>
                <w:tag w:val="goog_rdk_8"/>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 95 %</w:t>
                </w:r>
              </w:sdtContent>
            </w:sdt>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3">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Oportunidad de inicio de RPT en iTTP probable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2086906470"/>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pacientes con PLASMIC ≥ 6 en quienes el RPT se inició en ≤ 8 horas del diagnóstico.</w:t>
                </w:r>
              </w:sdtContent>
            </w:sdt>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2013689541"/>
                <w:tag w:val="goog_rdk_10"/>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 85 %</w:t>
                </w:r>
              </w:sdtContent>
            </w:sdt>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6">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Oportunidad de respuesta en MAT aguda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solicitudes urgentes respondidas en &lt; 15 minutos (para emergencias vitales).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2055307752"/>
                <w:tag w:val="goog_rdk_11"/>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 90 %</w:t>
                </w:r>
              </w:sdtContent>
            </w:sdt>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9">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Identificación oportuna de STEC-HUS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pacientes con MAT + insuficiencia renal aguda en quienes se solicitó coprocultivo + PCR STEC en heces.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100 %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C">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Uso inapropiado de antibióticos en STEC-HUS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pacientes con STEC-HUS confirmado que recibieron antibióticos sin indicación de otra infección documentada.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479005493"/>
                <w:tag w:val="goog_rdk_12"/>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 5 %</w:t>
                </w:r>
              </w:sdtContent>
            </w:sdt>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F">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Inicio oportuno de eculizumab en SHUa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pacientes con SHUa confirmado en quienes se inició eculizumab dentro de las 24 horas del diagnóstico.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660259260"/>
                <w:tag w:val="goog_rdk_13"/>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 80 %</w:t>
                </w:r>
              </w:sdtContent>
            </w:sdt>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2">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Completitud del registro de tele-experticia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casos con registro clínico completo y trazable en Hosvital (solicitud, score, concepto y conducta).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583474837"/>
                <w:tag w:val="goog_rdk_14"/>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 95 %</w:t>
                </w:r>
              </w:sdtContent>
            </w:sdt>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5">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Mortalidad hospitalaria en 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pacientes con MAT en quienes se activó tele-experticia que fallecieron durante la hospitalización.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Meta Institucional</w:t>
            </w:r>
            <w:r w:rsidDel="00000000" w:rsidR="00000000" w:rsidRPr="00000000">
              <w:rPr>
                <w:rtl w:val="0"/>
              </w:rPr>
            </w:r>
          </w:p>
        </w:tc>
      </w:tr>
    </w:tbl>
    <w:p w:rsidR="00000000" w:rsidDel="00000000" w:rsidP="00000000" w:rsidRDefault="00000000" w:rsidRPr="00000000" w14:paraId="000000B8">
      <w:pPr>
        <w:pStyle w:val="Head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9">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Bibliografía</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Scully M, et al. 2025 Focused Update of the 2020 ISTH Guidelines for Management of Thrombotic Thrombocytopenic Purpura. J Thromb Haemost. 2025.</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 A, Sartain SE. Transplant-associated TMA: the conundrum of diagnosis and treatment. Hematology ASH Educ Program. 2024;2024(1):206–213.</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Genest DS, Patriquin CJ, Licht C, et al. Renal Thrombotic Microangiopathy: A Review. Am J Kidney Dis. 2023;81(5):591–605.</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Leisring J, Brodsky SV, Parikh SV. Clinical Evaluation and Management of Thrombotic Microangiopathy. Arthritis Rheumatol. 2024;76(2):153–165.</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Brocklebank V, Wood KM, Kavanagh D. Diagnosis and Treatment of Thrombotic Microangiopathy. Br J Haematol. 2022; 199:578–594.</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Abou-Ismail MY, Kapoor S, Citla Sridhar D, et al. Making the Correct Diagnosis in Thrombotic Microangiopathy: A Narrative Review. Am J Hematol. 2021.</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Zheng XL, et al. How should caplacizumab be used for treatment of immune TTP? Annals of Blood. 2023;8:16.</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 A, Burwick R, Chang A. Thrombotic Microangiopathies and the Kidney. Adv Kidney Dis Health. 2024;31(3):255–264.</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PLASMIC Score to Aid Diagnosis of aHUS: An Analysis of C5 Inhibitor Clinical Trials and the PINC AI Healthcare Database. BMC Nephrology. 2025.</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Farkas J. Thrombotic Microangiopathies (TTP, ST-HUS, C-HUS) — IBCC. EMCrit Project. 2024.</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Schoettler ML, et al. Harmonizing Definitions for Diagnostic Criteria and Prognostic Assessment of TA-TMA. Transplant Cell Ther. 2023;29(3):151–163.</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2654 de 2019. Por la cual se regula la prestación de servicios de salud a través de la modalidad de telesalud. Ministerio de Salud y Protección Social, Colombia.</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1419 de 2010. Por medio de la cual se establece la Política Nacional de Telesalud. Colombia.</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1581 de 2012. Por la cual se dictan disposiciones generales para la protección de datos personales en Colombia.</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Realiza: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Raúl Eduardo Walteros (Médico Hematólogo)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Revisa: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[Espacio para Asignar Nombre / Comité de Telemedicina y Calidad]</w:t>
      </w:r>
    </w:p>
    <w:p w:rsidR="00000000" w:rsidDel="00000000" w:rsidP="00000000" w:rsidRDefault="00000000" w:rsidRPr="00000000" w14:paraId="000000CA">
      <w:pPr>
        <w:rPr>
          <w:rFonts w:ascii="Arial" w:cs="Arial" w:eastAsia="Arial" w:hAnsi="Arial"/>
          <w:color w:val="000000"/>
          <w:sz w:val="24"/>
          <w:szCs w:val="24"/>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bl>
    <w:tblPr>
      <w:tblStyle w:val="Table4"/>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CD">
          <w:pPr>
            <w:jc w:val="center"/>
            <w:rPr>
              <w:sz w:val="28"/>
              <w:szCs w:val="28"/>
            </w:rPr>
          </w:pPr>
          <w:r w:rsidDel="00000000" w:rsidR="00000000" w:rsidRPr="00000000">
            <w:rPr>
              <w:rFonts w:ascii="Arial" w:cs="Arial" w:eastAsia="Arial" w:hAnsi="Arial"/>
              <w:b w:val="1"/>
              <w:bCs w:val="1"/>
              <w:sz w:val="28"/>
              <w:szCs w:val="28"/>
              <w:rtl w:val="0"/>
            </w:rPr>
            <w:t xml:space="preserve">PROTOCOLO DE TELE-EXPERTICIA EN MICROANGIOPATÍA TROMBÓTICA (MAT)</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6WSWkefswLUW8PRwsNWnHNmC5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zIOaC5rZ2Zwc2RkNTM0ZTM4AHIhMXFRZ25IcU1zVUlJTTJXRERwNTdsZDY5OE8zVHV0cX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