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720"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03">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enfermedad diarreica aguda (EDA), definida como la presencia de tres o más deposiciones blandas o líquidas en un lapso de 24 horas, continúa siendo una de las principales causas de morbimortalidad en la población menor de cinco años a nivel mundial. A pesar de los avances en materia de salud pública y de la implementación de estrategias como la terapia de rehidratación oral y el manejo integral basado en la estrategia AIEPI, la EDA fue responsable de aproximadamente 480.000 muertes en niños y niñas menores de cinco años durante el año 2019, según las estimaciones más recientes. Esta cifra evidencia que, aunque se ha logrado una reducción significativa en comparación con décadas anteriores, la diarrea aguda sigue representando un desafío sanitario de primera magnitud, especialmente en regiones con limitado acceso a servicios de salud, agua potable y saneamiento básico. La frecuencia de la enfermedad presenta una variación geográfica considerable, con una incidencia que puede alcanzar hasta seis episodios por año en lactantes y hasta tres episodios anuales en preescolares, lo que subraya la necesidad de contar con herramientas diagnósticas y terapéuticas adaptadas a los distintos contextos epidemiológicos y a los recursos disponibles en cada territorio.</w:t>
      </w:r>
    </w:p>
    <w:p w:rsidR="00000000" w:rsidDel="00000000" w:rsidP="00000000" w:rsidRDefault="00000000" w:rsidRPr="00000000" w14:paraId="0000000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etiología de la EDA es predominantemente infecciosa, aunque también puede manifestarse como síntoma acompañante de otras condiciones clínicas de diversa índole, como emergencias quirúrgicas intraabdominales (apendicitis, invaginación intestinal u obstrucción), infecciones sistémicas o intolerancias y alergias alimentarias. Dentro de las causas infecciosas, que constituyen la principal etiología de los cuadros diarreicos, los agentes involucrados varían de manera importante dependiendo de la región geográfica, las condiciones sanitarias y las técnicas de laboratorio utilizadas para su caracterización. La distinción clínica fundamental se establece entre la diarrea acuosa —definida como la presencia de deposiciones líquidas o reblandecidas sin sangre macroscópicamente visible— y la diarrea invasiva o sanguinolenta, caracterizada por la presencia de sangre visible en las heces, cada una con un espectro etiológico particular. En la </w:t>
      </w:r>
      <w:r w:rsidDel="00000000" w:rsidR="00000000" w:rsidRPr="00000000">
        <w:rPr>
          <w:rFonts w:ascii="Arial" w:cs="Arial" w:eastAsia="Arial" w:hAnsi="Arial"/>
          <w:b w:val="1"/>
          <w:bCs w:val="1"/>
          <w:sz w:val="24"/>
          <w:szCs w:val="24"/>
          <w:rtl w:val="0"/>
        </w:rPr>
        <w:t xml:space="preserve">diarrea acuosa</w:t>
      </w:r>
      <w:r w:rsidDel="00000000" w:rsidR="00000000" w:rsidRPr="00000000">
        <w:rPr>
          <w:rFonts w:ascii="Arial" w:cs="Arial" w:eastAsia="Arial" w:hAnsi="Arial"/>
          <w:sz w:val="24"/>
          <w:szCs w:val="24"/>
          <w:rtl w:val="0"/>
        </w:rPr>
        <w:t xml:space="preserve">, los principales agentes causales a nivel mundial incluyen el rotavirus, que constituye la causa mayoritaria en casi todos los estudios epidemiológicos; la Escherichia coli enterotoxigénica productora de toxina termoestable (ST-ETEC); el Vibrio cholerae; Cryptosporidium, cuyo hallazgo es relevante incluso en ausencia de infección por VIH; y el norovirus, cuyo reconocimiento como agente causal importante es relativamente reciente, gracias a la implementación de técnicas diagnósticas más sensibles. Por su parte, la </w:t>
      </w:r>
      <w:r w:rsidDel="00000000" w:rsidR="00000000" w:rsidRPr="00000000">
        <w:rPr>
          <w:rFonts w:ascii="Arial" w:cs="Arial" w:eastAsia="Arial" w:hAnsi="Arial"/>
          <w:b w:val="1"/>
          <w:bCs w:val="1"/>
          <w:sz w:val="24"/>
          <w:szCs w:val="24"/>
          <w:rtl w:val="0"/>
        </w:rPr>
        <w:t xml:space="preserve">diarrea invasiva o sanguinolenta</w:t>
      </w:r>
      <w:r w:rsidDel="00000000" w:rsidR="00000000" w:rsidRPr="00000000">
        <w:rPr>
          <w:rFonts w:ascii="Arial" w:cs="Arial" w:eastAsia="Arial" w:hAnsi="Arial"/>
          <w:sz w:val="24"/>
          <w:szCs w:val="24"/>
          <w:rtl w:val="0"/>
        </w:rPr>
        <w:t xml:space="preserve"> tiene entre sus agentes más frecuentes a Shigella (con especies como S. dysenteriae, S. flexneri, S. boydii y S. sonnei, siendo S. flexneri el serogrupo predominante en la región de las Américas), las salmonelas no tifoides, Escherichia coli enteroinvasiva (EIEC), Escherichia coli enterohemorrágica (EHEC), otras enterobacterias, adenovirus 40/41, Campylobacter y Entamoeba histolytica. Un aspecto de particular gravedad en el contexto de la diarrea invasiva es el potencial desarrollo de síndrome urémico hemolítico (HUS) —caracterizado por anemia hemolítica microangiopática, trombocitopenia y lesión renal aguda—, complicación asociada principalmente a cepas productoras de toxina Shiga, como STEC y Shigella dysenteriae, que requiere reconocimiento temprano y manejo hospitalario especializado para evitar desenlaces fatales.</w:t>
      </w:r>
    </w:p>
    <w:p w:rsidR="00000000" w:rsidDel="00000000" w:rsidP="00000000" w:rsidRDefault="00000000" w:rsidRPr="00000000" w14:paraId="0000000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colombiano, y de manera particular en las zonas rurales y apartadas del país, el manejo oportuno y adecuado de la EDA enfrenta barreras significativas relacionadas con la distancia a los centros de salud, la escasez de personal capacitado y las limitaciones en el acceso a medios diagnósticos. Es precisamente en estos escenarios donde la telemedicina, a través del servicio de HUN Digital del Hospital Universitario Nacional, emerge como una herramienta transformadora para garantizar la aplicación de los lineamientos de la Estrategia AIEPI y de las guías nacionales para el manejo de la EDA en la primera infancia. El presente protocolo tiene como objetivo establecer pautas claras y estandarizadas para la atención de niños y niñas menores de cinco años con enfermedad diarreica aguda en zonas rurales, integrando la consulta por telemedicina con la red de servicios de salud local. A través de una aproximación algorítmica que permite a profesionales de la salud con diversos niveles de formación realizar una adecuada evaluación, clasificación del grado de deshidratación, identificación de signos de alarma y definición de la conducta terapéutica —ya sea manejo ambulatorio con hidratación oral y seguimiento remoto, o remisión urgente a un centro hospitalario—, se busca reducir la mortalidad, prevenir complicaciones y optimizar los recursos del sistema de salud. De esta manera, el HUN reafirma su compromiso con la equidad en salud y la atención integral de la niñez, llevando la mejor evidencia clínica a los rincones más alejados del territorio nacional.</w:t>
      </w:r>
    </w:p>
    <w:p w:rsidR="00000000" w:rsidDel="00000000" w:rsidP="00000000" w:rsidRDefault="00000000" w:rsidRPr="00000000" w14:paraId="0000000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la evaluación, clasificación y tratamiento de la EDA en pacientes pediátricos a través de telemedicina, orientando al cuidador en el reconocimiento de signos de alarma y el manejo de líquidos.</w:t>
      </w:r>
    </w:p>
    <w:p w:rsidR="00000000" w:rsidDel="00000000" w:rsidP="00000000" w:rsidRDefault="00000000" w:rsidRPr="00000000" w14:paraId="0000000B">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Clasificar el estado de hidratación mediante la observación dirigida por video y el interrogatorio al cuidador.</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Instruir detalladamente en el manejo de Sales de Rehidratación Oral (SRO) y alimentación.</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criterios de gravedad que requieran el traslado inmediato a un servicio de urgencias.</w:t>
      </w:r>
    </w:p>
    <w:p w:rsidR="00000000" w:rsidDel="00000000" w:rsidP="00000000" w:rsidRDefault="00000000" w:rsidRPr="00000000" w14:paraId="00000011">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 a pacientes de 0 a 5 años con cuadro de diarrea aguda (menos de 14 días de evolución) que consulten al Hospital Universitario Nacional de Colombia mediante modalidad virtual.</w:t>
      </w:r>
    </w:p>
    <w:p w:rsidR="00000000" w:rsidDel="00000000" w:rsidP="00000000" w:rsidRDefault="00000000" w:rsidRPr="00000000" w14:paraId="00000015">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Normativo</w:t>
      </w:r>
    </w:p>
    <w:p w:rsidR="00000000" w:rsidDel="00000000" w:rsidP="00000000" w:rsidRDefault="00000000" w:rsidRPr="00000000" w14:paraId="00000018">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internacional, la Organización Mundial de la Salud y la Organización Panamericana de la Salud han generado lineamientos para la implementación de estrategias de telemedicina a nivel mundial, especialmente tras el impulso dado por la crisis mundial por la COVID-19. Durante la construcción de la estrategia de telemedicina del Hospital Universitario Nacional se revisó las recomendaciones contenidas en las siguientes directrices: </w:t>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w:t>
      </w:r>
      <w:r w:rsidDel="00000000" w:rsidR="00000000" w:rsidRPr="00000000">
        <w:rPr>
          <w:rFonts w:ascii="Arial" w:cs="Arial" w:eastAsia="Arial" w:hAnsi="Arial"/>
          <w:b w:val="1"/>
          <w:bCs w:val="1"/>
          <w:i w:val="1"/>
          <w:iCs w:val="1"/>
          <w:sz w:val="24"/>
          <w:szCs w:val="24"/>
          <w:rtl w:val="0"/>
        </w:rPr>
        <w:t xml:space="preserve">Telemedicine: opportunities and developments in Member States: report on the second global survey on eHealth (2010)</w:t>
      </w:r>
      <w:r w:rsidDel="00000000" w:rsidR="00000000" w:rsidRPr="00000000">
        <w:rPr>
          <w:rFonts w:ascii="Arial" w:cs="Arial" w:eastAsia="Arial" w:hAnsi="Arial"/>
          <w:b w:val="1"/>
          <w:bCs w:val="1"/>
          <w:sz w:val="24"/>
          <w:szCs w:val="24"/>
          <w:rtl w:val="0"/>
        </w:rPr>
        <w:t xml:space="preserve"> - Telemedicina: oportunidades y avances en los Estados Miembros: informe sobre la segunda encuesta global de eSalud</w:t>
      </w:r>
      <w:r w:rsidDel="00000000" w:rsidR="00000000" w:rsidRPr="00000000">
        <w:rPr>
          <w:rtl w:val="0"/>
        </w:rPr>
      </w:r>
    </w:p>
    <w:p w:rsidR="00000000" w:rsidDel="00000000" w:rsidP="00000000" w:rsidRDefault="00000000" w:rsidRPr="00000000" w14:paraId="0000001C">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publicado en 2010, es el segundo volumen de la serie del Observatorio Global de eSalud de la OMS. Examina las tendencias en la adopción de la telemedicina, abarcando desde aplicaciones bien establecidas hasta aquellas de reciente aparición. El informe se basa en los resultados del módulo de telemedicina de la encuesta global de 2009, que fue completado por 114 países (el 59% de los Estados Miembros). Su propósito es ofrecer una visión panorámica del desarrollo de la telemedicina en el mundo en ese momento, sirviendo como un documento de referencia sobre el estado del arte y las oportunidades en este campo.</w:t>
      </w:r>
    </w:p>
    <w:p w:rsidR="00000000" w:rsidDel="00000000" w:rsidP="00000000" w:rsidRDefault="00000000" w:rsidRPr="00000000" w14:paraId="0000001D">
      <w:pPr>
        <w:spacing w:after="0" w:line="276" w:lineRule="auto"/>
        <w:ind w:left="708"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w:t>
      </w:r>
      <w:r w:rsidDel="00000000" w:rsidR="00000000" w:rsidRPr="00000000">
        <w:rPr>
          <w:rFonts w:ascii="Arial" w:cs="Arial" w:eastAsia="Arial" w:hAnsi="Arial"/>
          <w:b w:val="1"/>
          <w:bCs w:val="1"/>
          <w:i w:val="1"/>
          <w:iCs w:val="1"/>
          <w:sz w:val="24"/>
          <w:szCs w:val="24"/>
          <w:rtl w:val="0"/>
        </w:rPr>
        <w:t xml:space="preserve">National eHealth strategy toolkit (2012)</w:t>
      </w:r>
      <w:r w:rsidDel="00000000" w:rsidR="00000000" w:rsidRPr="00000000">
        <w:rPr>
          <w:rFonts w:ascii="Arial" w:cs="Arial" w:eastAsia="Arial" w:hAnsi="Arial"/>
          <w:b w:val="1"/>
          <w:bCs w:val="1"/>
          <w:sz w:val="24"/>
          <w:szCs w:val="24"/>
          <w:rtl w:val="0"/>
        </w:rPr>
        <w:t xml:space="preserve"> - Kit de herramientas para la estrategia nacional de eSalud</w:t>
      </w:r>
      <w:r w:rsidDel="00000000" w:rsidR="00000000" w:rsidRPr="00000000">
        <w:rPr>
          <w:rtl w:val="0"/>
        </w:rPr>
      </w:r>
    </w:p>
    <w:p w:rsidR="00000000" w:rsidDel="00000000" w:rsidP="00000000" w:rsidRDefault="00000000" w:rsidRPr="00000000" w14:paraId="0000001F">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Publicado en 2012 por la Organización Mundial de la Salud y la Unión Internacional de Telecomunicaciones, este kit de herramientas es una guía práctica y exhaustiva diseñada para los gobiernos, sus ministerios y partes interesadas. Proporciona una base sólida y un método para el desarrollo e implementación de una visión, un plan de acción y un marco de monitoreo para la eSalud a nivel nacional. El documento es un hito en la comprensión de qué es la eSalud, qué puede lograr y por qué y cómo debería aplicarse en la atención sanitaria actual. Está diseñado para que todos los países, independientemente de su nivel de desarrollo, puedan adaptarlo a sus propias circunstancias.</w:t>
      </w:r>
    </w:p>
    <w:p w:rsidR="00000000" w:rsidDel="00000000" w:rsidP="00000000" w:rsidRDefault="00000000" w:rsidRPr="00000000" w14:paraId="00000020">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w:t>
      </w:r>
      <w:r w:rsidDel="00000000" w:rsidR="00000000" w:rsidRPr="00000000">
        <w:rPr>
          <w:rFonts w:ascii="Arial" w:cs="Arial" w:eastAsia="Arial" w:hAnsi="Arial"/>
          <w:b w:val="1"/>
          <w:bCs w:val="1"/>
          <w:i w:val="1"/>
          <w:iCs w:val="1"/>
          <w:sz w:val="24"/>
          <w:szCs w:val="24"/>
          <w:rtl w:val="0"/>
        </w:rPr>
        <w:t xml:space="preserve">WHO guideline: recommendations on digital interventions for health system strengthening (2019)</w:t>
      </w:r>
      <w:r w:rsidDel="00000000" w:rsidR="00000000" w:rsidRPr="00000000">
        <w:rPr>
          <w:rFonts w:ascii="Arial" w:cs="Arial" w:eastAsia="Arial" w:hAnsi="Arial"/>
          <w:b w:val="1"/>
          <w:bCs w:val="1"/>
          <w:sz w:val="24"/>
          <w:szCs w:val="24"/>
          <w:rtl w:val="0"/>
        </w:rPr>
        <w:t xml:space="preserve"> - Guía de la OMS: recomendaciones sobre intervenciones digitales para el fortalecimiento de los sistemas de salud</w:t>
      </w:r>
    </w:p>
    <w:p w:rsidR="00000000" w:rsidDel="00000000" w:rsidP="00000000" w:rsidRDefault="00000000" w:rsidRPr="00000000" w14:paraId="00000022">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publicado en 2019, es la primera guía de la OMS que establece recomendaciones sobre intervenciones digitales para el fortalecimiento de los sistemas de salud. Presenta recomendaciones basadas en una evaluación crítica de la evidencia sobre intervenciones de salud digital emergentes que contribuyen a mejorar los sistemas de salud, considerando aspectos como beneficios, daños, aceptabilidad, viabilidad, uso de recursos y equidad. La guía tiene como objetivo fortalecer la toma de decisiones basada en evidencia por parte de los gobiernos e instituciones, fomentando la institucionalización de intervenciones digitales efectivas. Un aspecto crucial que subraya es que las intervenciones digitales no sustituyen a los sistemas de salud que funcionan, sino que deben complementarlos y mejorarlos.</w:t>
      </w:r>
    </w:p>
    <w:p w:rsidR="00000000" w:rsidDel="00000000" w:rsidP="00000000" w:rsidRDefault="00000000" w:rsidRPr="00000000" w14:paraId="00000023">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w:t>
      </w:r>
      <w:r w:rsidDel="00000000" w:rsidR="00000000" w:rsidRPr="00000000">
        <w:rPr>
          <w:rFonts w:ascii="Arial" w:cs="Arial" w:eastAsia="Arial" w:hAnsi="Arial"/>
          <w:b w:val="1"/>
          <w:bCs w:val="1"/>
          <w:i w:val="1"/>
          <w:iCs w:val="1"/>
          <w:sz w:val="24"/>
          <w:szCs w:val="24"/>
          <w:rtl w:val="0"/>
        </w:rPr>
        <w:t xml:space="preserve">Digital implementation investment guide: integrating digital interventions into health programmes (2020)</w:t>
      </w:r>
      <w:r w:rsidDel="00000000" w:rsidR="00000000" w:rsidRPr="00000000">
        <w:rPr>
          <w:rFonts w:ascii="Arial" w:cs="Arial" w:eastAsia="Arial" w:hAnsi="Arial"/>
          <w:b w:val="1"/>
          <w:bCs w:val="1"/>
          <w:sz w:val="24"/>
          <w:szCs w:val="24"/>
          <w:rtl w:val="0"/>
        </w:rPr>
        <w:t xml:space="preserve"> - Guía de inversión para la implementación digital: integración de intervenciones digitales en los programas de salud</w:t>
      </w:r>
      <w:r w:rsidDel="00000000" w:rsidR="00000000" w:rsidRPr="00000000">
        <w:rPr>
          <w:rtl w:val="0"/>
        </w:rPr>
      </w:r>
    </w:p>
    <w:p w:rsidR="00000000" w:rsidDel="00000000" w:rsidP="00000000" w:rsidRDefault="00000000" w:rsidRPr="00000000" w14:paraId="00000025">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Publicada en 2020, esta guía (conocida como DIIG) proporciona un enfoque paso a paso para planificar, calcular costos e implementar inversiones en salud digital. Sirve como acompañamiento a la guía de recomendaciones sobre intervenciones digitales de 2019 y ofrece un proceso sistemático para planificar la salud digital en uno o más programas de salud. Su objetivo es ayudar a los gobiernos y socios técnicos a planificar una implementación digital que se centre en programas de salud específicos para respaldar los objetivos nacionales del sistema de salud. La guía extrae lecciones de experiencias diversas de la última década, de instituciones que han trabajado estrechamente con gobiernos en la planificación e implementación de tecnologías de salud digital.</w:t>
      </w:r>
    </w:p>
    <w:p w:rsidR="00000000" w:rsidDel="00000000" w:rsidP="00000000" w:rsidRDefault="00000000" w:rsidRPr="00000000" w14:paraId="00000026">
      <w:pPr>
        <w:spacing w:after="0" w:line="276" w:lineRule="auto"/>
        <w:ind w:left="708"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w:t>
      </w:r>
      <w:r w:rsidDel="00000000" w:rsidR="00000000" w:rsidRPr="00000000">
        <w:rPr>
          <w:rFonts w:ascii="Arial" w:cs="Arial" w:eastAsia="Arial" w:hAnsi="Arial"/>
          <w:b w:val="1"/>
          <w:bCs w:val="1"/>
          <w:i w:val="1"/>
          <w:iCs w:val="1"/>
          <w:sz w:val="24"/>
          <w:szCs w:val="24"/>
          <w:rtl w:val="0"/>
        </w:rPr>
        <w:t xml:space="preserve">Consolidated telemedicine implementation guide (2022)</w:t>
      </w:r>
      <w:r w:rsidDel="00000000" w:rsidR="00000000" w:rsidRPr="00000000">
        <w:rPr>
          <w:rFonts w:ascii="Arial" w:cs="Arial" w:eastAsia="Arial" w:hAnsi="Arial"/>
          <w:b w:val="1"/>
          <w:bCs w:val="1"/>
          <w:sz w:val="24"/>
          <w:szCs w:val="24"/>
          <w:rtl w:val="0"/>
        </w:rPr>
        <w:t xml:space="preserve"> - Guía consolidada para la implementación de la telemedicina</w:t>
      </w:r>
      <w:r w:rsidDel="00000000" w:rsidR="00000000" w:rsidRPr="00000000">
        <w:rPr>
          <w:rtl w:val="0"/>
        </w:rPr>
      </w:r>
    </w:p>
    <w:p w:rsidR="00000000" w:rsidDel="00000000" w:rsidP="00000000" w:rsidRDefault="00000000" w:rsidRPr="00000000" w14:paraId="00000028">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Publicada en 2022, esta guía ofrece una visión general de los pasos clave y las consideraciones necesarias para implementar servicios de telemedicina y optimizar sus beneficios e impacto. Surge como respuesta al aumento global de la demanda de estos servicios, impulsado en gran medida por la pandemia de COVID-19. El documento sintetiza lecciones aprendidas durante la pandemia y recursos de la OMS desarrollados en la década anterior, proporcionando un proceso integral que abarca la planificación, implementación y mantenimiento de programas de telemedicina. Su objetivo es guiar a los países en la elaboración de un plan de inversión con costos estimados, apoyándolos en las distintas etapas de su recorrido hacia la telemedicina.</w:t>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nacional la implementación de estrategias de telemedicina esta rigurosamente reglamentada con miras a cumplir los requerimientos de certificación profesional, seguridad de la información, evaluación continua de la calidad y los criterios de habilitación para los servicios de salud digital. A continuación, el marco legislativo vigente relevante para la práctica de la salud digital en Colombia:</w:t>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Ley 1419 de 2010</w:t>
      </w:r>
    </w:p>
    <w:p w:rsidR="00000000" w:rsidDel="00000000" w:rsidP="00000000" w:rsidRDefault="00000000" w:rsidRPr="00000000" w14:paraId="0000002D">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ley constituye el marco normativo fundamental para el desarrollo de la Telesalud en Colombia. Define la Telesalud como el conjunto de actividades, servicios y métodos relacionados con la salud que se llevan a cabo a distancia con ayuda de las tecnologías de la información y telecomunicaciones. Incluye la Telemedicina, entendida como la provisión de servicios de salud a distancia en los componentes de promoción, prevención, diagnóstico, tratamiento y rehabilitación.</w:t>
      </w:r>
    </w:p>
    <w:p w:rsidR="00000000" w:rsidDel="00000000" w:rsidP="00000000" w:rsidRDefault="00000000" w:rsidRPr="00000000" w14:paraId="0000002E">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1581 de 2012</w:t>
      </w:r>
      <w:r w:rsidDel="00000000" w:rsidR="00000000" w:rsidRPr="00000000">
        <w:rPr>
          <w:rtl w:val="0"/>
        </w:rPr>
      </w:r>
    </w:p>
    <w:p w:rsidR="00000000" w:rsidDel="00000000" w:rsidP="00000000" w:rsidRDefault="00000000" w:rsidRPr="00000000" w14:paraId="00000030">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Conocida como la Ley de Protección de Datos Personales, su objetivo es desarrollar el derecho constitucional que tienen todas las personas a conocer, actualizar y rectificar la información que se haya recogido sobre ellas en bases de datos o archivos. La ley establece el ámbito de aplicación, los principios rectores, los derechos de los titulares de la información y los deberes de los responsables del tratamiento de datos, y asigna a la Superintendencia de Industria y Comercio la facultad de vigilancia y sanción.</w:t>
      </w:r>
    </w:p>
    <w:p w:rsidR="00000000" w:rsidDel="00000000" w:rsidP="00000000" w:rsidRDefault="00000000" w:rsidRPr="00000000" w14:paraId="00000031">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2654 de 2019</w:t>
      </w:r>
      <w:r w:rsidDel="00000000" w:rsidR="00000000" w:rsidRPr="00000000">
        <w:rPr>
          <w:rtl w:val="0"/>
        </w:rPr>
      </w:r>
    </w:p>
    <w:p w:rsidR="00000000" w:rsidDel="00000000" w:rsidP="00000000" w:rsidRDefault="00000000" w:rsidRPr="00000000" w14:paraId="00000033">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resolución, emitida por el Ministerio de Salud y Protección Social, tiene por objeto establecer las disposiciones para la Telesalud y los parámetros para la práctica de la telemedicina en Colombia. En ella se definen y regulan las diferentes modalidades de atención a distancia, como la teleconsulta, el telemonitoreo y el teleapoyo, y se detallan los requisitos tecnológicos y de seguridad de la información que deben cumplir los prestadores de servicios de salud.</w:t>
      </w:r>
    </w:p>
    <w:p w:rsidR="00000000" w:rsidDel="00000000" w:rsidP="00000000" w:rsidRDefault="00000000" w:rsidRPr="00000000" w14:paraId="00000034">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3100 de 2019</w:t>
      </w:r>
      <w:r w:rsidDel="00000000" w:rsidR="00000000" w:rsidRPr="00000000">
        <w:rPr>
          <w:rtl w:val="0"/>
        </w:rPr>
      </w:r>
    </w:p>
    <w:p w:rsidR="00000000" w:rsidDel="00000000" w:rsidP="00000000" w:rsidRDefault="00000000" w:rsidRPr="00000000" w14:paraId="00000036">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resolución define los procedimientos y las condiciones para la inscripción de los prestadores de servicios de salud y la habilitación de los servicios de salud en el país. Forma parte del Sistema Único de Habilitación, que es uno de los componentes del Sistema Obligatorio de Garantía de Calidad de la Atención de Salud, y establece los estándares y criterios que deben cumplir las instituciones para ofrecer servicios de salud de manera legal y segura.</w:t>
      </w:r>
    </w:p>
    <w:p w:rsidR="00000000" w:rsidDel="00000000" w:rsidP="00000000" w:rsidRDefault="00000000" w:rsidRPr="00000000" w14:paraId="00000037">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Decreto 538 de 2020</w:t>
      </w:r>
    </w:p>
    <w:p w:rsidR="00000000" w:rsidDel="00000000" w:rsidP="00000000" w:rsidRDefault="00000000" w:rsidRPr="00000000" w14:paraId="00000039">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 un decreto legislativo expedido en el marco del Estado de Emergencia Económica, Social y Ecológica declarado por la pandemia de COVID-19. Su propósito fue adoptar medidas en el sector salud para contener y mitigar la pandemia y garantizar la prestación de los servicios de salud, facilitando y promoviendo el uso de la telemedicina como una herramienta clave para la atención durante la emergencia sanitaria.</w:t>
      </w:r>
    </w:p>
    <w:p w:rsidR="00000000" w:rsidDel="00000000" w:rsidP="00000000" w:rsidRDefault="00000000" w:rsidRPr="00000000" w14:paraId="0000003A">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particularmente en la construcción del presente protocolo, al momento de su elaboración la versión vigente a nivel nacional del manual AIEPI es el publicado por el Ministerio de Salud en el año 2016 en el marco de la ley 1804 del mismo año (Política de Cero a Siempre):</w:t>
      </w:r>
    </w:p>
    <w:p w:rsidR="00000000" w:rsidDel="00000000" w:rsidP="00000000" w:rsidRDefault="00000000" w:rsidRPr="00000000" w14:paraId="0000003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Manual AIEPI Clínico, MINSALUD, Colombia (2016)</w:t>
      </w:r>
    </w:p>
    <w:p w:rsidR="00000000" w:rsidDel="00000000" w:rsidP="00000000" w:rsidRDefault="00000000" w:rsidRPr="00000000" w14:paraId="0000003E">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Clínico AIEPI 2016, publicado por el Ministerio de Salud y Protección Social de Colombia en colaboración con la OPS/OMS, constituye la actualización de la guía fundamental para la atención integral de la niñez en el país. Este documento, que en su momento reemplazó versiones anteriores, se erige como una herramienta de estandarización clínica y como un pilar de la política de salud infantil, al condensar en un formato práctico y algorítmico los procedimientos para la evaluación, clasificación y tratamiento de las enfermedades prevalentes en niños y niñas de 0 a 5 años. Su enfoque, que integra acciones curativas, de prevención y de promoción, está diseñado para ser aplicado por profesionales y técnicos de la salud en todos los niveles de complejidad, facilitando una atención oportuna y de calidad incluso en contextos de recursos limitados. Al ofrecer una guía clara y detallada para el manejo de patologías como la neumonía, la diarrea y la desnutrición, el manual no solo busca reducir la mortalidad infantil, sino también estandarizar los procesos asistenciales en todo el territorio nacional, siendo un referente obligado para la formación y la práctica clínica en el país.</w:t>
      </w:r>
    </w:p>
    <w:p w:rsidR="00000000" w:rsidDel="00000000" w:rsidP="00000000" w:rsidRDefault="00000000" w:rsidRPr="00000000" w14:paraId="0000003F">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76"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Ley 1804 de 2016</w:t>
      </w:r>
    </w:p>
    <w:p w:rsidR="00000000" w:rsidDel="00000000" w:rsidP="00000000" w:rsidRDefault="00000000" w:rsidRPr="00000000" w14:paraId="00000041">
      <w:pPr>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Conocida como la ley "De Cero a Siempre", es una de las normas más trascendentales en materia de infancia en Colombia, al establecer la Política de Estado para el Desarrollo Integral de la Primera Infancia. Sancionada el 2 de agosto de 2016, esta ley no es un programa de gobierno pasajero, sino una política pública de carácter permanente, diseñada para trascender los cambios de administración y garantizar la sostenibilidad en el tiempo de las acciones a favor de la niñez. Su propósito es sentar las bases conceptuales, técnicas y de gestión para asegurar el desarrollo integral de los niños y niñas desde la gestación hasta los seis años, en el marco de la Doctrina de la Protección Integral.</w:t>
      </w:r>
    </w:p>
    <w:p w:rsidR="00000000" w:rsidDel="00000000" w:rsidP="00000000" w:rsidRDefault="00000000" w:rsidRPr="00000000" w14:paraId="00000042">
      <w:pPr>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ley representa un cambio de paradigma al consagrar una visión holística de la atención, que abarca no solo la salud, sino también la educación inicial, la nutrición, el cuidado y el bienestar emocional, con un enfoque intersectorial que involucra a las familias, la sociedad y el Estado en corresponsabilidad. Al reconocer a los niños y niñas como sujetos plenos de derechos, la Ley 1804 de 2016 fortalece el marco institucional para la garantía de esos derechos y materializa el Estado Social de Derecho, convirtiéndose en el pilar normativo que articula y da fuerza a la Estrategia de Atención Integral a la Primera Infancia (AIEPI) y a todas las políticas y programas orientados a la primera infancia en el país.</w:t>
      </w:r>
    </w:p>
    <w:p w:rsidR="00000000" w:rsidDel="00000000" w:rsidP="00000000" w:rsidRDefault="00000000" w:rsidRPr="00000000" w14:paraId="0000004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47">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8">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define la </w:t>
      </w:r>
      <w:r w:rsidDel="00000000" w:rsidR="00000000" w:rsidRPr="00000000">
        <w:rPr>
          <w:rFonts w:ascii="Arial" w:cs="Arial" w:eastAsia="Arial" w:hAnsi="Arial"/>
          <w:b w:val="1"/>
          <w:bCs w:val="1"/>
          <w:color w:val="000000"/>
          <w:sz w:val="24"/>
          <w:szCs w:val="24"/>
          <w:rtl w:val="0"/>
        </w:rPr>
        <w:t xml:space="preserve">telemedicina</w:t>
      </w:r>
      <w:r w:rsidDel="00000000" w:rsidR="00000000" w:rsidRPr="00000000">
        <w:rPr>
          <w:rFonts w:ascii="Arial" w:cs="Arial" w:eastAsia="Arial" w:hAnsi="Arial"/>
          <w:color w:val="000000"/>
          <w:sz w:val="24"/>
          <w:szCs w:val="24"/>
          <w:rtl w:val="0"/>
        </w:rPr>
        <w:t xml:space="preserve"> como "la prestación de servicios de atención de salud en los que la distancia es un factor crítico, realizada por todos los profesionales de la salud utilizando tecnologías de la información y la comunicación para el intercambio de información válida para el diagnóstico, el tratamiento y la prevención de enfermedades y lesiones, todo ello en interés de mejorar la salud de los individuos y sus comunidades" (World Health Organization, International Telecommunication Union. National eHealth strategy toolkit. Geneva: World Health Organization; 2012). Si bien la evolución de las tecnologías digitales también ha introducido nuevas terminologías y consideraciones operativas, el principio subyacente de la telemedicina es la provisión de servicios de atención de salud a distancia a través de herramientas digitales. La telemedicina es un componente de la </w:t>
      </w:r>
      <w:r w:rsidDel="00000000" w:rsidR="00000000" w:rsidRPr="00000000">
        <w:rPr>
          <w:rFonts w:ascii="Arial" w:cs="Arial" w:eastAsia="Arial" w:hAnsi="Arial"/>
          <w:b w:val="1"/>
          <w:bCs w:val="1"/>
          <w:color w:val="000000"/>
          <w:sz w:val="24"/>
          <w:szCs w:val="24"/>
          <w:rtl w:val="0"/>
        </w:rPr>
        <w:t xml:space="preserve">telesalud</w:t>
      </w:r>
      <w:r w:rsidDel="00000000" w:rsidR="00000000" w:rsidRPr="00000000">
        <w:rPr>
          <w:rFonts w:ascii="Arial" w:cs="Arial" w:eastAsia="Arial" w:hAnsi="Arial"/>
          <w:color w:val="000000"/>
          <w:sz w:val="24"/>
          <w:szCs w:val="24"/>
          <w:rtl w:val="0"/>
        </w:rPr>
        <w:t xml:space="preserve">, que es una aplicación más amplia de tecnologías para la educación a distancia y otras aplicaciones en las que se utilizan comunicaciones electrónicas y tecnologías de la información para apoyar los servicios de atención de salud (What is telehealth? How is it different from telemedicine? In: HealthIT.gov [website]. Washington (DC): Office of theNational Coordinator for Health Information Technology;2019).</w:t>
      </w:r>
    </w:p>
    <w:p w:rsidR="00000000" w:rsidDel="00000000" w:rsidP="00000000" w:rsidRDefault="00000000" w:rsidRPr="00000000" w14:paraId="00000049">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"Salud y atención virtuales"</w:t>
      </w:r>
      <w:r w:rsidDel="00000000" w:rsidR="00000000" w:rsidRPr="00000000">
        <w:rPr>
          <w:rFonts w:ascii="Arial" w:cs="Arial" w:eastAsia="Arial" w:hAnsi="Arial"/>
          <w:color w:val="000000"/>
          <w:sz w:val="24"/>
          <w:szCs w:val="24"/>
          <w:rtl w:val="0"/>
        </w:rPr>
        <w:t xml:space="preserve"> es otra expresión que designa este ámbito de trabajo y que destaca la prestación de servicios de salud y atención de forma remota a través de medios y tecnologías digitales. La telemedicina puede realizarse de varias maneras, entre las que se incluyen (The future of virtual health and care: driving access and equity through inclusive policies. Geneva: Broadband Commission for Sustainable Development; 2022):</w:t>
      </w:r>
    </w:p>
    <w:p w:rsidR="00000000" w:rsidDel="00000000" w:rsidP="00000000" w:rsidRDefault="00000000" w:rsidRPr="00000000" w14:paraId="0000004B">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Almacenamiento y reenvío: </w:t>
      </w:r>
      <w:r w:rsidDel="00000000" w:rsidR="00000000" w:rsidRPr="00000000">
        <w:rPr>
          <w:rFonts w:ascii="Arial" w:cs="Arial" w:eastAsia="Arial" w:hAnsi="Arial"/>
          <w:color w:val="000000"/>
          <w:sz w:val="24"/>
          <w:szCs w:val="24"/>
          <w:rtl w:val="0"/>
        </w:rPr>
        <w:t xml:space="preserve">consiste en almacenar y enviar información a distancia. Se utiliza generalmente en situaciones no urgentes. En estos casos, los datos e imágenes de salud se envían digitalmente para que un trabajador sanitario, generalmente un especialista, los analice en un momento posterior. Se ha empleado en diversas especialidades, como dermatología, radiología y oftalmología. También se describe como un modo </w:t>
      </w:r>
      <w:r w:rsidDel="00000000" w:rsidR="00000000" w:rsidRPr="00000000">
        <w:rPr>
          <w:rFonts w:ascii="Arial" w:cs="Arial" w:eastAsia="Arial" w:hAnsi="Arial"/>
          <w:i w:val="1"/>
          <w:iCs w:val="1"/>
          <w:color w:val="000000"/>
          <w:sz w:val="24"/>
          <w:szCs w:val="24"/>
          <w:rtl w:val="0"/>
        </w:rPr>
        <w:t xml:space="preserve">asíncrono</w:t>
      </w:r>
      <w:r w:rsidDel="00000000" w:rsidR="00000000" w:rsidRPr="00000000">
        <w:rPr>
          <w:rFonts w:ascii="Arial" w:cs="Arial" w:eastAsia="Arial" w:hAnsi="Arial"/>
          <w:color w:val="000000"/>
          <w:sz w:val="24"/>
          <w:szCs w:val="24"/>
          <w:rtl w:val="0"/>
        </w:rPr>
        <w:t xml:space="preserve"> o diferido de la atención sanitaria digital.</w:t>
      </w:r>
    </w:p>
    <w:p w:rsidR="00000000" w:rsidDel="00000000" w:rsidP="00000000" w:rsidRDefault="00000000" w:rsidRPr="00000000" w14:paraId="0000004C">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Servicios interactivos:</w:t>
      </w:r>
      <w:r w:rsidDel="00000000" w:rsidR="00000000" w:rsidRPr="00000000">
        <w:rPr>
          <w:rFonts w:ascii="Arial" w:cs="Arial" w:eastAsia="Arial" w:hAnsi="Arial"/>
          <w:color w:val="000000"/>
          <w:sz w:val="24"/>
          <w:szCs w:val="24"/>
          <w:rtl w:val="0"/>
        </w:rPr>
        <w:t xml:space="preserve"> también descritos como un modo "en tiempo real" o "</w:t>
      </w:r>
      <w:r w:rsidDel="00000000" w:rsidR="00000000" w:rsidRPr="00000000">
        <w:rPr>
          <w:rFonts w:ascii="Arial" w:cs="Arial" w:eastAsia="Arial" w:hAnsi="Arial"/>
          <w:i w:val="1"/>
          <w:iCs w:val="1"/>
          <w:color w:val="000000"/>
          <w:sz w:val="24"/>
          <w:szCs w:val="24"/>
          <w:rtl w:val="0"/>
        </w:rPr>
        <w:t xml:space="preserve">síncrono</w:t>
      </w:r>
      <w:r w:rsidDel="00000000" w:rsidR="00000000" w:rsidRPr="00000000">
        <w:rPr>
          <w:rFonts w:ascii="Arial" w:cs="Arial" w:eastAsia="Arial" w:hAnsi="Arial"/>
          <w:color w:val="000000"/>
          <w:sz w:val="24"/>
          <w:szCs w:val="24"/>
          <w:rtl w:val="0"/>
        </w:rPr>
        <w:t xml:space="preserve">" de la atención sanitaria digital. Consiste en la comunicación entre dos o más agentes en la práctica clínica con el fin de brindar asistencia diagnóstica y terapéutica en el tratamiento de clientes/pacientes que de otro modo no tendrían acceso oportuno a atención especializada.</w:t>
      </w:r>
    </w:p>
    <w:p w:rsidR="00000000" w:rsidDel="00000000" w:rsidP="00000000" w:rsidRDefault="00000000" w:rsidRPr="00000000" w14:paraId="0000004D">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Monitoreo remoto de clientes/pacientes:</w:t>
      </w:r>
      <w:r w:rsidDel="00000000" w:rsidR="00000000" w:rsidRPr="00000000">
        <w:rPr>
          <w:rFonts w:ascii="Arial" w:cs="Arial" w:eastAsia="Arial" w:hAnsi="Arial"/>
          <w:color w:val="000000"/>
          <w:sz w:val="24"/>
          <w:szCs w:val="24"/>
          <w:rtl w:val="0"/>
        </w:rPr>
        <w:t xml:space="preserve"> también conocido como </w:t>
      </w:r>
      <w:r w:rsidDel="00000000" w:rsidR="00000000" w:rsidRPr="00000000">
        <w:rPr>
          <w:rFonts w:ascii="Arial" w:cs="Arial" w:eastAsia="Arial" w:hAnsi="Arial"/>
          <w:b w:val="1"/>
          <w:bCs w:val="1"/>
          <w:color w:val="000000"/>
          <w:sz w:val="24"/>
          <w:szCs w:val="24"/>
          <w:rtl w:val="0"/>
        </w:rPr>
        <w:t xml:space="preserve">telemonitoreo</w:t>
      </w:r>
      <w:r w:rsidDel="00000000" w:rsidR="00000000" w:rsidRPr="00000000">
        <w:rPr>
          <w:rFonts w:ascii="Arial" w:cs="Arial" w:eastAsia="Arial" w:hAnsi="Arial"/>
          <w:color w:val="000000"/>
          <w:sz w:val="24"/>
          <w:szCs w:val="24"/>
          <w:rtl w:val="0"/>
        </w:rPr>
        <w:t xml:space="preserve">, permite a los trabajadores sanitarios supervisar el estado de una persona a distancia, utilizando tecnologías como dispositivos médicos conectados y sensores. Se utiliza a menudo para afecciones crónicas y va acompañado de canales de comunicación para la coordinación de la atención o de alertas a los trabajadores sanitarios basadas en parámetros/intervalos clínicos.</w:t>
      </w:r>
    </w:p>
    <w:p w:rsidR="00000000" w:rsidDel="00000000" w:rsidP="00000000" w:rsidRDefault="00000000" w:rsidRPr="00000000" w14:paraId="0000004E">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F">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telemedicina puede realizarse entre clientes/pacientes que buscan servicios de salud y trabajadores sanitarios (también descrita como telemedicina de cliente a proveedor o de paciente a trabajador sanitario), o puede ser entre diferentes trabajadores sanitarios (también conocida como telemedicina de proveedor a proveedor o </w:t>
      </w:r>
      <w:r w:rsidDel="00000000" w:rsidR="00000000" w:rsidRPr="00000000">
        <w:rPr>
          <w:rFonts w:ascii="Arial" w:cs="Arial" w:eastAsia="Arial" w:hAnsi="Arial"/>
          <w:b w:val="1"/>
          <w:bCs w:val="1"/>
          <w:sz w:val="24"/>
          <w:szCs w:val="24"/>
          <w:rtl w:val="0"/>
        </w:rPr>
        <w:t xml:space="preserve">tele experticia</w:t>
      </w:r>
      <w:r w:rsidDel="00000000" w:rsidR="00000000" w:rsidRPr="00000000">
        <w:rPr>
          <w:rFonts w:ascii="Arial" w:cs="Arial" w:eastAsia="Arial" w:hAnsi="Arial"/>
          <w:color w:val="000000"/>
          <w:sz w:val="24"/>
          <w:szCs w:val="24"/>
          <w:rtl w:val="0"/>
        </w:rPr>
        <w:t xml:space="preserve">). Además, la telemedicina puede prestarse a través de diferentes canales, como video, llamadas de audio, mensajes de texto, aplicaciones para teléfonos inteligentes y sistemas de archivo y comunicación de imágenes, así como sistemas de telemedicina personalizados, teniendo en cuenta que el rápido avance de la tecnología dificulta prever todos los canales de comunicación que podrían utilizarse en el futuro.</w:t>
      </w:r>
    </w:p>
    <w:p w:rsidR="00000000" w:rsidDel="00000000" w:rsidP="00000000" w:rsidRDefault="00000000" w:rsidRPr="00000000" w14:paraId="00000050">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casos de uso más comunes de la telemedicina incluyen:</w:t>
      </w:r>
    </w:p>
    <w:p w:rsidR="00000000" w:rsidDel="00000000" w:rsidP="00000000" w:rsidRDefault="00000000" w:rsidRPr="00000000" w14:paraId="00000052">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Teleconsulta</w:t>
      </w:r>
      <w:r w:rsidDel="00000000" w:rsidR="00000000" w:rsidRPr="00000000">
        <w:rPr>
          <w:rFonts w:ascii="Arial" w:cs="Arial" w:eastAsia="Arial" w:hAnsi="Arial"/>
          <w:color w:val="000000"/>
          <w:sz w:val="24"/>
          <w:szCs w:val="24"/>
          <w:rtl w:val="0"/>
        </w:rPr>
        <w:t xml:space="preserve">: prestación de servicios clínicos remotos a clientes/pacientes.</w:t>
      </w:r>
    </w:p>
    <w:p w:rsidR="00000000" w:rsidDel="00000000" w:rsidP="00000000" w:rsidRDefault="00000000" w:rsidRPr="00000000" w14:paraId="00000054">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Teleexperticia</w:t>
      </w:r>
      <w:r w:rsidDel="00000000" w:rsidR="00000000" w:rsidRPr="00000000">
        <w:rPr>
          <w:rFonts w:ascii="Arial" w:cs="Arial" w:eastAsia="Arial" w:hAnsi="Arial"/>
          <w:color w:val="000000"/>
          <w:sz w:val="24"/>
          <w:szCs w:val="24"/>
          <w:rtl w:val="0"/>
        </w:rPr>
        <w:t xml:space="preserve">: cuando un profesional de la salud puede solicitar una segunda opinión o asesoramiento a un especialista. Esto puede subdividirse para indicar las especialidades clínicas, como teledermatología, teleoftalmología, </w:t>
      </w:r>
      <w:r w:rsidDel="00000000" w:rsidR="00000000" w:rsidRPr="00000000">
        <w:rPr>
          <w:rFonts w:ascii="Arial" w:cs="Arial" w:eastAsia="Arial" w:hAnsi="Arial"/>
          <w:sz w:val="24"/>
          <w:szCs w:val="24"/>
          <w:rtl w:val="0"/>
        </w:rPr>
        <w:t xml:space="preserve">tele pediatría</w:t>
      </w:r>
      <w:r w:rsidDel="00000000" w:rsidR="00000000" w:rsidRPr="00000000">
        <w:rPr>
          <w:rFonts w:ascii="Arial" w:cs="Arial" w:eastAsia="Arial" w:hAnsi="Arial"/>
          <w:color w:val="000000"/>
          <w:sz w:val="24"/>
          <w:szCs w:val="24"/>
          <w:rtl w:val="0"/>
        </w:rPr>
        <w:t xml:space="preserve">, etc.</w:t>
      </w:r>
    </w:p>
    <w:p w:rsidR="00000000" w:rsidDel="00000000" w:rsidP="00000000" w:rsidRDefault="00000000" w:rsidRPr="00000000" w14:paraId="00000055">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sz w:val="24"/>
          <w:szCs w:val="24"/>
          <w:rtl w:val="0"/>
        </w:rPr>
        <w:t xml:space="preserve">Tele Triage</w:t>
      </w:r>
      <w:r w:rsidDel="00000000" w:rsidR="00000000" w:rsidRPr="00000000">
        <w:rPr>
          <w:rFonts w:ascii="Arial" w:cs="Arial" w:eastAsia="Arial" w:hAnsi="Arial"/>
          <w:color w:val="000000"/>
          <w:sz w:val="24"/>
          <w:szCs w:val="24"/>
          <w:rtl w:val="0"/>
        </w:rPr>
        <w:t xml:space="preserve">: como la agilización de decisiones de emergencia mediante la transmisión de parámetros de salud y la consulta remota.</w:t>
      </w:r>
    </w:p>
    <w:p w:rsidR="00000000" w:rsidDel="00000000" w:rsidP="00000000" w:rsidRDefault="00000000" w:rsidRPr="00000000" w14:paraId="00000056">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Autoayuda guiada o teleorientación</w:t>
      </w:r>
      <w:r w:rsidDel="00000000" w:rsidR="00000000" w:rsidRPr="00000000">
        <w:rPr>
          <w:rFonts w:ascii="Arial" w:cs="Arial" w:eastAsia="Arial" w:hAnsi="Arial"/>
          <w:color w:val="000000"/>
          <w:sz w:val="24"/>
          <w:szCs w:val="24"/>
          <w:rtl w:val="0"/>
        </w:rPr>
        <w:t xml:space="preserve">: utilizada ampliamente para la prestación de intervenciones psicológicas en salud mental. Consiste en información de autoayuda (por ejemplo, proporcionada a través de un teléfono inteligente, un sitio web o un libro) con un breve apoyo brindado por una persona por teléfono o en línea.</w:t>
      </w:r>
    </w:p>
    <w:p w:rsidR="00000000" w:rsidDel="00000000" w:rsidP="00000000" w:rsidRDefault="00000000" w:rsidRPr="00000000" w14:paraId="00000057">
      <w:pPr>
        <w:spacing w:after="0" w:line="276" w:lineRule="auto"/>
        <w:ind w:left="70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Diarrea</w:t>
      </w:r>
      <w:r w:rsidDel="00000000" w:rsidR="00000000" w:rsidRPr="00000000">
        <w:rPr>
          <w:rFonts w:ascii="Arial" w:cs="Arial" w:eastAsia="Arial" w:hAnsi="Arial"/>
          <w:sz w:val="24"/>
          <w:szCs w:val="24"/>
          <w:rtl w:val="0"/>
        </w:rPr>
        <w:t xml:space="preserve">: La Organización Mundial de la Salud (OMS) define la diarrea como la deposición de tres o más heces sueltas o líquidas en 24 horas, o con una frecuencia mayor a la normal para cada persona. La diarrea suele ser un síntoma de infección en el tracto digestivo, ocasionada por diversos organismos bacterianos, víricos y parásitos. Es importante destacar que la deposición frecuente de heces formes (de consistencia sólida) no se considera diarrea, ni tampoco la deposición de heces de consistencia suelta y pastosa en bebés amamantados.</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Diarrea acuosa</w:t>
      </w:r>
      <w:r w:rsidDel="00000000" w:rsidR="00000000" w:rsidRPr="00000000">
        <w:rPr>
          <w:rFonts w:ascii="Arial" w:cs="Arial" w:eastAsia="Arial" w:hAnsi="Arial"/>
          <w:sz w:val="24"/>
          <w:szCs w:val="24"/>
          <w:rtl w:val="0"/>
        </w:rPr>
        <w:t xml:space="preserve">: Corresponde a la diarrea en la que las deposiciones son líquidas o acuosas, sin presencia de sangre macroscópicamente visible. La OMS la describe como "diarrea líquida aguda, que dura varias horas o días". Sus principales agentes etiológicos incluyen rotavirus, Escherichia coli enterotoxigénica (ETEC), Vibrio cholerae, Cryptosporidium y norovirus, entre otros. La diarrea acuosa puede llevar rápidamente a deshidratación grave si no se maneja oportunamente.</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Diarrea disenteriforme o sanguinolenta: </w:t>
      </w:r>
      <w:r w:rsidDel="00000000" w:rsidR="00000000" w:rsidRPr="00000000">
        <w:rPr>
          <w:rFonts w:ascii="Arial" w:cs="Arial" w:eastAsia="Arial" w:hAnsi="Arial"/>
          <w:sz w:val="24"/>
          <w:szCs w:val="24"/>
          <w:rtl w:val="0"/>
        </w:rPr>
        <w:t xml:space="preserve">Definida por la OMS como diarrea con sangre macroscópicamente evidente, también llamada disentería. Se caracteriza por la presencia de sangre visible en las heces, acompañada frecuentemente de moco y pus. Las deposiciones suelen ser de menor volumen y más frecuentes que en la diarrea acuosa. Los agentes causales más comunes incluyen Shigella (especialmente S. flexneri en la región de las Américas), Salmonella no tifoidea, E. coli enteroinvasiva (EIEC), E. coli enterohemorrágica (EHEC), Campylobacter y Entamoeba histolytica. La presencia de sangre en heces constituye un signo de alarma que obliga a una evaluación cuidadosa.</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Síndrome Urémico Hemolítico (SUH): </w:t>
      </w:r>
      <w:r w:rsidDel="00000000" w:rsidR="00000000" w:rsidRPr="00000000">
        <w:rPr>
          <w:rFonts w:ascii="Arial" w:cs="Arial" w:eastAsia="Arial" w:hAnsi="Arial"/>
          <w:sz w:val="24"/>
          <w:szCs w:val="24"/>
          <w:rtl w:val="0"/>
        </w:rPr>
        <w:t xml:space="preserve">El síndrome urémico hemolítico es una enfermedad grave que se caracteriza por la presencia simultánea de tres hallazgos: anemia hemolítica microangiopática (destrucción de glóbulos rojos), trombocitopenia (disminución de plaquetas) e insuficiencia renal aguda. Suele ocurrir como complicación de una infección gastrointestinal por cepas de E. coli productoras de toxina Shiga (STEC), especialmente el serotipo O157:H7, aunque también puede ser causado por Shigella dysenteriae. El SUH constituye una emergencia médica que requiere manejo hospitalario especializado y puede dejar secuelas renales permanentes o ser fatal si no se reconoce y trata a tiempo.</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Deshidratación grave (según clasificación OMS/AIEPI):</w:t>
      </w:r>
      <w:r w:rsidDel="00000000" w:rsidR="00000000" w:rsidRPr="00000000">
        <w:rPr>
          <w:rFonts w:ascii="Arial" w:cs="Arial" w:eastAsia="Arial" w:hAnsi="Arial"/>
          <w:sz w:val="24"/>
          <w:szCs w:val="24"/>
          <w:rtl w:val="0"/>
        </w:rPr>
        <w:t xml:space="preserve"> La OMS, a través de la estrategia AIEPI (Atención Integrada a las Enfermedades Prevalentes de la Infancia), clasifica el estado de hidratación de los niños con diarrea en tres categorías: sin deshidratación, con alguna deshidratación y con deshidratación grave.</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deshidratación grave se define por la presencia de dos o más de los siguientes signos:</w:t>
      </w:r>
    </w:p>
    <w:tbl>
      <w:tblPr>
        <w:tblStyle w:val="Table1"/>
        <w:tblW w:w="8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3"/>
        <w:gridCol w:w="4446"/>
        <w:tblGridChange w:id="0">
          <w:tblGrid>
            <w:gridCol w:w="3913"/>
            <w:gridCol w:w="4446"/>
          </w:tblGrid>
        </w:tblGridChange>
      </w:tblGrid>
      <w:tr>
        <w:trPr>
          <w:cantSplit w:val="0"/>
          <w:tblHeader w:val="0"/>
        </w:trPr>
        <w:tc>
          <w:tcPr/>
          <w:p w:rsidR="00000000" w:rsidDel="00000000" w:rsidP="00000000" w:rsidRDefault="00000000" w:rsidRPr="00000000" w14:paraId="0000005E">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Signo </w:t>
            </w:r>
          </w:p>
        </w:tc>
        <w:tc>
          <w:tcPr/>
          <w:p w:rsidR="00000000" w:rsidDel="00000000" w:rsidP="00000000" w:rsidRDefault="00000000" w:rsidRPr="00000000" w14:paraId="0000005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Descripción </w:t>
            </w:r>
          </w:p>
        </w:tc>
      </w:tr>
      <w:tr>
        <w:trPr>
          <w:cantSplit w:val="0"/>
          <w:tblHeader w:val="0"/>
        </w:trPr>
        <w:tc>
          <w:tcPr/>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Letargia o pérdida de conciencia </w:t>
            </w:r>
          </w:p>
        </w:tc>
        <w:tc>
          <w:tcPr/>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niño se encuentra somnoliento, difícil de despertar o inconsciente. </w:t>
            </w:r>
          </w:p>
        </w:tc>
      </w:tr>
      <w:tr>
        <w:trPr>
          <w:cantSplit w:val="0"/>
          <w:tblHeader w:val="0"/>
        </w:trPr>
        <w:tc>
          <w:tcPr/>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Ojos hundidos </w:t>
            </w:r>
          </w:p>
        </w:tc>
        <w:tc>
          <w:tcPr/>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Signo de pérdida significativa de líquido en el compartimento extracelular. </w:t>
            </w:r>
          </w:p>
        </w:tc>
      </w:tr>
      <w:tr>
        <w:trPr>
          <w:cantSplit w:val="0"/>
          <w:tblHeader w:val="0"/>
        </w:trPr>
        <w:tc>
          <w:tcPr/>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Incapacidad para beber o beber mal </w:t>
            </w:r>
          </w:p>
        </w:tc>
        <w:tc>
          <w:tcPr/>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niño no puede ingerir líquidos o lo hace con mucha dificultad. </w:t>
            </w:r>
          </w:p>
        </w:tc>
      </w:tr>
      <w:tr>
        <w:trPr>
          <w:cantSplit w:val="0"/>
          <w:tblHeader w:val="0"/>
        </w:trPr>
        <w:tc>
          <w:tcPr/>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Pliegue cutáneo que vuelve muy lentamente </w:t>
            </w:r>
          </w:p>
        </w:tc>
        <w:tc>
          <w:tcPr/>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 pellizcar la piel del abdomen, el pliegue tarda 2 segundos o más en regresar a su posición normal. </w:t>
            </w:r>
          </w:p>
        </w:tc>
      </w:tr>
    </w:tbl>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Adicionalmente, la deshidratación grave se asocia con inestabilidad hemodinámica, que puede manifestarse como taquicardia, hipotensión y tiempo de relleno capilar prolongado. La pérdida de peso en estos casos suele ser superior al 10% del peso corporal. Los niños con deshidratación grave requieren rehidratación intravenosa urgente y, en el contexto de la telemedicina, constituyen un criterio de remisión inmediata a un centro hospitalario.</w:t>
      </w:r>
    </w:p>
    <w:p w:rsidR="00000000" w:rsidDel="00000000" w:rsidP="00000000" w:rsidRDefault="00000000" w:rsidRPr="00000000" w14:paraId="0000006A">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B">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Operativo y clínico telesalud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315658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MANIFESTACIONES CLÍNICAS</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enfermedad diarreica aguda (EDA) se presenta clínicamente con un espectro variable de gravedad, que va desde episodios autolimitados de deposiciones líquidas hasta cuadros de deshidratación severa, compromiso sistémico y complicaciones potencialmente mortales. Su correcta caracterización es el primer paso para definir la conducta terapéutica y el nivel de atención requerido.</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la diarrea según duración</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Diarrea aguda (&lt; 14 días): es la forma más frecuente y se divide en dos tipos clínicos fundamentales:</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Diarrea acuosa: deposiciones líquidas sin sangre visible, generalmente de origen viral o bacteriano enterotoxigénico (rotavirus, ETEC, Vibrio cholerae, norovirus, Cryptosporidium). Predomina la pérdida de agua y electrolitos, con riesgo de deshidratación rápida.</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Diarrea sanguinolenta (disenteriforme): deposiciones con sangre macroscópicamente visible, acompañada de moco y pujo. Indica invasión de la mucosa intestinal por patógenos como Shigella, Salmonella no tifoidea, EIEC, EHEC, Campylobacter o Entamoeba histolytica. Asocia mayor riesgo de complicaciones sistémicas y síndrome urémico hemolítico (SUH).</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Diarrea persistente (&gt; 14 días): constituye un desafío diagnóstico y terapéutico, ya que puede desencadenar desnutrición, déficit de micronutrientes y mayor mortalidad. Suele tener etiología mixta (infecciosa, posinfecciosa, alergia o malabsorción).</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Deshidratación y alteraciones hidroelectrolíticas</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deshidratación (DHT) es la principal causa de muerte asociada a la EDA, y su subestimación en condiciones de recursos limitados incrementa dramáticamente la letalidad. La pérdida de agua y electrolitos (sodio, potasio, bicarbonato) puede llevar a acidosis metabólica, shock hipovolémico y falla multiorgánica. La evaluación precisa del estado de hidratación es, por tanto, el eje central del abordaje inicial.</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diarrea persistente puede precipitar o agravar la desnutrición (DNT). En niños con desnutrición severa (especialmente kwashiorkor), la mortalidad asociada a un episodio de EDA puede alcanzar el 50%. Además, la desnutrición severa puede enmascarar los hallazgos clínicos de deshidratación (por ejemplo, el edema oculta la pérdida de peso, y la piel con pliegue lento puede ser propia de la desnutrición y no reflejar deshidratación), lo que exige una interpretación cuidadosa de los signos. Asimismo, los niños con diarrea crónica son vulnerables al déficit de vitamina A, que sumado a una infección por sarampión puede ocasionar ceguera permanente.</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Compromiso del sistema nervioso central (SNC)</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manifestaciones neurológicas pueden presentarse en el contexto de una EDA por varias razones:</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Infección invasiva por patógenos como Salmonella o Shigella, que pueden causar meningitis, encefalopatía o sepsis.</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Alteraciones hidroelectrolíticas graves (hiponatremia, hipernatremia, hipoglucemia) que cursan con irritabilidad, letargo o coma.</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Complicación de una meningitis bacteriana primaria que cursa con diarrea como síntoma acompañante.</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CLÍNICA</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clínica debe ser sistemática y priorizar la identificación de signos de alarma que orienten la urgencia de la atención. En el contexto de telemedicina, el profesional debe guiar al médico tratante para realizar una anamnesis detallada y una exploración física dirigida, utilizando recursos visuales y preguntas estructuradas.</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del estado de hidratación (según OMS/AIEPI)</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buscar los siguientes signos para clasificar al niño en una de tres categorías:</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tbl>
      <w:tblPr>
        <w:tblStyle w:val="Table2"/>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5"/>
        <w:gridCol w:w="1924"/>
        <w:gridCol w:w="1924"/>
        <w:gridCol w:w="2644"/>
        <w:tblGridChange w:id="0">
          <w:tblGrid>
            <w:gridCol w:w="2575"/>
            <w:gridCol w:w="1924"/>
            <w:gridCol w:w="1924"/>
            <w:gridCol w:w="2644"/>
          </w:tblGrid>
        </w:tblGridChange>
      </w:tblGrid>
      <w:tr>
        <w:trPr>
          <w:cantSplit w:val="0"/>
          <w:tblHeader w:val="0"/>
        </w:trPr>
        <w:tc>
          <w:tcPr/>
          <w:p w:rsidR="00000000" w:rsidDel="00000000" w:rsidP="00000000" w:rsidRDefault="00000000" w:rsidRPr="00000000" w14:paraId="0000008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Signo </w:t>
            </w:r>
          </w:p>
        </w:tc>
        <w:tc>
          <w:tcPr/>
          <w:p w:rsidR="00000000" w:rsidDel="00000000" w:rsidP="00000000" w:rsidRDefault="00000000" w:rsidRPr="00000000" w14:paraId="0000008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Sin deshidratación </w:t>
            </w:r>
          </w:p>
        </w:tc>
        <w:tc>
          <w:tcPr/>
          <w:p w:rsidR="00000000" w:rsidDel="00000000" w:rsidP="00000000" w:rsidRDefault="00000000" w:rsidRPr="00000000" w14:paraId="0000008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Con alguna deshidratación </w:t>
            </w:r>
          </w:p>
        </w:tc>
        <w:tc>
          <w:tcPr/>
          <w:p w:rsidR="00000000" w:rsidDel="00000000" w:rsidP="00000000" w:rsidRDefault="00000000" w:rsidRPr="00000000" w14:paraId="0000008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Deshidratación grave </w:t>
            </w:r>
          </w:p>
        </w:tc>
      </w:tr>
      <w:tr>
        <w:trPr>
          <w:cantSplit w:val="0"/>
          <w:tblHeader w:val="0"/>
        </w:trPr>
        <w:tc>
          <w:tcPr/>
          <w:p w:rsidR="00000000" w:rsidDel="00000000" w:rsidP="00000000" w:rsidRDefault="00000000" w:rsidRPr="00000000" w14:paraId="0000008D">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Estado general </w:t>
            </w:r>
          </w:p>
        </w:tc>
        <w:tc>
          <w:tcPr/>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Alerta, activo </w:t>
            </w:r>
          </w:p>
        </w:tc>
        <w:tc>
          <w:tcPr/>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Inquieto, irritable </w:t>
            </w:r>
          </w:p>
        </w:tc>
        <w:tc>
          <w:tcPr/>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Letárgico o inconsciente </w:t>
            </w:r>
          </w:p>
        </w:tc>
      </w:tr>
      <w:tr>
        <w:trPr>
          <w:cantSplit w:val="0"/>
          <w:tblHeader w:val="0"/>
        </w:trPr>
        <w:tc>
          <w:tcPr/>
          <w:p w:rsidR="00000000" w:rsidDel="00000000" w:rsidP="00000000" w:rsidRDefault="00000000" w:rsidRPr="00000000" w14:paraId="00000091">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Ojos </w:t>
            </w:r>
          </w:p>
        </w:tc>
        <w:tc>
          <w:tcPr/>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Normales </w:t>
            </w:r>
          </w:p>
        </w:tc>
        <w:tc>
          <w:tcPr/>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Hundidos </w:t>
            </w:r>
          </w:p>
        </w:tc>
        <w:tc>
          <w:tcPr/>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Muy hundidos </w:t>
            </w:r>
          </w:p>
        </w:tc>
      </w:tr>
      <w:tr>
        <w:trPr>
          <w:cantSplit w:val="0"/>
          <w:tblHeader w:val="0"/>
        </w:trPr>
        <w:tc>
          <w:tcPr/>
          <w:p w:rsidR="00000000" w:rsidDel="00000000" w:rsidP="00000000" w:rsidRDefault="00000000" w:rsidRPr="00000000" w14:paraId="00000095">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Sed / capacidad de beber </w:t>
            </w:r>
          </w:p>
        </w:tc>
        <w:tc>
          <w:tcPr/>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Bebe normalmente, no tiene sed </w:t>
            </w:r>
          </w:p>
        </w:tc>
        <w:tc>
          <w:tcPr/>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Bebe con avidez, tiene sed </w:t>
            </w:r>
          </w:p>
        </w:tc>
        <w:tc>
          <w:tcPr/>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 puede beber o bebe mal </w:t>
            </w:r>
          </w:p>
        </w:tc>
      </w:tr>
      <w:tr>
        <w:trPr>
          <w:cantSplit w:val="0"/>
          <w:tblHeader w:val="0"/>
        </w:trPr>
        <w:tc>
          <w:tcPr/>
          <w:p w:rsidR="00000000" w:rsidDel="00000000" w:rsidP="00000000" w:rsidRDefault="00000000" w:rsidRPr="00000000" w14:paraId="00000099">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Pliegue cutáneo (abdomen) </w:t>
            </w:r>
          </w:p>
        </w:tc>
        <w:tc>
          <w:tcPr/>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Vuelve rápidamente </w:t>
            </w:r>
          </w:p>
        </w:tc>
        <w:tc>
          <w:tcPr/>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Vuelve lentamente (&lt; 2 seg) </w:t>
            </w:r>
          </w:p>
        </w:tc>
        <w:tc>
          <w:tcPr/>
          <w:p w:rsidR="00000000" w:rsidDel="00000000" w:rsidP="00000000" w:rsidRDefault="00000000" w:rsidRPr="00000000" w14:paraId="0000009C">
            <w:pPr>
              <w:jc w:val="both"/>
              <w:rPr>
                <w:rFonts w:ascii="Arial" w:cs="Arial" w:eastAsia="Arial" w:hAnsi="Arial"/>
                <w:sz w:val="24"/>
                <w:szCs w:val="24"/>
              </w:rPr>
            </w:pPr>
            <w:sdt>
              <w:sdtPr>
                <w:id w:val="1850117717"/>
                <w:tag w:val="goog_rdk_0"/>
              </w:sdtPr>
              <w:sdtContent>
                <w:r w:rsidDel="00000000" w:rsidR="00000000" w:rsidRPr="00000000">
                  <w:rPr>
                    <w:rFonts w:ascii="Arial Unicode MS" w:cs="Arial Unicode MS" w:eastAsia="Arial Unicode MS" w:hAnsi="Arial Unicode MS"/>
                    <w:sz w:val="24"/>
                    <w:szCs w:val="24"/>
                    <w:rtl w:val="0"/>
                  </w:rPr>
                  <w:t xml:space="preserve"> Vuelve muy lentamente (≥ 2 seg) </w:t>
                </w:r>
              </w:sdtContent>
            </w:sdt>
          </w:p>
        </w:tc>
      </w:tr>
    </w:tbl>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Clasificación final (se toma la categoría más grave presente):</w:t>
      </w:r>
    </w:p>
    <w:p w:rsidR="00000000" w:rsidDel="00000000" w:rsidP="00000000" w:rsidRDefault="00000000" w:rsidRPr="00000000" w14:paraId="0000009F">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Sin deshidratación: ningún signo de los anteriores.</w:t>
      </w:r>
    </w:p>
    <w:p w:rsidR="00000000" w:rsidDel="00000000" w:rsidP="00000000" w:rsidRDefault="00000000" w:rsidRPr="00000000" w14:paraId="000000A0">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Alguna deshidratación: dos o más signos de la columna "con alguna deshidratación".</w:t>
      </w:r>
    </w:p>
    <w:p w:rsidR="00000000" w:rsidDel="00000000" w:rsidP="00000000" w:rsidRDefault="00000000" w:rsidRPr="00000000" w14:paraId="000000A1">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Deshidratación grave: dos o más signos de la columna "deshidratación grave" (incluye letargo o incapacidad para beber).</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telemedicina, se debe entrenar al cuidador para identificar estos signos mediante la observación directa y el envío de fotografías o videos (con el consentimiento adecuado), siempre que sea posible.</w:t>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del estado nutricional</w:t>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calcular el peso para la edad y la talla para la edad, o la relación peso/talla, utilizando las curvas de crecimiento de la OMS. La clasificación antropométrica permite identificar desnutrición aguda (emaciación: peso/talla &lt; -2 DE) o crónica (talla/edad &lt; -2 DE). En niños con desnutrición severa (peso/talla &lt; -3 DE o edema nutricional), el manejo debe ser particularmente cuidadoso y, por lo general, requiere referencia hospitalaria.</w:t>
      </w:r>
    </w:p>
    <w:p w:rsidR="00000000" w:rsidDel="00000000" w:rsidP="00000000" w:rsidRDefault="00000000" w:rsidRPr="00000000" w14:paraId="000000A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Examen físico dirigido (por telemedicina o presencial)</w:t>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Temperatura: fiebre &gt; 38.5°C sugiere etiología bacteriana invasiva o infección sistémica.</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Frecuencia respiratoria: taquipnea puede ser signo de deshidratación grave (acidosis metabólica compensatoria) o de neumonía asociada.</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Examen abdominal: buscar distensión, dolor a la palpación, rigidez o signos de irritación peritoneal que orienten a patología quirúrgica (apendicitis, invaginación, obstrucción).</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Examen neurológico: evaluar estado de conciencia, irritabilidad, fontanela (en lactantes) y signos meníngeos.</w:t>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Examen ocular: buscar sequedad, manchas de Bitot o xeroftalmia, que indican déficit de vitamina A.</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DIAGNÓSTICA</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entorno rural y con telemedicina, los estudios diagnósticos deben solicitarse de manera selectiva, priorizando aquellos que cambien la conducta terapéutica.</w:t>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Coprocultivo: es el diagnóstico definitivo para las causas bacterianas de gastroenteritis, especialmente en casos de diarrea sanguinolenta, sospecha de shigelosis, salmonelosis o cólera. La toma de muestra debe realizarse antes de iniciar antibióticos y enviarse al laboratorio de referencia, lo cual puede coordinarse con la red local de salud.</w:t>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Examen coproscópico (parasitológico): permite identificar </w:t>
      </w:r>
      <w:r w:rsidDel="00000000" w:rsidR="00000000" w:rsidRPr="00000000">
        <w:rPr>
          <w:rFonts w:ascii="Arial" w:cs="Arial" w:eastAsia="Arial" w:hAnsi="Arial"/>
          <w:i w:val="1"/>
          <w:iCs w:val="1"/>
          <w:sz w:val="24"/>
          <w:szCs w:val="24"/>
          <w:rtl w:val="0"/>
        </w:rPr>
        <w:t xml:space="preserve">Entamoeba histolytica</w:t>
      </w:r>
      <w:r w:rsidDel="00000000" w:rsidR="00000000" w:rsidRPr="00000000">
        <w:rPr>
          <w:rFonts w:ascii="Arial" w:cs="Arial" w:eastAsia="Arial" w:hAnsi="Arial"/>
          <w:sz w:val="24"/>
          <w:szCs w:val="24"/>
          <w:rtl w:val="0"/>
        </w:rPr>
        <w:t xml:space="preserve"> (quistes o trofozoítos) y otros parásitos, siendo el diagnóstico definitivo en amebiasis intestinal.</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Otros estudios (según disponibilidad): electrolitos séricos, glucemia, función renal y hemograma en casos graves o con sospecha de SHU.</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telemedicina, el profesional debe indicar claramente al cuidador o al personal de salud local cómo tomar, conservar y transportar las muestras, y establecer canales para la recepción de resultados.</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MÉDICO</w:t>
      </w:r>
    </w:p>
    <w:p w:rsidR="00000000" w:rsidDel="00000000" w:rsidP="00000000" w:rsidRDefault="00000000" w:rsidRPr="00000000" w14:paraId="000000B6">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Líquidos y electrolitos</w:t>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terapia de rehidratación oral (TRO) con sales de rehidratación oral (SRO) de baja osmolaridad es el pilar del manejo de la EDA. Se distinguen dos fases:</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Fase de reemplazo: tiene como objetivo corregir los déficits de agua y electrolitos en un periodo de 1 a 4 horas, hasta restaurar los signos vitales normales y la hidratación clínica.</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Fase de mantenimiento: una vez corregida la deshidratación, se continúa con aportes basales más las pérdidas continuas hasta la resolución de la diarrea.</w:t>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ind w:left="708"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Estrategia de rehidratación según la OMS (Planes A, B y C): </w:t>
      </w:r>
    </w:p>
    <w:p w:rsidR="00000000" w:rsidDel="00000000" w:rsidP="00000000" w:rsidRDefault="00000000" w:rsidRPr="00000000" w14:paraId="000000BC">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Plan A (ausencia de deshidratación – pérdidas &lt; 5%)</w:t>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Indicación: niños sin signos de deshidratación, que se encuentran alerta y beben adecuadamente.</w:t>
      </w:r>
    </w:p>
    <w:p w:rsidR="00000000" w:rsidDel="00000000" w:rsidP="00000000" w:rsidRDefault="00000000" w:rsidRPr="00000000" w14:paraId="000000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Conducta: no se requiere fase de reemplazo; se inicia directamente la fase de mantenimiento. Se debe verificar la tolerancia a la vía oral y, si es adecuada, se puede redireccionar al manejo en el hogar con supervisión.</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Dosis de SRO en mantenimiento:</w:t>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&lt; 2 años: 50 – 100 ml de SRO por cada deposición diarreica.</w:t>
      </w:r>
    </w:p>
    <w:p w:rsidR="00000000" w:rsidDel="00000000" w:rsidP="00000000" w:rsidRDefault="00000000" w:rsidRPr="00000000" w14:paraId="000000C1">
      <w:pPr>
        <w:jc w:val="both"/>
        <w:rPr>
          <w:rFonts w:ascii="Arial" w:cs="Arial" w:eastAsia="Arial" w:hAnsi="Arial"/>
          <w:sz w:val="24"/>
          <w:szCs w:val="24"/>
        </w:rPr>
      </w:pPr>
      <w:sdt>
        <w:sdtPr>
          <w:id w:val="286059869"/>
          <w:tag w:val="goog_rdk_1"/>
        </w:sdtPr>
        <w:sdtContent>
          <w:r w:rsidDel="00000000" w:rsidR="00000000" w:rsidRPr="00000000">
            <w:rPr>
              <w:rFonts w:ascii="Arial Unicode MS" w:cs="Arial Unicode MS" w:eastAsia="Arial Unicode MS" w:hAnsi="Arial Unicode MS"/>
              <w:sz w:val="24"/>
              <w:szCs w:val="24"/>
              <w:rtl w:val="0"/>
            </w:rPr>
            <w:t xml:space="preserve"> - ≥ 2 años: 100 – 200 ml de SRO por cada deposición diarreica.</w:t>
          </w:r>
        </w:sdtContent>
      </w:sdt>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Además: se debe indicar continuar con la alimentación habitual y ofrecer líquidos adicionales (agua, caldos, jugos sin azúcar). El seguimiento por telemedicina debe realizarse en 24-48 horas para evaluar evolución.</w:t>
      </w:r>
    </w:p>
    <w:p w:rsidR="00000000" w:rsidDel="00000000" w:rsidP="00000000" w:rsidRDefault="00000000" w:rsidRPr="00000000" w14:paraId="000000C3">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Plan B (alguna deshidratación – pérdidas entre 5 y 10%)</w:t>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Indicación: niños con dos o más signos de deshidratación (excepto los de deshidratación grave), pero que pueden beber.</w:t>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Conducta: manejo con SRO, preferiblemente en un entorno con supervisión sanitaria (puesto de salud o con apoyo presencial). Si el niño se encuentra en zona rural, se puede iniciar en casa con SRO bajo estricta guía telefónica o por videollamada, pero debe asegurarse la posibilidad de traslado inmediato si no tolera.</w:t>
      </w:r>
    </w:p>
    <w:p w:rsidR="00000000" w:rsidDel="00000000" w:rsidP="00000000" w:rsidRDefault="00000000" w:rsidRPr="00000000" w14:paraId="000000C6">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Fase de reemplazo:</w:t>
      </w:r>
    </w:p>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Calcular el déficit: 75 ml/kg de peso (para niños con alguna deshidratación) administrados en 4 horas.</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Adicionalmente, reponer 10-20 ml/kg por cada deposición líquida.</w:t>
      </w:r>
    </w:p>
    <w:p w:rsidR="00000000" w:rsidDel="00000000" w:rsidP="00000000" w:rsidRDefault="00000000" w:rsidRPr="00000000" w14:paraId="000000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La fase de reemplazo se continúa hasta la resolución de los signos de deshidratación y la aparición de diuresis; puede requerir un aporte hídrico mayor al planeado si persiste el gasto fecal elevado.</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 Fase de mantenimiento:</w:t>
      </w:r>
      <w:r w:rsidDel="00000000" w:rsidR="00000000" w:rsidRPr="00000000">
        <w:rPr>
          <w:rFonts w:ascii="Arial" w:cs="Arial" w:eastAsia="Arial" w:hAnsi="Arial"/>
          <w:sz w:val="24"/>
          <w:szCs w:val="24"/>
          <w:rtl w:val="0"/>
        </w:rPr>
        <w:t xml:space="preserve"> una vez corregida la deshidratación, continuar con SRO según el esquema del Plan A.</w:t>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Criterios de fracaso (indicación de pasar a Plan C o vía intravenosa):</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Alto gasto fecal persistente (&gt; 15 ml/kg/hora) a pesar de TRO.</w:t>
      </w:r>
    </w:p>
    <w:p w:rsidR="00000000" w:rsidDel="00000000" w:rsidP="00000000" w:rsidRDefault="00000000" w:rsidRPr="00000000" w14:paraId="000000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Intolerancia manifiesta a la vía oral (&gt; 3 emesis en una hora).</w:t>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Deterioro clínico o desarrollo de signos de deshidratación grave.</w:t>
      </w:r>
    </w:p>
    <w:p w:rsidR="00000000" w:rsidDel="00000000" w:rsidP="00000000" w:rsidRDefault="00000000" w:rsidRPr="00000000" w14:paraId="000000CF">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Plan C (deshidratación grave – pérdidas &gt; 10%)</w:t>
      </w:r>
    </w:p>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Indicación: niños con deshidratación grave (dos o más signos) o que no pueden beber. Constituye una emergencia médica .</w:t>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Conducta: requiere manejo con líquidos endovenosos (LEV) según el algoritmo de la OMS. La rehidratación intravenosa debe realizarse en un hospital con capacidad de monitorización. En telemedicina, el profesional debe:</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Identificar los signos de deshidratación grave y activar la ruta de remisión urgente.</w:t>
      </w:r>
    </w:p>
    <w:p w:rsidR="00000000" w:rsidDel="00000000" w:rsidP="00000000" w:rsidRDefault="00000000" w:rsidRPr="00000000" w14:paraId="000000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Coordinar el traslado al centro de salud más cercano con capacidad de manejo intravenoso.</w:t>
      </w:r>
    </w:p>
    <w:p w:rsidR="00000000" w:rsidDel="00000000" w:rsidP="00000000" w:rsidRDefault="00000000" w:rsidRPr="00000000" w14:paraId="000000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Brindar instrucciones al cuidador para la vía oral (si es posible) mientras se realiza el traslado (SRO a sorbos, si el niño está consciente).</w:t>
      </w:r>
    </w:p>
    <w:p w:rsidR="00000000" w:rsidDel="00000000" w:rsidP="00000000" w:rsidRDefault="00000000" w:rsidRPr="00000000" w14:paraId="000000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Realizar seguimiento telefónico hasta la llegada al hospital.</w:t>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Antibióticos</w:t>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antibióticos en la EDA debe ser restringido, ya que la mayoría de los episodios son de etiología viral y no se benefician de ellos. Su indicación se basa en la sospecha de patógenos específicos.</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Diarrea acuosa: solo se justifica el cubrimiento antibiótico en casos de cólera (sospecha clínica o confirmación por coprocultivo). En los demás casos, no hay ventaja clínica y su uso puede favorecer la resistencia bacteriana.</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Diarrea invasiva (sanguinolenta): se debe iniciar tratamiento empírico para shigelosis (el agente más frecuente en nuestra región) según los siguientes esquemas, ajustados por edad y estado del paciente:</w:t>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tl w:val="0"/>
        </w:rPr>
      </w:r>
    </w:p>
    <w:tbl>
      <w:tblPr>
        <w:tblStyle w:val="Table3"/>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685"/>
        <w:gridCol w:w="1276"/>
        <w:gridCol w:w="1559"/>
        <w:tblGridChange w:id="0">
          <w:tblGrid>
            <w:gridCol w:w="2122"/>
            <w:gridCol w:w="3685"/>
            <w:gridCol w:w="1276"/>
            <w:gridCol w:w="1559"/>
          </w:tblGrid>
        </w:tblGridChange>
      </w:tblGrid>
      <w:tr>
        <w:trPr>
          <w:cantSplit w:val="0"/>
          <w:tblHeader w:val="0"/>
        </w:trPr>
        <w:tc>
          <w:tcPr/>
          <w:p w:rsidR="00000000" w:rsidDel="00000000" w:rsidP="00000000" w:rsidRDefault="00000000" w:rsidRPr="00000000" w14:paraId="000000D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Medicamento </w:t>
            </w:r>
          </w:p>
        </w:tc>
        <w:tc>
          <w:tcPr/>
          <w:p w:rsidR="00000000" w:rsidDel="00000000" w:rsidP="00000000" w:rsidRDefault="00000000" w:rsidRPr="00000000" w14:paraId="000000D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Dosis </w:t>
            </w:r>
          </w:p>
        </w:tc>
        <w:tc>
          <w:tcPr/>
          <w:p w:rsidR="00000000" w:rsidDel="00000000" w:rsidP="00000000" w:rsidRDefault="00000000" w:rsidRPr="00000000" w14:paraId="000000DE">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Vía </w:t>
            </w:r>
          </w:p>
        </w:tc>
        <w:tc>
          <w:tcPr/>
          <w:p w:rsidR="00000000" w:rsidDel="00000000" w:rsidP="00000000" w:rsidRDefault="00000000" w:rsidRPr="00000000" w14:paraId="000000D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Duración </w:t>
            </w:r>
          </w:p>
        </w:tc>
      </w:tr>
      <w:tr>
        <w:trPr>
          <w:cantSplit w:val="0"/>
          <w:tblHeader w:val="0"/>
        </w:trPr>
        <w:tc>
          <w:tcPr/>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Ceftriaxona </w:t>
            </w:r>
          </w:p>
        </w:tc>
        <w:tc>
          <w:tcPr/>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50 mg/kg/día (máx 2 g) </w:t>
            </w:r>
          </w:p>
        </w:tc>
        <w:tc>
          <w:tcPr/>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IV/IM </w:t>
            </w:r>
          </w:p>
        </w:tc>
        <w:tc>
          <w:tcPr/>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3-5 días </w:t>
            </w:r>
          </w:p>
        </w:tc>
      </w:tr>
      <w:tr>
        <w:trPr>
          <w:cantSplit w:val="0"/>
          <w:tblHeader w:val="0"/>
        </w:trPr>
        <w:tc>
          <w:tcPr/>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Ciprofloxacina </w:t>
            </w:r>
          </w:p>
        </w:tc>
        <w:tc>
          <w:tcPr/>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15 mg/kg/día cada 12 h (máx 1 g/día) </w:t>
            </w:r>
          </w:p>
        </w:tc>
        <w:tc>
          <w:tcPr/>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IV u oral </w:t>
            </w:r>
          </w:p>
        </w:tc>
        <w:tc>
          <w:tcPr/>
          <w:p w:rsidR="00000000" w:rsidDel="00000000" w:rsidP="00000000" w:rsidRDefault="00000000" w:rsidRPr="00000000" w14:paraId="000000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3-5 días </w:t>
            </w:r>
          </w:p>
        </w:tc>
      </w:tr>
      <w:tr>
        <w:trPr>
          <w:cantSplit w:val="0"/>
          <w:tblHeader w:val="0"/>
        </w:trPr>
        <w:tc>
          <w:tcPr/>
          <w:p w:rsidR="00000000" w:rsidDel="00000000" w:rsidP="00000000" w:rsidRDefault="00000000" w:rsidRPr="00000000" w14:paraId="000000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Azitromicina </w:t>
            </w:r>
          </w:p>
        </w:tc>
        <w:tc>
          <w:tcPr/>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10 mg/kg/día (máx 500 mg) </w:t>
            </w:r>
          </w:p>
        </w:tc>
        <w:tc>
          <w:tcPr/>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Oral </w:t>
            </w:r>
          </w:p>
        </w:tc>
        <w:tc>
          <w:tcPr/>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 días </w:t>
            </w:r>
          </w:p>
        </w:tc>
      </w:tr>
      <w:tr>
        <w:trPr>
          <w:cantSplit w:val="0"/>
          <w:tblHeader w:val="0"/>
        </w:trPr>
        <w:tc>
          <w:tcPr/>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Ácido nalidíxico </w:t>
            </w:r>
          </w:p>
        </w:tc>
        <w:tc>
          <w:tcPr/>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55 mg/kg/día dividido en 4 dosis </w:t>
            </w:r>
          </w:p>
        </w:tc>
        <w:tc>
          <w:tcPr/>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Oral </w:t>
            </w:r>
          </w:p>
        </w:tc>
        <w:tc>
          <w:tcPr/>
          <w:p w:rsidR="00000000" w:rsidDel="00000000" w:rsidP="00000000" w:rsidRDefault="00000000" w:rsidRPr="00000000" w14:paraId="000000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días </w:t>
            </w:r>
          </w:p>
        </w:tc>
      </w:tr>
      <w:tr>
        <w:trPr>
          <w:cantSplit w:val="0"/>
          <w:tblHeader w:val="0"/>
        </w:trPr>
        <w:tc>
          <w:tcPr/>
          <w:p w:rsidR="00000000" w:rsidDel="00000000" w:rsidP="00000000" w:rsidRDefault="00000000" w:rsidRPr="00000000" w14:paraId="000000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Ampicilina </w:t>
            </w:r>
          </w:p>
        </w:tc>
        <w:tc>
          <w:tcPr/>
          <w:p w:rsidR="00000000" w:rsidDel="00000000" w:rsidP="00000000" w:rsidRDefault="00000000" w:rsidRPr="00000000" w14:paraId="000000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50-100 mg/kg/día cada 6 h </w:t>
            </w:r>
          </w:p>
        </w:tc>
        <w:tc>
          <w:tcPr/>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IV/IM </w:t>
            </w:r>
          </w:p>
        </w:tc>
        <w:tc>
          <w:tcPr/>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días </w:t>
            </w:r>
          </w:p>
        </w:tc>
      </w:tr>
      <w:tr>
        <w:trPr>
          <w:cantSplit w:val="0"/>
          <w:tblHeader w:val="0"/>
        </w:trPr>
        <w:tc>
          <w:tcPr/>
          <w:p w:rsidR="00000000" w:rsidDel="00000000" w:rsidP="00000000" w:rsidRDefault="00000000" w:rsidRPr="00000000" w14:paraId="000000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TMP-SMX </w:t>
            </w:r>
          </w:p>
        </w:tc>
        <w:tc>
          <w:tcPr/>
          <w:p w:rsidR="00000000" w:rsidDel="00000000" w:rsidP="00000000" w:rsidRDefault="00000000" w:rsidRPr="00000000" w14:paraId="000000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8-10 mg/kg/día de TMP (máx 320 mg) </w:t>
            </w:r>
          </w:p>
        </w:tc>
        <w:tc>
          <w:tcPr/>
          <w:p w:rsidR="00000000" w:rsidDel="00000000" w:rsidP="00000000" w:rsidRDefault="00000000" w:rsidRPr="00000000" w14:paraId="000000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Oral </w:t>
            </w:r>
          </w:p>
        </w:tc>
        <w:tc>
          <w:tcPr/>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días </w:t>
            </w:r>
          </w:p>
        </w:tc>
      </w:tr>
    </w:tbl>
    <w:p w:rsidR="00000000" w:rsidDel="00000000" w:rsidP="00000000" w:rsidRDefault="00000000" w:rsidRPr="00000000" w14:paraId="000000F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caso de fracaso del tratamiento inicial (persistencia de fiebre o diarrea sanguinolenta después de 48 horas), se debe cambiar a un antibiótico alternativo de la lista o considerar otras etiologías (amebiasis, EHEC, etc.).</w:t>
      </w:r>
    </w:p>
    <w:p w:rsidR="00000000" w:rsidDel="00000000" w:rsidP="00000000" w:rsidRDefault="00000000" w:rsidRPr="00000000" w14:paraId="000000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Diarrea sanguinolenta con diagnóstico de amebiasis (por coproscópico): metronidazol 35-50 mg/kg/día, dividido en tres dosis, por 7-10 días, vía oral.</w:t>
      </w:r>
    </w:p>
    <w:p w:rsidR="00000000" w:rsidDel="00000000" w:rsidP="00000000" w:rsidRDefault="00000000" w:rsidRPr="00000000" w14:paraId="000000F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Consideración en telemedicina:</w:t>
      </w:r>
      <w:r w:rsidDel="00000000" w:rsidR="00000000" w:rsidRPr="00000000">
        <w:rPr>
          <w:rFonts w:ascii="Arial" w:cs="Arial" w:eastAsia="Arial" w:hAnsi="Arial"/>
          <w:sz w:val="24"/>
          <w:szCs w:val="24"/>
          <w:rtl w:val="0"/>
        </w:rPr>
        <w:t xml:space="preserve"> la prescripción de antibióticos debe basarse en la sospecha clínica, pero siempre que sea posible se debe intentar confirmar con coprocultivo antes de iniciar el tratamiento, especialmente en zonas con alta resistencia. Si el niño está grave y no se puede obtener muestra, se inicia empíricamente y se ajusta luego con el resultado del cultivo.</w:t>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Nutrición</w:t>
      </w:r>
    </w:p>
    <w:p w:rsidR="00000000" w:rsidDel="00000000" w:rsidP="00000000" w:rsidRDefault="00000000" w:rsidRPr="00000000" w14:paraId="000000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aporte nutricional adecuado es fundamental para la recuperación y para prevenir la desnutrición secundaria.</w:t>
      </w:r>
    </w:p>
    <w:p w:rsidR="00000000" w:rsidDel="00000000" w:rsidP="00000000" w:rsidRDefault="00000000" w:rsidRPr="00000000" w14:paraId="000000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Niños sin desnutrición: se debe continuar la alimentación lo más normal posible:</w:t>
      </w:r>
    </w:p>
    <w:p w:rsidR="00000000" w:rsidDel="00000000" w:rsidP="00000000" w:rsidRDefault="00000000" w:rsidRPr="00000000" w14:paraId="000001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Lactantes: aumentar las tomas de leche materna o continuar con la leche de fórmula al menos cada 3 horas. No se debe suspender la lactancia materna en ningún caso.</w:t>
      </w:r>
    </w:p>
    <w:p w:rsidR="00000000" w:rsidDel="00000000" w:rsidP="00000000" w:rsidRDefault="00000000" w:rsidRPr="00000000" w14:paraId="000001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Niños mayores: reiniciar la alimentación habitual tan pronto como se logre la corrección de la deshidratación, distribuida en 6 comidas al día (o más si el niño lo acepta). Se recomienda mantener un aporte energético alto (alimentos ricos en calorías y proteínas) durante al menos dos semanas después de la resolución de la diarrea, para compensar el catabolismo.</w:t>
      </w:r>
    </w:p>
    <w:p w:rsidR="00000000" w:rsidDel="00000000" w:rsidP="00000000" w:rsidRDefault="00000000" w:rsidRPr="00000000" w14:paraId="000001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Niños con desnutrición severa: requieren un manejo especializado con fórmulas terapéuticas (F-75, F-100) y deben ser remitidos a un centro con experiencia en nutrición.</w:t>
      </w:r>
    </w:p>
    <w:p w:rsidR="00000000" w:rsidDel="00000000" w:rsidP="00000000" w:rsidRDefault="00000000" w:rsidRPr="00000000" w14:paraId="000001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Micronutrientes</w:t>
      </w:r>
    </w:p>
    <w:p w:rsidR="00000000" w:rsidDel="00000000" w:rsidP="00000000" w:rsidRDefault="00000000" w:rsidRPr="00000000" w14:paraId="000001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Zinc: se debe administrar a todos los niños con EDA, independientemente de la edad y el estado de hidratación, ya que reduce la duración y la severidad del episodio y disminuye la incidencia de nuevos episodios.</w:t>
      </w:r>
    </w:p>
    <w:p w:rsidR="00000000" w:rsidDel="00000000" w:rsidP="00000000" w:rsidRDefault="00000000" w:rsidRPr="00000000" w14:paraId="00000106">
      <w:pPr>
        <w:jc w:val="both"/>
        <w:rPr>
          <w:rFonts w:ascii="Arial" w:cs="Arial" w:eastAsia="Arial" w:hAnsi="Arial"/>
          <w:sz w:val="24"/>
          <w:szCs w:val="24"/>
        </w:rPr>
      </w:pPr>
      <w:sdt>
        <w:sdtPr>
          <w:id w:val="859191487"/>
          <w:tag w:val="goog_rdk_2"/>
        </w:sdtPr>
        <w:sdtContent>
          <w:r w:rsidDel="00000000" w:rsidR="00000000" w:rsidRPr="00000000">
            <w:rPr>
              <w:rFonts w:ascii="Arial Unicode MS" w:cs="Arial Unicode MS" w:eastAsia="Arial Unicode MS" w:hAnsi="Arial Unicode MS"/>
              <w:sz w:val="24"/>
              <w:szCs w:val="24"/>
              <w:rtl w:val="0"/>
            </w:rPr>
            <w:t xml:space="preserve"> - Dosis: &gt; 6 meses: 10 mg/día (20 mg en niños &gt; 6 meses en algunos esquemas, pero la OMS recomienda 10 mg para &lt; 6 meses y 20 mg para ≥ 6 meses; según consenso local, se usa 10 mg/día por 14 días).</w:t>
          </w:r>
        </w:sdtContent>
      </w:sdt>
    </w:p>
    <w:p w:rsidR="00000000" w:rsidDel="00000000" w:rsidP="00000000" w:rsidRDefault="00000000" w:rsidRPr="00000000" w14:paraId="000001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Vitamina A: en presencia de signos clínicos de deficiencia (xeroftalmia, manchas de Bitot, sequedad ocular) o en niños con diarrea persistente y desnutrición, se debe administrar una dosis única de vitamina A según el esquema de suplementación rutinaria:</w:t>
      </w:r>
    </w:p>
    <w:p w:rsidR="00000000" w:rsidDel="00000000" w:rsidP="00000000" w:rsidRDefault="00000000" w:rsidRPr="00000000" w14:paraId="000001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&lt; 6 meses: 50,000 UI.</w:t>
      </w:r>
    </w:p>
    <w:p w:rsidR="00000000" w:rsidDel="00000000" w:rsidP="00000000" w:rsidRDefault="00000000" w:rsidRPr="00000000" w14:paraId="000001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- 6-11 meses: 100,000 UI.</w:t>
      </w:r>
    </w:p>
    <w:p w:rsidR="00000000" w:rsidDel="00000000" w:rsidP="00000000" w:rsidRDefault="00000000" w:rsidRPr="00000000" w14:paraId="0000010A">
      <w:pPr>
        <w:jc w:val="both"/>
        <w:rPr>
          <w:rFonts w:ascii="Arial" w:cs="Arial" w:eastAsia="Arial" w:hAnsi="Arial"/>
          <w:sz w:val="24"/>
          <w:szCs w:val="24"/>
        </w:rPr>
      </w:pPr>
      <w:sdt>
        <w:sdtPr>
          <w:id w:val="777903889"/>
          <w:tag w:val="goog_rdk_3"/>
        </w:sdtPr>
        <w:sdtContent>
          <w:r w:rsidDel="00000000" w:rsidR="00000000" w:rsidRPr="00000000">
            <w:rPr>
              <w:rFonts w:ascii="Arial Unicode MS" w:cs="Arial Unicode MS" w:eastAsia="Arial Unicode MS" w:hAnsi="Arial Unicode MS"/>
              <w:sz w:val="24"/>
              <w:szCs w:val="24"/>
              <w:rtl w:val="0"/>
            </w:rPr>
            <w:t xml:space="preserve"> - ≥ 12 meses: 200,000 UI.</w:t>
          </w:r>
        </w:sdtContent>
      </w:sdt>
    </w:p>
    <w:p w:rsidR="00000000" w:rsidDel="00000000" w:rsidP="00000000" w:rsidRDefault="00000000" w:rsidRPr="00000000" w14:paraId="000001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Repetir a las 4-6 semanas si hay signos de xeroftalmia.</w:t>
      </w:r>
    </w:p>
    <w:p w:rsidR="00000000" w:rsidDel="00000000" w:rsidP="00000000" w:rsidRDefault="00000000" w:rsidRPr="00000000" w14:paraId="000001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PREVENCIÓN</w:t>
      </w:r>
    </w:p>
    <w:p w:rsidR="00000000" w:rsidDel="00000000" w:rsidP="00000000" w:rsidRDefault="00000000" w:rsidRPr="00000000" w14:paraId="000001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prevención de la EDA y sus complicaciones es un componente esencial del abordaje, especialmente en zonas rurales donde las condiciones de saneamiento e higiene son limitadas.</w:t>
      </w:r>
    </w:p>
    <w:p w:rsidR="00000000" w:rsidDel="00000000" w:rsidP="00000000" w:rsidRDefault="00000000" w:rsidRPr="00000000" w14:paraId="000001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Inmunizaciones: garantizar el esquema completo de vacunación, con énfasis en:</w:t>
      </w:r>
    </w:p>
    <w:p w:rsidR="00000000" w:rsidDel="00000000" w:rsidP="00000000" w:rsidRDefault="00000000" w:rsidRPr="00000000" w14:paraId="00000110">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Sarampión: la infección por sarampión agrava la diarrea y el déficit de vitamina A.</w:t>
      </w:r>
    </w:p>
    <w:p w:rsidR="00000000" w:rsidDel="00000000" w:rsidP="00000000" w:rsidRDefault="00000000" w:rsidRPr="00000000" w14:paraId="00000111">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Rotavirus: vacuna que reduce significativamente la incidencia de diarrea grave por rotavirus.</w:t>
      </w:r>
    </w:p>
    <w:p w:rsidR="00000000" w:rsidDel="00000000" w:rsidP="00000000" w:rsidRDefault="00000000" w:rsidRPr="00000000" w14:paraId="00000112">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Cólera: en áreas endémicas, considerar la vacunación oral.</w:t>
      </w:r>
    </w:p>
    <w:p w:rsidR="00000000" w:rsidDel="00000000" w:rsidP="00000000" w:rsidRDefault="00000000" w:rsidRPr="00000000" w14:paraId="000001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Lactancia materna exclusiva: promover la lactancia materna exclusiva hasta los 6 meses y continuarla de manera complementaria hasta los 2 años, lo que confiere protección inmunológica y nutricional.</w:t>
      </w:r>
    </w:p>
    <w:p w:rsidR="00000000" w:rsidDel="00000000" w:rsidP="00000000" w:rsidRDefault="00000000" w:rsidRPr="00000000" w14:paraId="000001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Higiene: indagar sobre las prácticas de preparación de alimentos, almacenamiento de agua y manejo de excretas. Asesorar al cuidador sobre:</w:t>
      </w:r>
    </w:p>
    <w:p w:rsidR="00000000" w:rsidDel="00000000" w:rsidP="00000000" w:rsidRDefault="00000000" w:rsidRPr="00000000" w14:paraId="000001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Lavado de manos con agua y jabón antes de preparar alimentos y después de ir al baño.</w:t>
      </w:r>
    </w:p>
    <w:p w:rsidR="00000000" w:rsidDel="00000000" w:rsidP="00000000" w:rsidRDefault="00000000" w:rsidRPr="00000000" w14:paraId="000001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Hervir o clorar el agua de consumo.</w:t>
      </w:r>
    </w:p>
    <w:p w:rsidR="00000000" w:rsidDel="00000000" w:rsidP="00000000" w:rsidRDefault="00000000" w:rsidRPr="00000000" w14:paraId="000001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Eliminación segura de heces.</w:t>
      </w:r>
    </w:p>
    <w:p w:rsidR="00000000" w:rsidDel="00000000" w:rsidP="00000000" w:rsidRDefault="00000000" w:rsidRPr="00000000" w14:paraId="000001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Nutrición y suplementación: mantener un estado nutricional adecuado mediante una dieta balanceada y la suplementación rutinaria con vitamina A (cada 6 meses en niños de 6 a 59 meses, según las políticas nacionales).</w:t>
      </w:r>
    </w:p>
    <w:p w:rsidR="00000000" w:rsidDel="00000000" w:rsidP="00000000" w:rsidRDefault="00000000" w:rsidRPr="00000000" w14:paraId="000001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 DE LA TELEMEDICINA EN EL ABORDAJE DE LA EDA EN ZONAS RURALES</w:t>
      </w:r>
    </w:p>
    <w:p w:rsidR="00000000" w:rsidDel="00000000" w:rsidP="00000000" w:rsidRDefault="00000000" w:rsidRPr="00000000" w14:paraId="000001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telemedicina, a través del servicio HUN Digital, permite superar las barreras geográficas y garantizar que niños en áreas apartadas reciban una atención oportuna y de calidad. En el marco de este protocolo, se establecen las siguientes funciones:</w:t>
      </w:r>
    </w:p>
    <w:p w:rsidR="00000000" w:rsidDel="00000000" w:rsidP="00000000" w:rsidRDefault="00000000" w:rsidRPr="00000000" w14:paraId="000001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Triaje y orientación inicial: el profesional de la salud, mediante una consulta por videollamada o telefónica, realizará la anamnesis y guiará al cuidador para la evaluación de signos de deshidratación, utilizando las preguntas estandarizadas del AIEPI. Esto permite clasificar al niño en Plan A, B o C.</w:t>
      </w:r>
    </w:p>
    <w:p w:rsidR="00000000" w:rsidDel="00000000" w:rsidP="00000000" w:rsidRDefault="00000000" w:rsidRPr="00000000" w14:paraId="000001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Prescripción y seguimiento: se indicará el plan de manejo (SRO, zinc, alimentación, antibióticos si aplica) y se coordinará la entrega de medicamentos a través de la red de salud local o farmacias cercanas. Se programará un seguimiento a las 24-48 horas para evaluar la evolución y ajustar el tratamiento.</w:t>
      </w:r>
    </w:p>
    <w:p w:rsidR="00000000" w:rsidDel="00000000" w:rsidP="00000000" w:rsidRDefault="00000000" w:rsidRPr="00000000" w14:paraId="000001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Capacitación del cuidador: se brindará educación en salud sobre signos de alarma (incapacidad para beber, vómito persistente, fiebre alta, sangre en heces, letargo) y se entrenará al cuidador para que reconozca cuándo debe buscar atención presencial de urgencia.</w:t>
      </w:r>
    </w:p>
    <w:p w:rsidR="00000000" w:rsidDel="00000000" w:rsidP="00000000" w:rsidRDefault="00000000" w:rsidRPr="00000000" w14:paraId="000001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Coordinación con la red local: se establecerán canales de comunicación con los puestos de salud, hospitales locales y laboratorios para la toma de muestras, la aplicación de tratamientos intravenosos y la remisión oportuna.</w:t>
      </w:r>
    </w:p>
    <w:p w:rsidR="00000000" w:rsidDel="00000000" w:rsidP="00000000" w:rsidRDefault="00000000" w:rsidRPr="00000000" w14:paraId="000001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Registro y seguimiento de indicadores: se llevará un registro sistemático de los casos atendidos, clasificaciones, planes aplicados y desenlaces, con el fin de evaluar la adherencia al protocolo y el impacto de la telemedicina en la reducción de la morbilidad y mortalidad por EDA.</w:t>
      </w:r>
    </w:p>
    <w:p w:rsidR="00000000" w:rsidDel="00000000" w:rsidP="00000000" w:rsidRDefault="00000000" w:rsidRPr="00000000" w14:paraId="000001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propuesta integra la mejor evidencia disponible con las herramientas de la telemedicina, permitiendo que el Hospital Universitario Nacional cumpla con su misión de llevar atención especializada y oportuna a las poblaciones más vulnerables del país, contribuyendo así a la reducción de la mortalidad infantil y al fortalecimiento de la estrategia AIEPI en todo el territorio colombiano.</w:t>
      </w:r>
    </w:p>
    <w:p w:rsidR="00000000" w:rsidDel="00000000" w:rsidP="00000000" w:rsidRDefault="00000000" w:rsidRPr="00000000" w14:paraId="00000123">
      <w:pPr>
        <w:spacing w:line="276" w:lineRule="auto"/>
        <w:rPr>
          <w:rFonts w:ascii="Arial" w:cs="Arial" w:eastAsia="Arial" w:hAnsi="Arial"/>
          <w:sz w:val="24"/>
          <w:szCs w:val="24"/>
        </w:rPr>
      </w:pPr>
      <w:r w:rsidDel="00000000" w:rsidR="00000000" w:rsidRPr="00000000">
        <w:rPr>
          <w:rtl w:val="0"/>
        </w:rPr>
      </w:r>
    </w:p>
    <w:tbl>
      <w:tblPr>
        <w:tblStyle w:val="Table4"/>
        <w:tblW w:w="8828.0" w:type="dxa"/>
        <w:jc w:val="left"/>
        <w:tblLayout w:type="fixed"/>
        <w:tblLook w:val="0400"/>
      </w:tblPr>
      <w:tblGrid>
        <w:gridCol w:w="988"/>
        <w:gridCol w:w="2648"/>
        <w:gridCol w:w="1741"/>
        <w:gridCol w:w="3451"/>
        <w:tblGridChange w:id="0">
          <w:tblGrid>
            <w:gridCol w:w="988"/>
            <w:gridCol w:w="2648"/>
            <w:gridCol w:w="1741"/>
            <w:gridCol w:w="345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12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Etapa</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2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26">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000000" w:space="0" w:sz="4" w:val="single"/>
              <w:left w:color="000000" w:space="0" w:sz="0" w:val="nil"/>
              <w:bottom w:color="000000" w:space="0" w:sz="4" w:val="single"/>
              <w:right w:color="000000" w:space="0" w:sz="4" w:val="single"/>
            </w:tcBorders>
            <w:shd w:fill="9bc2e6" w:val="clear"/>
          </w:tcPr>
          <w:p w:rsidR="00000000" w:rsidDel="00000000" w:rsidP="00000000" w:rsidRDefault="00000000" w:rsidRPr="00000000" w14:paraId="0000012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B">
            <w:pPr>
              <w:pStyle w:val="Heading2"/>
              <w:numPr>
                <w:ilvl w:val="0"/>
                <w:numId w:val="7"/>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Triage clínico</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clínica inicial</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Determinación diagnostica y estadificación de severidad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1">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derechos</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Diligenciamiento de consentimiento informado para actividades de telemedicina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6">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datos clínicos y paraclínicos relevantes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A">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criterios de elegibilidad para actividades de telemedicina</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historia clínica en HUN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F">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Revisión de información clínica referenciada</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de teleexperticia</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Determinación de conductas médicas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Envió ordenamiento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5">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clínico y de las decisiones tomadas</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Envío de historia clínica y otros soportes relevantes</w:t>
            </w:r>
          </w:p>
        </w:tc>
      </w:tr>
    </w:tbl>
    <w:p w:rsidR="00000000" w:rsidDel="00000000" w:rsidP="00000000" w:rsidRDefault="00000000" w:rsidRPr="00000000" w14:paraId="00000147">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48">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Inclusión / Exclusión telesalud</w:t>
      </w:r>
    </w:p>
    <w:p w:rsidR="00000000" w:rsidDel="00000000" w:rsidP="00000000" w:rsidRDefault="00000000" w:rsidRPr="00000000" w14:paraId="000001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Niños con diarrea aguda sin compromiso del estado de conciencia y cuidadores con acceso a TIC y SRO en casa.</w:t>
      </w:r>
    </w:p>
    <w:p w:rsidR="00000000" w:rsidDel="00000000" w:rsidP="00000000" w:rsidRDefault="00000000" w:rsidRPr="00000000" w14:paraId="000001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Diarrea con sangre (Disentería) severa, vómito incoercible (no tolera vía oral), deshidratación grave, o diarrea persistente (&gt;14 días).</w:t>
      </w:r>
    </w:p>
    <w:p w:rsidR="00000000" w:rsidDel="00000000" w:rsidP="00000000" w:rsidRDefault="00000000" w:rsidRPr="00000000" w14:paraId="0000014C">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hospitalización / remisión </w:t>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niño con EDA debe ser remitido de inmediato a un centro hospitalario cuando presente cualquiera de las siguientes condiciones, que indican un alto riesgo de complicaciones o muerte:</w:t>
      </w:r>
    </w:p>
    <w:p w:rsidR="00000000" w:rsidDel="00000000" w:rsidP="00000000" w:rsidRDefault="00000000" w:rsidRPr="00000000" w14:paraId="000001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Deshidratación grave (Plan C de la OMS): la presencia de dos o más signos de deshidratación grave, que incluyen letargo o pérdida de la conciencia, ojos hundidos, incapacidad para beber o beber mal, y un pliegue cutáneo que vuelve muy lentamente (2 segundos o más) . Estos niños requieren rehidratación intravenosa urgente.</w:t>
      </w:r>
    </w:p>
    <w:p w:rsidR="00000000" w:rsidDel="00000000" w:rsidP="00000000" w:rsidRDefault="00000000" w:rsidRPr="00000000" w14:paraId="000001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Fracaso del Plan B o intolerancia a la vía oral: cuando un niño con alguna deshidratación (Plan B) No responde a la terapia de rehidratación oral, presenta alto gasto fecal persistente (&gt; 15 ml/kg/hora) o más de 3 vómitos en una hora , lo que impide la hidratación por esta vía.</w:t>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Diarrea sanguinolenta (disenteriforme) con signos de gravedad: la presencia de sangre visible en las heces acompañada de fiebre alta, aspecto tóxico o compromiso del estado general, ya que sugiere una infección bacteriana invasiva (como Shigella o Salmonella) con riesgo de complicaciones sistémicas.</w:t>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Compromiso neurológico o signos de sepsis: la presencia de convulsiones, irritabilidad severa, letargo o coma, o cualquier signo de infección sistémica (fiebre muy alta, taquicardia, hipotensión) que sugiera meningitis, encefalopatía o sepsis.</w:t>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Desnutrición severa o diarrea persistente con deterioro: niños con desnutrición severa (peso/talla &lt; -3 DE o edema nutricional) que presentan EDA, o aquellos con diarrea persistente (&gt; 14 días) que muestran signos de deshidratación, pérdida de peso o intolerancia alimentaria.</w:t>
      </w:r>
    </w:p>
    <w:p w:rsidR="00000000" w:rsidDel="00000000" w:rsidP="00000000" w:rsidRDefault="00000000" w:rsidRPr="00000000" w14:paraId="00000155">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salida y continuidad del manejo </w:t>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niño con EDA puede ser manejado de forma ambulatoria, con seguimiento por telemedicina o en el hogar, cuando cumple con las siguientes condiciones:</w:t>
      </w:r>
    </w:p>
    <w:p w:rsidR="00000000" w:rsidDel="00000000" w:rsidP="00000000" w:rsidRDefault="00000000" w:rsidRPr="00000000" w14:paraId="000001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Ausencia de deshidratación (Plan A de la OMS): el niño no presenta ningún signo de deshidratación, se encuentra alerta, bebe normalmente, tiene ojos normales y el pliegue cutáneo vuelve rápidamente.</w:t>
      </w:r>
    </w:p>
    <w:p w:rsidR="00000000" w:rsidDel="00000000" w:rsidP="00000000" w:rsidRDefault="00000000" w:rsidRPr="00000000" w14:paraId="000001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Capacidad del cuidador para el manejo en casa: el cuidador principal comprende el plan de tratamiento, sabe cómo preparar y administrar la solución de rehidratación oral (SRO) , reconoce los signos de alarma y tiene la posibilidad de contactar al servicio de telemedicina o acudir a un centro de salud si es necesario.</w:t>
      </w:r>
    </w:p>
    <w:p w:rsidR="00000000" w:rsidDel="00000000" w:rsidP="00000000" w:rsidRDefault="00000000" w:rsidRPr="00000000" w14:paraId="000001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Tolerancia a la vía oral y estabilidad clínica: el niño puede ingerir líquidos sin vómitos persistentes, se encuentra estable, con signos vitales normales y sin evidencia de compromiso sistémico.</w:t>
      </w:r>
    </w:p>
    <w:p w:rsidR="00000000" w:rsidDel="00000000" w:rsidP="00000000" w:rsidRDefault="00000000" w:rsidRPr="00000000" w14:paraId="000001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Diarrea acuosa sin signos de alarma: en casos de diarrea acuosa (sin sangre), sin fiebre alta ni aspecto tóxico, y que no requiere antibioticoterapia (excepto en sospecha de cólera), el manejo ambulatorio con SRO, zinc y alimentación habitual es seguro y efectivo.</w:t>
      </w:r>
    </w:p>
    <w:p w:rsidR="00000000" w:rsidDel="00000000" w:rsidP="00000000" w:rsidRDefault="00000000" w:rsidRPr="00000000" w14:paraId="000001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Garantía de seguimiento oportuno: se ha confirmado que el niño podrá ser reevaluado en 24 a 48 horas mediante telemedicina o en un centro de salud cercano, para verificar la evolución favorable y ajustar el tratamiento si es necesario.</w:t>
      </w:r>
    </w:p>
    <w:p w:rsidR="00000000" w:rsidDel="00000000" w:rsidP="00000000" w:rsidRDefault="00000000" w:rsidRPr="00000000" w14:paraId="0000015E">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y Responsabilidades telesalud</w:t>
      </w:r>
    </w:p>
    <w:p w:rsidR="00000000" w:rsidDel="00000000" w:rsidP="00000000" w:rsidRDefault="00000000" w:rsidRPr="00000000" w14:paraId="00000161">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62">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Administrativo HUN (Centro referente)</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Recibir solicitudes de interconsulta de los centros remisores</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Verificación de derechos del paciente y cobertura para atenciones de telemedicina</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y archivo de copias documentales de las actividades de telemedicina</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Agendamiento de los pacientes en las franjas de la especialidad solicitada</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Apertura de historias clínicas en el sistema de registros médicos electrónicos del HUN</w:t>
      </w:r>
    </w:p>
    <w:p w:rsidR="00000000" w:rsidDel="00000000" w:rsidP="00000000" w:rsidRDefault="00000000" w:rsidRPr="00000000" w14:paraId="00000168">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Administrativo IPS (Centro remisor)</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Apertura de historia clínica al ingreso al centro remisor y verificación de derechos</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de solicitudes de interconsulta de los médicos tratantes en el centro remisor</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 de interconsulta al servicio administrativo del HUN</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y archivo de los documentos originales de las actividades de telemedicina</w:t>
      </w:r>
    </w:p>
    <w:p w:rsidR="00000000" w:rsidDel="00000000" w:rsidP="00000000" w:rsidRDefault="00000000" w:rsidRPr="00000000" w14:paraId="0000016D">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Paciente</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Solicitar atención médica en centro remisor</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Diligenciamiento de consentimiento para actividades de telemedicina</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Exigir los derechos y cumplir los deberes de los usuarios del SGSSS</w:t>
      </w:r>
    </w:p>
    <w:p w:rsidR="00000000" w:rsidDel="00000000" w:rsidP="00000000" w:rsidRDefault="00000000" w:rsidRPr="00000000" w14:paraId="00000171">
      <w:pPr>
        <w:pStyle w:val="Heading2"/>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2">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solicitante (Centro Remisor)</w:t>
      </w:r>
    </w:p>
    <w:p w:rsidR="00000000" w:rsidDel="00000000" w:rsidP="00000000" w:rsidRDefault="00000000" w:rsidRPr="00000000" w14:paraId="000001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médica de pacientes incluyendo su clasificación inicial y estabilización</w:t>
      </w:r>
    </w:p>
    <w:p w:rsidR="00000000" w:rsidDel="00000000" w:rsidP="00000000" w:rsidRDefault="00000000" w:rsidRPr="00000000" w14:paraId="000001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la solicitud formal de tele-experticia.</w:t>
      </w:r>
    </w:p>
    <w:p w:rsidR="00000000" w:rsidDel="00000000" w:rsidP="00000000" w:rsidRDefault="00000000" w:rsidRPr="00000000" w14:paraId="000001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información clínica clara, completa y pertinente.</w:t>
      </w:r>
    </w:p>
    <w:p w:rsidR="00000000" w:rsidDel="00000000" w:rsidP="00000000" w:rsidRDefault="00000000" w:rsidRPr="00000000" w14:paraId="000001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consentimiento informado del paciente para uso de medios tecnológicos.</w:t>
      </w:r>
    </w:p>
    <w:p w:rsidR="00000000" w:rsidDel="00000000" w:rsidP="00000000" w:rsidRDefault="00000000" w:rsidRPr="00000000" w14:paraId="000001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acciones derivadas de las recomendaciones emitidas.</w:t>
      </w:r>
    </w:p>
    <w:p w:rsidR="00000000" w:rsidDel="00000000" w:rsidP="00000000" w:rsidRDefault="00000000" w:rsidRPr="00000000" w14:paraId="000001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en historia clínica.</w:t>
      </w:r>
    </w:p>
    <w:p w:rsidR="00000000" w:rsidDel="00000000" w:rsidP="00000000" w:rsidRDefault="00000000" w:rsidRPr="00000000" w14:paraId="00000179">
      <w:pPr>
        <w:pStyle w:val="Heading2"/>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A">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experto (Centro Referente)</w:t>
      </w:r>
    </w:p>
    <w:p w:rsidR="00000000" w:rsidDel="00000000" w:rsidP="00000000" w:rsidRDefault="00000000" w:rsidRPr="00000000" w14:paraId="0000017B">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la información recibida y emitir concepto técnico-clínico.</w:t>
      </w:r>
    </w:p>
    <w:p w:rsidR="00000000" w:rsidDel="00000000" w:rsidP="00000000" w:rsidRDefault="00000000" w:rsidRPr="00000000" w14:paraId="0000017C">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Garantizar recomendaciones fundamentadas en evidencia.</w:t>
      </w:r>
    </w:p>
    <w:p w:rsidR="00000000" w:rsidDel="00000000" w:rsidP="00000000" w:rsidRDefault="00000000" w:rsidRPr="00000000" w14:paraId="0000017D">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la opinión médica en historia clínica y envío para su recepción (en centro remisor) y archivo (en centro referente).</w:t>
      </w:r>
    </w:p>
    <w:p w:rsidR="00000000" w:rsidDel="00000000" w:rsidP="00000000" w:rsidRDefault="00000000" w:rsidRPr="00000000" w14:paraId="0000017E">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Respetar los tiempos de respuesta establecidos.</w:t>
      </w:r>
    </w:p>
    <w:p w:rsidR="00000000" w:rsidDel="00000000" w:rsidP="00000000" w:rsidRDefault="00000000" w:rsidRPr="00000000" w14:paraId="0000017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respuesta sugeridos</w:t>
      </w:r>
    </w:p>
    <w:p w:rsidR="00000000" w:rsidDel="00000000" w:rsidP="00000000" w:rsidRDefault="00000000" w:rsidRPr="00000000" w14:paraId="00000182">
      <w:pPr>
        <w:spacing w:after="0" w:line="276" w:lineRule="auto"/>
        <w:jc w:val="both"/>
        <w:rPr>
          <w:rFonts w:ascii="Arial" w:cs="Arial" w:eastAsia="Arial" w:hAnsi="Arial"/>
          <w:b w:val="1"/>
          <w:bCs w:val="1"/>
          <w:color w:val="000000"/>
          <w:sz w:val="24"/>
          <w:szCs w:val="24"/>
        </w:rPr>
      </w:pPr>
      <w:r w:rsidDel="00000000" w:rsidR="00000000" w:rsidRPr="00000000">
        <w:rPr>
          <w:rtl w:val="0"/>
        </w:rPr>
      </w:r>
    </w:p>
    <w:tbl>
      <w:tblPr>
        <w:tblStyle w:val="Table5"/>
        <w:tblW w:w="7366.0" w:type="dxa"/>
        <w:jc w:val="center"/>
        <w:tblLayout w:type="fixed"/>
        <w:tblLook w:val="0400"/>
      </w:tblPr>
      <w:tblGrid>
        <w:gridCol w:w="988"/>
        <w:gridCol w:w="2648"/>
        <w:gridCol w:w="1741"/>
        <w:gridCol w:w="1989"/>
        <w:tblGridChange w:id="0">
          <w:tblGrid>
            <w:gridCol w:w="988"/>
            <w:gridCol w:w="2648"/>
            <w:gridCol w:w="1741"/>
            <w:gridCol w:w="198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183">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Etapa</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8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8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000000" w:space="0" w:sz="4" w:val="single"/>
              <w:left w:color="000000" w:space="0" w:sz="0" w:val="nil"/>
              <w:bottom w:color="000000" w:space="0" w:sz="4" w:val="single"/>
              <w:right w:color="000000" w:space="0" w:sz="4" w:val="single"/>
            </w:tcBorders>
            <w:shd w:fill="9bc2e6" w:val="clear"/>
          </w:tcPr>
          <w:p w:rsidR="00000000" w:rsidDel="00000000" w:rsidP="00000000" w:rsidRDefault="00000000" w:rsidRPr="00000000" w14:paraId="00000186">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estimado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2">
            <w:pPr>
              <w:pStyle w:val="Heading2"/>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minutos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Envió ordenamiento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minutos</w:t>
            </w:r>
          </w:p>
        </w:tc>
      </w:tr>
    </w:tbl>
    <w:p w:rsidR="00000000" w:rsidDel="00000000" w:rsidP="00000000" w:rsidRDefault="00000000" w:rsidRPr="00000000" w14:paraId="0000019F">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0">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Estrategias de humanización digital y Dialogo intercultural</w:t>
      </w:r>
    </w:p>
    <w:p w:rsidR="00000000" w:rsidDel="00000000" w:rsidP="00000000" w:rsidRDefault="00000000" w:rsidRPr="00000000" w14:paraId="000001A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estrategia de humanización digital asume, para su implementación, los principios éticos de la estrategia AIEPI de la Organización Mundial de la Salud al igual que su estrategia comunicativa en salud para el establecimiento de diálogos interculturales.</w:t>
      </w:r>
    </w:p>
    <w:p w:rsidR="00000000" w:rsidDel="00000000" w:rsidP="00000000" w:rsidRDefault="00000000" w:rsidRPr="00000000" w14:paraId="000001A3">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Principios éticos para la humanización digital</w:t>
      </w:r>
    </w:p>
    <w:p w:rsidR="00000000" w:rsidDel="00000000" w:rsidP="00000000" w:rsidRDefault="00000000" w:rsidRPr="00000000" w14:paraId="000001A5">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612130" cy="659511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659511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Estrategia de diálogo intercultural</w:t>
      </w:r>
    </w:p>
    <w:p w:rsidR="00000000" w:rsidDel="00000000" w:rsidP="00000000" w:rsidRDefault="00000000" w:rsidRPr="00000000" w14:paraId="000001A8">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9">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lograr una mejor comunicación durante la consulta, especialmente en contextos de interculturalidad, debemos tener en cuenta las siguientes recomendaciones:</w:t>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Préstele toda la atención al cuidador y dedíquele todo el tiempo que sea necesario para esa interacción</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Tenga siempre en cuenta que las personas según su cultura tienen maneras diferentes de mostrar interés.</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Esté siempre listo a resumir lo que ha dicho al cuidador, esto le servirá para comprobar si usted ha entendido correctamente y además demuestra que estamos interesados en lo que ella dice o hace; podemos usar expresiones como: ¿Quiere usted decir que…?</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no entiende algo, pregunte. Es mejor decir: “No he entendido tal cosa”, en lugar de hacer caso omiso.</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Anime a al cuidador; por ejemplo, puede preguntar: ¿Qué sucedió luego?; ¿Qué ha hecho para manejar el problema?</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interacción con el cuidador ayuda a generar mayor comunicación y es la clave para identificar conductas realizadas correctamente o conductas incorrectas que deben corregirse.</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Recuerde siempre felicitar y aprobar al cuidador, esto mejorará la comunicación, hará más fácil lograr cambios en actitudes y prácticas y beneficiará la salud de los niños.</w:t>
      </w:r>
    </w:p>
    <w:p w:rsidR="00000000" w:rsidDel="00000000" w:rsidP="00000000" w:rsidRDefault="00000000" w:rsidRPr="00000000" w14:paraId="000001B1">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2">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Indicadores </w:t>
      </w:r>
    </w:p>
    <w:p w:rsidR="00000000" w:rsidDel="00000000" w:rsidP="00000000" w:rsidRDefault="00000000" w:rsidRPr="00000000" w14:paraId="000001B4">
      <w:pPr>
        <w:spacing w:after="0" w:line="276" w:lineRule="auto"/>
        <w:jc w:val="both"/>
        <w:rPr>
          <w:rFonts w:ascii="Arial" w:cs="Arial" w:eastAsia="Arial" w:hAnsi="Arial"/>
          <w:b w:val="1"/>
          <w:bCs w:val="1"/>
          <w:color w:val="000000"/>
          <w:sz w:val="24"/>
          <w:szCs w:val="24"/>
        </w:rPr>
      </w:pPr>
      <w:r w:rsidDel="00000000" w:rsidR="00000000" w:rsidRPr="00000000">
        <w:rPr>
          <w:rtl w:val="0"/>
        </w:rPr>
      </w:r>
    </w:p>
    <w:tbl>
      <w:tblPr>
        <w:tblStyle w:val="Table6"/>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6"/>
        <w:gridCol w:w="2117"/>
        <w:gridCol w:w="2736"/>
        <w:gridCol w:w="979"/>
        <w:tblGridChange w:id="0">
          <w:tblGrid>
            <w:gridCol w:w="2996"/>
            <w:gridCol w:w="2117"/>
            <w:gridCol w:w="2736"/>
            <w:gridCol w:w="979"/>
          </w:tblGrid>
        </w:tblGridChange>
      </w:tblGrid>
      <w:tr>
        <w:trPr>
          <w:cantSplit w:val="0"/>
          <w:tblHeader w:val="0"/>
        </w:trPr>
        <w:tc>
          <w:tcPr/>
          <w:p w:rsidR="00000000" w:rsidDel="00000000" w:rsidP="00000000" w:rsidRDefault="00000000" w:rsidRPr="00000000" w14:paraId="000001B5">
            <w:pPr>
              <w:rPr>
                <w:rFonts w:ascii="Arial" w:cs="Arial" w:eastAsia="Arial" w:hAnsi="Arial"/>
                <w:b w:val="1"/>
                <w:bCs w:val="1"/>
              </w:rPr>
            </w:pPr>
            <w:r w:rsidDel="00000000" w:rsidR="00000000" w:rsidRPr="00000000">
              <w:rPr>
                <w:rFonts w:ascii="Arial" w:cs="Arial" w:eastAsia="Arial" w:hAnsi="Arial"/>
                <w:b w:val="1"/>
                <w:bCs w:val="1"/>
                <w:rtl w:val="0"/>
              </w:rPr>
              <w:t xml:space="preserve">Indicador </w:t>
            </w:r>
          </w:p>
        </w:tc>
        <w:tc>
          <w:tcPr/>
          <w:p w:rsidR="00000000" w:rsidDel="00000000" w:rsidP="00000000" w:rsidRDefault="00000000" w:rsidRPr="00000000" w14:paraId="000001B6">
            <w:pPr>
              <w:rPr>
                <w:rFonts w:ascii="Arial" w:cs="Arial" w:eastAsia="Arial" w:hAnsi="Arial"/>
                <w:b w:val="1"/>
                <w:bCs w:val="1"/>
              </w:rPr>
            </w:pPr>
            <w:r w:rsidDel="00000000" w:rsidR="00000000" w:rsidRPr="00000000">
              <w:rPr>
                <w:rFonts w:ascii="Arial" w:cs="Arial" w:eastAsia="Arial" w:hAnsi="Arial"/>
                <w:b w:val="1"/>
                <w:bCs w:val="1"/>
                <w:rtl w:val="0"/>
              </w:rPr>
              <w:t xml:space="preserve"> Numerador </w:t>
            </w:r>
          </w:p>
        </w:tc>
        <w:tc>
          <w:tcPr/>
          <w:p w:rsidR="00000000" w:rsidDel="00000000" w:rsidP="00000000" w:rsidRDefault="00000000" w:rsidRPr="00000000" w14:paraId="000001B7">
            <w:pPr>
              <w:rPr>
                <w:rFonts w:ascii="Arial" w:cs="Arial" w:eastAsia="Arial" w:hAnsi="Arial"/>
                <w:b w:val="1"/>
                <w:bCs w:val="1"/>
              </w:rPr>
            </w:pPr>
            <w:r w:rsidDel="00000000" w:rsidR="00000000" w:rsidRPr="00000000">
              <w:rPr>
                <w:rFonts w:ascii="Arial" w:cs="Arial" w:eastAsia="Arial" w:hAnsi="Arial"/>
                <w:b w:val="1"/>
                <w:bCs w:val="1"/>
                <w:rtl w:val="0"/>
              </w:rPr>
              <w:t xml:space="preserve"> Denominador </w:t>
            </w:r>
          </w:p>
        </w:tc>
        <w:tc>
          <w:tcPr/>
          <w:p w:rsidR="00000000" w:rsidDel="00000000" w:rsidP="00000000" w:rsidRDefault="00000000" w:rsidRPr="00000000" w14:paraId="000001B8">
            <w:pPr>
              <w:rPr>
                <w:rFonts w:ascii="Arial" w:cs="Arial" w:eastAsia="Arial" w:hAnsi="Arial"/>
                <w:b w:val="1"/>
                <w:bCs w:val="1"/>
              </w:rPr>
            </w:pPr>
            <w:r w:rsidDel="00000000" w:rsidR="00000000" w:rsidRPr="00000000">
              <w:rPr>
                <w:rFonts w:ascii="Arial" w:cs="Arial" w:eastAsia="Arial" w:hAnsi="Arial"/>
                <w:b w:val="1"/>
                <w:bCs w:val="1"/>
                <w:rtl w:val="0"/>
              </w:rPr>
              <w:t xml:space="preserve"> Meta </w:t>
            </w:r>
          </w:p>
        </w:tc>
      </w:tr>
      <w:tr>
        <w:trPr>
          <w:cantSplit w:val="0"/>
          <w:tblHeader w:val="0"/>
        </w:trPr>
        <w:tc>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 1. Adherencia a la clasificación del estado de hidratación según OMS </w:t>
            </w:r>
          </w:p>
        </w:tc>
        <w:tc>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 Número de atenciones por telemedicina en las que se registró la evaluación completa de los signos de deshidratación (estado general, ojos, sed/capacidad de beber, pliegue cutáneo) y se asignó una clasificación (Plan A, B o C) </w:t>
            </w:r>
          </w:p>
        </w:tc>
        <w:tc>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 Total de atenciones por telemedicina a niños menores de 5 años con diagnóstico de EDA </w:t>
            </w:r>
          </w:p>
        </w:tc>
        <w:tc>
          <w:tcPr/>
          <w:p w:rsidR="00000000" w:rsidDel="00000000" w:rsidP="00000000" w:rsidRDefault="00000000" w:rsidRPr="00000000" w14:paraId="000001BC">
            <w:pPr>
              <w:rPr>
                <w:rFonts w:ascii="Arial" w:cs="Arial" w:eastAsia="Arial" w:hAnsi="Arial"/>
              </w:rPr>
            </w:pPr>
            <w:sdt>
              <w:sdtPr>
                <w:id w:val="1772499528"/>
                <w:tag w:val="goog_rdk_4"/>
              </w:sdtPr>
              <w:sdtContent>
                <w:r w:rsidDel="00000000" w:rsidR="00000000" w:rsidRPr="00000000">
                  <w:rPr>
                    <w:rFonts w:ascii="Arial Unicode MS" w:cs="Arial Unicode MS" w:eastAsia="Arial Unicode MS" w:hAnsi="Arial Unicode MS"/>
                    <w:rtl w:val="0"/>
                  </w:rPr>
                  <w:t xml:space="preserve"> ≥ 95% </w:t>
                </w:r>
              </w:sdtContent>
            </w:sdt>
          </w:p>
        </w:tc>
      </w:tr>
      <w:tr>
        <w:trPr>
          <w:cantSplit w:val="0"/>
          <w:tblHeader w:val="0"/>
        </w:trPr>
        <w:tc>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 2. Cumplimiento del plan de manejo con SRO y zinc </w:t>
            </w:r>
          </w:p>
        </w:tc>
        <w:tc>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 Número de niños con EDA a quienes se les prescribió el esquema completo de Sales de Rehidratación Oral (SRO) según el plan asignado (A, B o C) y suplementación con zinc por 14 días </w:t>
            </w:r>
          </w:p>
        </w:tc>
        <w:tc>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 Total de niños con EDA atendidos por telemedicina que no requirieron hospitalización inmediata </w:t>
            </w:r>
          </w:p>
        </w:tc>
        <w:tc>
          <w:tcPr/>
          <w:p w:rsidR="00000000" w:rsidDel="00000000" w:rsidP="00000000" w:rsidRDefault="00000000" w:rsidRPr="00000000" w14:paraId="000001C0">
            <w:pPr>
              <w:rPr>
                <w:rFonts w:ascii="Arial" w:cs="Arial" w:eastAsia="Arial" w:hAnsi="Arial"/>
              </w:rPr>
            </w:pPr>
            <w:sdt>
              <w:sdtPr>
                <w:id w:val="-176437549"/>
                <w:tag w:val="goog_rdk_5"/>
              </w:sdtPr>
              <w:sdtContent>
                <w:r w:rsidDel="00000000" w:rsidR="00000000" w:rsidRPr="00000000">
                  <w:rPr>
                    <w:rFonts w:ascii="Arial Unicode MS" w:cs="Arial Unicode MS" w:eastAsia="Arial Unicode MS" w:hAnsi="Arial Unicode MS"/>
                    <w:rtl w:val="0"/>
                  </w:rPr>
                  <w:t xml:space="preserve"> ≥ 90% </w:t>
                </w:r>
              </w:sdtContent>
            </w:sdt>
          </w:p>
        </w:tc>
      </w:tr>
      <w:tr>
        <w:trPr>
          <w:cantSplit w:val="0"/>
          <w:tblHeader w:val="0"/>
        </w:trPr>
        <w:tc>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 3. Consejería efectiva a cuidadores sobre signos de alarma y manejo en casa </w:t>
            </w:r>
          </w:p>
        </w:tc>
        <w:tc>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 Número de atenciones en las que se registra la consejería brindada al cuidador sobre: preparación de SRO, signos de alarma (incapacidad para beber, vómito persistente, sangre en heces, fiebre alta, letargo), alimentación durante la diarrea y cuándo retornar </w:t>
            </w:r>
          </w:p>
        </w:tc>
        <w:tc>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 Total de atenciones por telemedicina a niños con EDA </w:t>
            </w:r>
          </w:p>
        </w:tc>
        <w:tc>
          <w:tcPr/>
          <w:p w:rsidR="00000000" w:rsidDel="00000000" w:rsidP="00000000" w:rsidRDefault="00000000" w:rsidRPr="00000000" w14:paraId="000001C4">
            <w:pPr>
              <w:rPr>
                <w:rFonts w:ascii="Arial" w:cs="Arial" w:eastAsia="Arial" w:hAnsi="Arial"/>
              </w:rPr>
            </w:pPr>
            <w:sdt>
              <w:sdtPr>
                <w:id w:val="1907086661"/>
                <w:tag w:val="goog_rdk_6"/>
              </w:sdtPr>
              <w:sdtContent>
                <w:r w:rsidDel="00000000" w:rsidR="00000000" w:rsidRPr="00000000">
                  <w:rPr>
                    <w:rFonts w:ascii="Arial Unicode MS" w:cs="Arial Unicode MS" w:eastAsia="Arial Unicode MS" w:hAnsi="Arial Unicode MS"/>
                    <w:rtl w:val="0"/>
                  </w:rPr>
                  <w:t xml:space="preserve"> ≥ 90% </w:t>
                </w:r>
              </w:sdtContent>
            </w:sdt>
          </w:p>
        </w:tc>
      </w:tr>
      <w:tr>
        <w:trPr>
          <w:cantSplit w:val="0"/>
          <w:tblHeader w:val="0"/>
        </w:trPr>
        <w:tc>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 4. Seguimiento oportuno en 24-48 horas </w:t>
            </w:r>
          </w:p>
        </w:tc>
        <w:tc>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 Número de niños con EDA manejados ambulatoriamente (Plan A o B) que recibieron una consulta de control por telemedicina o presencial en el plazo de 24 a 48 horas posteriores a la primera atención </w:t>
            </w:r>
          </w:p>
        </w:tc>
        <w:tc>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 Total de niños con EDA clasificados como ambulatorios (Plan A o B) </w:t>
            </w:r>
          </w:p>
        </w:tc>
        <w:tc>
          <w:tcPr/>
          <w:p w:rsidR="00000000" w:rsidDel="00000000" w:rsidP="00000000" w:rsidRDefault="00000000" w:rsidRPr="00000000" w14:paraId="000001C8">
            <w:pPr>
              <w:rPr>
                <w:rFonts w:ascii="Arial" w:cs="Arial" w:eastAsia="Arial" w:hAnsi="Arial"/>
              </w:rPr>
            </w:pPr>
            <w:sdt>
              <w:sdtPr>
                <w:id w:val="748686962"/>
                <w:tag w:val="goog_rdk_7"/>
              </w:sdtPr>
              <w:sdtContent>
                <w:r w:rsidDel="00000000" w:rsidR="00000000" w:rsidRPr="00000000">
                  <w:rPr>
                    <w:rFonts w:ascii="Arial Unicode MS" w:cs="Arial Unicode MS" w:eastAsia="Arial Unicode MS" w:hAnsi="Arial Unicode MS"/>
                    <w:rtl w:val="0"/>
                  </w:rPr>
                  <w:t xml:space="preserve"> ≥ 80% </w:t>
                </w:r>
              </w:sdtContent>
            </w:sdt>
          </w:p>
        </w:tc>
      </w:tr>
      <w:tr>
        <w:trPr>
          <w:cantSplit w:val="0"/>
          <w:tblHeader w:val="0"/>
        </w:trPr>
        <w:tc>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 5. Remisión oportuna de casos con deshidratación grave o signos de alarma </w:t>
            </w:r>
          </w:p>
        </w:tc>
        <w:tc>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 Número de niños con EDA que presentaron signos de deshidratación grave (Plan C), diarrea sanguinolenta con compromiso sistémico, intolerancia a la vía oral o desnutrición severa, y fueron remitidos de inmediato a un centro hospitalario con coordinación efectiva y seguimiento documentado </w:t>
            </w:r>
          </w:p>
        </w:tc>
        <w:tc>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 Total de niños con EDA que presentaron criterios de remisión/hospitalización </w:t>
            </w:r>
          </w:p>
        </w:tc>
        <w:tc>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 100% </w:t>
            </w:r>
          </w:p>
        </w:tc>
      </w:tr>
    </w:tbl>
    <w:p w:rsidR="00000000" w:rsidDel="00000000" w:rsidP="00000000" w:rsidRDefault="00000000" w:rsidRPr="00000000" w14:paraId="000001CD">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C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CF">
      <w:pPr>
        <w:spacing w:after="0" w:line="276"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BIBLIOGRAFÍA</w:t>
      </w:r>
    </w:p>
    <w:p w:rsidR="00000000" w:rsidDel="00000000" w:rsidP="00000000" w:rsidRDefault="00000000" w:rsidRPr="00000000" w14:paraId="000001D0">
      <w:pPr>
        <w:keepNext w:val="1"/>
        <w:keepLines w:val="1"/>
        <w:spacing w:after="80" w:before="3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Protección Social - República de Colombia. (2004). </w:t>
      </w:r>
      <w:r w:rsidDel="00000000" w:rsidR="00000000" w:rsidRPr="00000000">
        <w:rPr>
          <w:rFonts w:ascii="Arial" w:cs="Arial" w:eastAsia="Arial" w:hAnsi="Arial"/>
          <w:i w:val="1"/>
          <w:iCs w:val="1"/>
          <w:sz w:val="24"/>
          <w:szCs w:val="24"/>
          <w:rtl w:val="0"/>
        </w:rPr>
        <w:t xml:space="preserve">AIEPI - Curso clínico para profesionales de la salud.</w:t>
      </w:r>
      <w:r w:rsidDel="00000000" w:rsidR="00000000" w:rsidRPr="00000000">
        <w:rPr>
          <w:rFonts w:ascii="Arial" w:cs="Arial" w:eastAsia="Arial" w:hAnsi="Arial"/>
          <w:sz w:val="24"/>
          <w:szCs w:val="24"/>
          <w:rtl w:val="0"/>
        </w:rPr>
        <w:t xml:space="preserve"> Bogotá.</w:t>
      </w:r>
    </w:p>
    <w:p w:rsidR="00000000" w:rsidDel="00000000" w:rsidP="00000000" w:rsidRDefault="00000000" w:rsidRPr="00000000" w14:paraId="000001D1">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Proteccion Social - República de Colombia. (2010). </w:t>
      </w:r>
      <w:r w:rsidDel="00000000" w:rsidR="00000000" w:rsidRPr="00000000">
        <w:rPr>
          <w:rFonts w:ascii="Arial" w:cs="Arial" w:eastAsia="Arial" w:hAnsi="Arial"/>
          <w:i w:val="1"/>
          <w:iCs w:val="1"/>
          <w:sz w:val="24"/>
          <w:szCs w:val="24"/>
          <w:rtl w:val="0"/>
        </w:rPr>
        <w:t xml:space="preserve">AIEPI - Cuadro de procedimientos.</w:t>
      </w:r>
      <w:r w:rsidDel="00000000" w:rsidR="00000000" w:rsidRPr="00000000">
        <w:rPr>
          <w:rFonts w:ascii="Arial" w:cs="Arial" w:eastAsia="Arial" w:hAnsi="Arial"/>
          <w:sz w:val="24"/>
          <w:szCs w:val="24"/>
          <w:rtl w:val="0"/>
        </w:rPr>
        <w:t xml:space="preserve"> Bogotá DC.</w:t>
      </w:r>
    </w:p>
    <w:p w:rsidR="00000000" w:rsidDel="00000000" w:rsidP="00000000" w:rsidRDefault="00000000" w:rsidRPr="00000000" w14:paraId="000001D2">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Protección Social - República de Colombia. (2010). </w:t>
      </w:r>
      <w:r w:rsidDel="00000000" w:rsidR="00000000" w:rsidRPr="00000000">
        <w:rPr>
          <w:rFonts w:ascii="Arial" w:cs="Arial" w:eastAsia="Arial" w:hAnsi="Arial"/>
          <w:i w:val="1"/>
          <w:iCs w:val="1"/>
          <w:sz w:val="24"/>
          <w:szCs w:val="24"/>
          <w:rtl w:val="0"/>
        </w:rPr>
        <w:t xml:space="preserve">AIEPI - Curso clínico.</w:t>
      </w:r>
      <w:r w:rsidDel="00000000" w:rsidR="00000000" w:rsidRPr="00000000">
        <w:rPr>
          <w:rFonts w:ascii="Arial" w:cs="Arial" w:eastAsia="Arial" w:hAnsi="Arial"/>
          <w:sz w:val="24"/>
          <w:szCs w:val="24"/>
          <w:rtl w:val="0"/>
        </w:rPr>
        <w:t xml:space="preserve"> Bogotá DC.</w:t>
      </w:r>
    </w:p>
    <w:p w:rsidR="00000000" w:rsidDel="00000000" w:rsidP="00000000" w:rsidRDefault="00000000" w:rsidRPr="00000000" w14:paraId="000001D3">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Protección Social - República de Colombia. (2010). </w:t>
      </w:r>
      <w:r w:rsidDel="00000000" w:rsidR="00000000" w:rsidRPr="00000000">
        <w:rPr>
          <w:rFonts w:ascii="Arial" w:cs="Arial" w:eastAsia="Arial" w:hAnsi="Arial"/>
          <w:i w:val="1"/>
          <w:iCs w:val="1"/>
          <w:sz w:val="24"/>
          <w:szCs w:val="24"/>
          <w:rtl w:val="0"/>
        </w:rPr>
        <w:t xml:space="preserve">AIEPI - Guia para la atención de la consejeria de la niñez en la familia.</w:t>
      </w:r>
      <w:r w:rsidDel="00000000" w:rsidR="00000000" w:rsidRPr="00000000">
        <w:rPr>
          <w:rFonts w:ascii="Arial" w:cs="Arial" w:eastAsia="Arial" w:hAnsi="Arial"/>
          <w:sz w:val="24"/>
          <w:szCs w:val="24"/>
          <w:rtl w:val="0"/>
        </w:rPr>
        <w:t xml:space="preserve"> Bogotá DC.</w:t>
      </w:r>
    </w:p>
    <w:p w:rsidR="00000000" w:rsidDel="00000000" w:rsidP="00000000" w:rsidRDefault="00000000" w:rsidRPr="00000000" w14:paraId="000001D4">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Protección Social - República de Colombia. (2013). </w:t>
      </w:r>
      <w:r w:rsidDel="00000000" w:rsidR="00000000" w:rsidRPr="00000000">
        <w:rPr>
          <w:rFonts w:ascii="Arial" w:cs="Arial" w:eastAsia="Arial" w:hAnsi="Arial"/>
          <w:i w:val="1"/>
          <w:iCs w:val="1"/>
          <w:sz w:val="24"/>
          <w:szCs w:val="24"/>
          <w:rtl w:val="0"/>
        </w:rPr>
        <w:t xml:space="preserve">Salud materna y neonatal: atención preconcepcional, prenatal y posnatal inmediata.</w:t>
      </w:r>
      <w:r w:rsidDel="00000000" w:rsidR="00000000" w:rsidRPr="00000000">
        <w:rPr>
          <w:rFonts w:ascii="Arial" w:cs="Arial" w:eastAsia="Arial" w:hAnsi="Arial"/>
          <w:sz w:val="24"/>
          <w:szCs w:val="24"/>
          <w:rtl w:val="0"/>
        </w:rPr>
        <w:t xml:space="preserve"> Bogotá DC.</w:t>
      </w:r>
    </w:p>
    <w:p w:rsidR="00000000" w:rsidDel="00000000" w:rsidP="00000000" w:rsidRDefault="00000000" w:rsidRPr="00000000" w14:paraId="000001D5">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Protección Social - República de Colombia. (2016). </w:t>
      </w:r>
      <w:r w:rsidDel="00000000" w:rsidR="00000000" w:rsidRPr="00000000">
        <w:rPr>
          <w:rFonts w:ascii="Arial" w:cs="Arial" w:eastAsia="Arial" w:hAnsi="Arial"/>
          <w:i w:val="1"/>
          <w:iCs w:val="1"/>
          <w:sz w:val="24"/>
          <w:szCs w:val="24"/>
          <w:rtl w:val="0"/>
        </w:rPr>
        <w:t xml:space="preserve">AIEPI - Libro Clínico.</w:t>
      </w:r>
      <w:r w:rsidDel="00000000" w:rsidR="00000000" w:rsidRPr="00000000">
        <w:rPr>
          <w:rFonts w:ascii="Arial" w:cs="Arial" w:eastAsia="Arial" w:hAnsi="Arial"/>
          <w:sz w:val="24"/>
          <w:szCs w:val="24"/>
          <w:rtl w:val="0"/>
        </w:rPr>
        <w:t xml:space="preserve"> Bogotá DC.</w:t>
      </w:r>
    </w:p>
    <w:p w:rsidR="00000000" w:rsidDel="00000000" w:rsidP="00000000" w:rsidRDefault="00000000" w:rsidRPr="00000000" w14:paraId="000001D6">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Ministery of Health - Republic of Kenya. (2017). </w:t>
      </w:r>
      <w:r w:rsidDel="00000000" w:rsidR="00000000" w:rsidRPr="00000000">
        <w:rPr>
          <w:rFonts w:ascii="Arial" w:cs="Arial" w:eastAsia="Arial" w:hAnsi="Arial"/>
          <w:i w:val="1"/>
          <w:iCs w:val="1"/>
          <w:sz w:val="24"/>
          <w:szCs w:val="24"/>
          <w:rtl w:val="0"/>
        </w:rPr>
        <w:t xml:space="preserve">IMNCI - A guide for healthcare workers.</w:t>
      </w:r>
      <w:r w:rsidDel="00000000" w:rsidR="00000000" w:rsidRPr="00000000">
        <w:rPr>
          <w:rFonts w:ascii="Arial" w:cs="Arial" w:eastAsia="Arial" w:hAnsi="Arial"/>
          <w:sz w:val="24"/>
          <w:szCs w:val="24"/>
          <w:rtl w:val="0"/>
        </w:rPr>
        <w:t xml:space="preserve"> Nairobi.</w:t>
      </w:r>
    </w:p>
    <w:p w:rsidR="00000000" w:rsidDel="00000000" w:rsidP="00000000" w:rsidRDefault="00000000" w:rsidRPr="00000000" w14:paraId="000001D7">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Organización Panamericana de la Salud. (2008). </w:t>
      </w:r>
      <w:r w:rsidDel="00000000" w:rsidR="00000000" w:rsidRPr="00000000">
        <w:rPr>
          <w:rFonts w:ascii="Arial" w:cs="Arial" w:eastAsia="Arial" w:hAnsi="Arial"/>
          <w:i w:val="1"/>
          <w:iCs w:val="1"/>
          <w:sz w:val="24"/>
          <w:szCs w:val="24"/>
          <w:rtl w:val="0"/>
        </w:rPr>
        <w:t xml:space="preserve">Manual Clínico AIEPI Neonatal - Álbum de Fotografías.</w:t>
      </w:r>
      <w:r w:rsidDel="00000000" w:rsidR="00000000" w:rsidRPr="00000000">
        <w:rPr>
          <w:rFonts w:ascii="Arial" w:cs="Arial" w:eastAsia="Arial" w:hAnsi="Arial"/>
          <w:sz w:val="24"/>
          <w:szCs w:val="24"/>
          <w:rtl w:val="0"/>
        </w:rPr>
        <w:t xml:space="preserve"> Washington DC.</w:t>
      </w:r>
    </w:p>
    <w:p w:rsidR="00000000" w:rsidDel="00000000" w:rsidP="00000000" w:rsidRDefault="00000000" w:rsidRPr="00000000" w14:paraId="000001D8">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Organización Panamericana de la Salud. (2011). </w:t>
      </w:r>
      <w:r w:rsidDel="00000000" w:rsidR="00000000" w:rsidRPr="00000000">
        <w:rPr>
          <w:rFonts w:ascii="Arial" w:cs="Arial" w:eastAsia="Arial" w:hAnsi="Arial"/>
          <w:i w:val="1"/>
          <w:iCs w:val="1"/>
          <w:sz w:val="24"/>
          <w:szCs w:val="24"/>
          <w:rtl w:val="0"/>
        </w:rPr>
        <w:t xml:space="preserve">Manual para la vigilancia del desarrollo infantil en el contexrto AIEPI.</w:t>
      </w:r>
      <w:r w:rsidDel="00000000" w:rsidR="00000000" w:rsidRPr="00000000">
        <w:rPr>
          <w:rFonts w:ascii="Arial" w:cs="Arial" w:eastAsia="Arial" w:hAnsi="Arial"/>
          <w:sz w:val="24"/>
          <w:szCs w:val="24"/>
          <w:rtl w:val="0"/>
        </w:rPr>
        <w:t xml:space="preserve"> (2. Ed, Ed.) Washington DC.</w:t>
      </w:r>
    </w:p>
    <w:p w:rsidR="00000000" w:rsidDel="00000000" w:rsidP="00000000" w:rsidRDefault="00000000" w:rsidRPr="00000000" w14:paraId="000001D9">
      <w:pPr>
        <w:spacing w:line="36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(2005). </w:t>
      </w:r>
      <w:r w:rsidDel="00000000" w:rsidR="00000000" w:rsidRPr="00000000">
        <w:rPr>
          <w:rFonts w:ascii="Arial" w:cs="Arial" w:eastAsia="Arial" w:hAnsi="Arial"/>
          <w:i w:val="1"/>
          <w:iCs w:val="1"/>
          <w:sz w:val="24"/>
          <w:szCs w:val="24"/>
          <w:rtl w:val="0"/>
        </w:rPr>
        <w:t xml:space="preserve">Handbook IMCI - Integrated Management of Childhood Illness.</w:t>
      </w:r>
      <w:r w:rsidDel="00000000" w:rsidR="00000000" w:rsidRPr="00000000">
        <w:rPr>
          <w:rFonts w:ascii="Arial" w:cs="Arial" w:eastAsia="Arial" w:hAnsi="Arial"/>
          <w:sz w:val="24"/>
          <w:szCs w:val="24"/>
          <w:rtl w:val="0"/>
        </w:rPr>
        <w:t xml:space="preserve"> Geneva.</w:t>
      </w:r>
    </w:p>
    <w:p w:rsidR="00000000" w:rsidDel="00000000" w:rsidP="00000000" w:rsidRDefault="00000000" w:rsidRPr="00000000" w14:paraId="000001DA">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DB">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D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REALIZA: Mario Alejandro Lozano, Pediatra </w:t>
      </w:r>
    </w:p>
    <w:p w:rsidR="00000000" w:rsidDel="00000000" w:rsidP="00000000" w:rsidRDefault="00000000" w:rsidRPr="00000000" w14:paraId="000001D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REVISA: Comité de Calidad y Gestión Clínica / Líder del Programa de Telesalud</w:t>
      </w:r>
    </w:p>
    <w:p w:rsidR="00000000" w:rsidDel="00000000" w:rsidP="00000000" w:rsidRDefault="00000000" w:rsidRPr="00000000" w14:paraId="000001DE">
      <w:pPr>
        <w:spacing w:after="0" w:line="276" w:lineRule="auto"/>
        <w:jc w:val="both"/>
        <w:rPr>
          <w:rFonts w:ascii="Arial" w:cs="Arial" w:eastAsia="Arial" w:hAnsi="Arial"/>
          <w:color w:val="ff0000"/>
          <w:sz w:val="24"/>
          <w:szCs w:val="24"/>
        </w:rPr>
      </w:pPr>
      <w:r w:rsidDel="00000000" w:rsidR="00000000" w:rsidRPr="00000000">
        <w:rPr>
          <w:rtl w:val="0"/>
        </w:rPr>
      </w:r>
    </w:p>
    <w:sectPr>
      <w:headerReference r:id="rId9" w:type="default"/>
      <w:footerReference r:id="rId1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sz w:val="24"/>
        <w:szCs w:val="24"/>
      </w:rPr>
    </w:pPr>
    <w:r w:rsidDel="00000000" w:rsidR="00000000" w:rsidRPr="00000000">
      <w:rPr>
        <w:rtl w:val="0"/>
      </w:rPr>
    </w:r>
  </w:p>
  <w:tbl>
    <w:tblPr>
      <w:tblStyle w:val="Table7"/>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E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PROTOCOLO DE TELEMEDICINA MANEJO DE ENFERMEDAD DIARREICA AGUDA (EDA) EN PEDIATRÍA</w:t>
          </w:r>
        </w:p>
      </w:tc>
    </w:tr>
    <w:tr>
      <w:trPr>
        <w:cantSplit w:val="0"/>
        <w:trHeight w:val="372" w:hRule="atLeast"/>
        <w:tblHeader w:val="0"/>
      </w:trPr>
      <w:tc>
        <w:tcPr>
          <w:vMerge w:val="continue"/>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3"/>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90" w:hanging="710"/>
      </w:pPr>
      <w:rPr>
        <w:rFonts w:ascii="Arial" w:cs="Arial" w:eastAsia="Arial" w:hAnsi="Arial"/>
        <w:b w:val="1"/>
        <w:bCs w:val="1"/>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1ikSVNE0l4MWv05Kxl76lrr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URXY4TG0wMEsxUFJsbWYyZ05qWmxMTE1FZEE0aWF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